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84F94" w14:textId="77777777" w:rsidR="009F7AC2" w:rsidRDefault="009F7AC2" w:rsidP="009F7AC2"/>
    <w:p w14:paraId="2711C087" w14:textId="77777777" w:rsidR="009F7AC2" w:rsidRDefault="009F7AC2" w:rsidP="009F7AC2"/>
    <w:p w14:paraId="6F13B3C3" w14:textId="77777777" w:rsidR="009F7AC2" w:rsidRDefault="009F7AC2" w:rsidP="009F7AC2"/>
    <w:p w14:paraId="61E42CEF" w14:textId="77777777" w:rsidR="009F7AC2" w:rsidRDefault="009F7AC2" w:rsidP="009F7AC2"/>
    <w:p w14:paraId="099CB8A6" w14:textId="77777777" w:rsidR="009F7AC2" w:rsidRDefault="009F7AC2" w:rsidP="009F7AC2"/>
    <w:p w14:paraId="5C647A64" w14:textId="77777777" w:rsidR="009F7AC2" w:rsidRDefault="009F7AC2" w:rsidP="009F7AC2"/>
    <w:p w14:paraId="15B8301D" w14:textId="77777777" w:rsidR="009F7AC2" w:rsidRDefault="009F7AC2" w:rsidP="009F7AC2"/>
    <w:p w14:paraId="561A7D95" w14:textId="77777777" w:rsidR="009F7AC2" w:rsidRDefault="009F7AC2" w:rsidP="009F7AC2"/>
    <w:p w14:paraId="5150AE0C" w14:textId="77777777" w:rsidR="009F7AC2" w:rsidRDefault="009F7AC2" w:rsidP="009F7AC2"/>
    <w:p w14:paraId="1F31D1F0" w14:textId="77777777" w:rsidR="009F7AC2" w:rsidRDefault="009F7AC2" w:rsidP="009F7AC2"/>
    <w:p w14:paraId="554F93EA" w14:textId="77777777" w:rsidR="009F7AC2" w:rsidRDefault="009F7AC2" w:rsidP="009F7AC2"/>
    <w:p w14:paraId="68EA6CE5" w14:textId="77777777" w:rsidR="009F7AC2" w:rsidRPr="00180A17" w:rsidRDefault="009F7AC2" w:rsidP="009F7AC2">
      <w:pPr>
        <w:jc w:val="center"/>
        <w:rPr>
          <w:rFonts w:ascii="Times New Roman" w:hAnsi="Times New Roman"/>
          <w:b/>
          <w:sz w:val="24"/>
          <w:szCs w:val="24"/>
        </w:rPr>
      </w:pPr>
      <w:r w:rsidRPr="00180A17">
        <w:rPr>
          <w:rFonts w:ascii="Times New Roman" w:hAnsi="Times New Roman"/>
          <w:b/>
          <w:sz w:val="24"/>
          <w:szCs w:val="24"/>
        </w:rPr>
        <w:t>Príloha č. 3</w:t>
      </w:r>
    </w:p>
    <w:p w14:paraId="046074D2" w14:textId="01C49409" w:rsidR="009F7AC2" w:rsidRDefault="009F7AC2" w:rsidP="009F7AC2">
      <w:pPr>
        <w:jc w:val="center"/>
        <w:rPr>
          <w:rFonts w:ascii="Times New Roman" w:hAnsi="Times New Roman"/>
          <w:b/>
          <w:sz w:val="24"/>
          <w:szCs w:val="24"/>
        </w:rPr>
      </w:pPr>
      <w:r w:rsidRPr="00180A17">
        <w:rPr>
          <w:rFonts w:ascii="Times New Roman" w:hAnsi="Times New Roman"/>
          <w:b/>
          <w:sz w:val="24"/>
          <w:szCs w:val="24"/>
        </w:rPr>
        <w:t>Súhrnná</w:t>
      </w:r>
      <w:r>
        <w:rPr>
          <w:rFonts w:ascii="Times New Roman" w:hAnsi="Times New Roman"/>
          <w:b/>
          <w:sz w:val="24"/>
          <w:szCs w:val="24"/>
        </w:rPr>
        <w:t xml:space="preserve"> účtovná závierka SR za rok 2024</w:t>
      </w:r>
    </w:p>
    <w:p w14:paraId="036E57C9" w14:textId="77777777" w:rsidR="009F7AC2" w:rsidRDefault="009F7AC2" w:rsidP="009F7AC2"/>
    <w:p w14:paraId="3B2A760A" w14:textId="77777777" w:rsidR="009F7AC2" w:rsidRDefault="009F7AC2" w:rsidP="009F7AC2">
      <w:pPr>
        <w:spacing w:after="0" w:line="240" w:lineRule="auto"/>
      </w:pPr>
      <w:r>
        <w:br w:type="page"/>
      </w:r>
    </w:p>
    <w:tbl>
      <w:tblPr>
        <w:tblW w:w="9356" w:type="dxa"/>
        <w:jc w:val="center"/>
        <w:tblCellMar>
          <w:left w:w="70" w:type="dxa"/>
          <w:right w:w="70" w:type="dxa"/>
        </w:tblCellMar>
        <w:tblLook w:val="04A0" w:firstRow="1" w:lastRow="0" w:firstColumn="1" w:lastColumn="0" w:noHBand="0" w:noVBand="1"/>
      </w:tblPr>
      <w:tblGrid>
        <w:gridCol w:w="252"/>
        <w:gridCol w:w="403"/>
        <w:gridCol w:w="330"/>
        <w:gridCol w:w="459"/>
        <w:gridCol w:w="459"/>
        <w:gridCol w:w="349"/>
        <w:gridCol w:w="359"/>
        <w:gridCol w:w="361"/>
        <w:gridCol w:w="290"/>
        <w:gridCol w:w="285"/>
        <w:gridCol w:w="326"/>
        <w:gridCol w:w="296"/>
        <w:gridCol w:w="285"/>
        <w:gridCol w:w="285"/>
        <w:gridCol w:w="285"/>
        <w:gridCol w:w="286"/>
        <w:gridCol w:w="345"/>
        <w:gridCol w:w="395"/>
        <w:gridCol w:w="285"/>
        <w:gridCol w:w="290"/>
        <w:gridCol w:w="290"/>
        <w:gridCol w:w="241"/>
        <w:gridCol w:w="240"/>
        <w:gridCol w:w="253"/>
        <w:gridCol w:w="274"/>
        <w:gridCol w:w="240"/>
        <w:gridCol w:w="240"/>
        <w:gridCol w:w="241"/>
        <w:gridCol w:w="240"/>
        <w:gridCol w:w="219"/>
        <w:gridCol w:w="253"/>
      </w:tblGrid>
      <w:tr w:rsidR="00C97D5C" w:rsidRPr="00907622" w14:paraId="193ED1B8" w14:textId="77777777" w:rsidTr="00A7107D">
        <w:trPr>
          <w:trHeight w:val="375"/>
          <w:jc w:val="center"/>
        </w:trPr>
        <w:tc>
          <w:tcPr>
            <w:tcW w:w="135" w:type="pct"/>
            <w:tcBorders>
              <w:top w:val="nil"/>
              <w:left w:val="nil"/>
              <w:bottom w:val="nil"/>
              <w:right w:val="nil"/>
            </w:tcBorders>
            <w:shd w:val="clear" w:color="000000" w:fill="FFFFFF"/>
            <w:noWrap/>
            <w:vAlign w:val="center"/>
            <w:hideMark/>
          </w:tcPr>
          <w:p w14:paraId="06FF2B9E" w14:textId="77777777" w:rsidR="00C97D5C" w:rsidRPr="00907622" w:rsidRDefault="00C97D5C">
            <w:pPr>
              <w:spacing w:after="0" w:line="240" w:lineRule="auto"/>
              <w:rPr>
                <w:rFonts w:ascii="Times New Roman" w:hAnsi="Times New Roman"/>
                <w:color w:val="FF0000"/>
                <w:sz w:val="28"/>
                <w:szCs w:val="28"/>
                <w:lang w:eastAsia="sk-SK"/>
              </w:rPr>
            </w:pPr>
            <w:bookmarkStart w:id="0" w:name="RANGE!A1:AE47"/>
            <w:r w:rsidRPr="00907622">
              <w:rPr>
                <w:rFonts w:ascii="Times New Roman" w:hAnsi="Times New Roman"/>
                <w:color w:val="FF0000"/>
                <w:sz w:val="28"/>
                <w:szCs w:val="28"/>
                <w:lang w:eastAsia="sk-SK"/>
              </w:rPr>
              <w:lastRenderedPageBreak/>
              <w:t> </w:t>
            </w:r>
            <w:bookmarkEnd w:id="0"/>
          </w:p>
        </w:tc>
        <w:tc>
          <w:tcPr>
            <w:tcW w:w="4485" w:type="pct"/>
            <w:gridSpan w:val="27"/>
            <w:tcBorders>
              <w:top w:val="nil"/>
              <w:left w:val="nil"/>
              <w:bottom w:val="nil"/>
              <w:right w:val="nil"/>
            </w:tcBorders>
            <w:shd w:val="clear" w:color="000000" w:fill="FFFFFF"/>
            <w:noWrap/>
            <w:vAlign w:val="center"/>
            <w:hideMark/>
          </w:tcPr>
          <w:p w14:paraId="0638F011"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xml:space="preserve">SÚHRNNÁ ÚČTOVNÁ ZÁVIERKA VEREJNEJ SPRÁVY </w:t>
            </w:r>
          </w:p>
        </w:tc>
        <w:tc>
          <w:tcPr>
            <w:tcW w:w="128" w:type="pct"/>
            <w:tcBorders>
              <w:top w:val="nil"/>
              <w:left w:val="nil"/>
              <w:bottom w:val="nil"/>
              <w:right w:val="nil"/>
            </w:tcBorders>
            <w:shd w:val="clear" w:color="000000" w:fill="FFFFFF"/>
            <w:noWrap/>
            <w:vAlign w:val="center"/>
            <w:hideMark/>
          </w:tcPr>
          <w:p w14:paraId="515E8155" w14:textId="77777777" w:rsidR="00C97D5C" w:rsidRPr="00907622" w:rsidRDefault="00C97D5C">
            <w:pPr>
              <w:spacing w:after="0" w:line="240" w:lineRule="auto"/>
              <w:rPr>
                <w:rFonts w:ascii="Times New Roman" w:hAnsi="Times New Roman"/>
                <w:b/>
                <w:bCs/>
                <w:color w:val="FF0000"/>
                <w:sz w:val="28"/>
                <w:szCs w:val="28"/>
                <w:lang w:eastAsia="sk-SK"/>
              </w:rPr>
            </w:pPr>
            <w:r w:rsidRPr="00907622">
              <w:rPr>
                <w:rFonts w:ascii="Times New Roman" w:hAnsi="Times New Roman"/>
                <w:b/>
                <w:bCs/>
                <w:color w:val="FF0000"/>
                <w:sz w:val="28"/>
                <w:szCs w:val="28"/>
                <w:lang w:eastAsia="sk-SK"/>
              </w:rPr>
              <w:t> </w:t>
            </w:r>
          </w:p>
        </w:tc>
        <w:tc>
          <w:tcPr>
            <w:tcW w:w="117" w:type="pct"/>
            <w:tcBorders>
              <w:top w:val="nil"/>
              <w:left w:val="nil"/>
              <w:bottom w:val="nil"/>
              <w:right w:val="nil"/>
            </w:tcBorders>
            <w:shd w:val="clear" w:color="000000" w:fill="FFFFFF"/>
            <w:noWrap/>
            <w:vAlign w:val="center"/>
            <w:hideMark/>
          </w:tcPr>
          <w:p w14:paraId="31948CD2" w14:textId="77777777" w:rsidR="00C97D5C" w:rsidRPr="00907622" w:rsidRDefault="00C97D5C">
            <w:pPr>
              <w:spacing w:after="0" w:line="240" w:lineRule="auto"/>
              <w:rPr>
                <w:rFonts w:ascii="Times New Roman" w:hAnsi="Times New Roman"/>
                <w:color w:val="FF0000"/>
                <w:sz w:val="28"/>
                <w:szCs w:val="28"/>
                <w:lang w:eastAsia="sk-SK"/>
              </w:rPr>
            </w:pPr>
            <w:r w:rsidRPr="00907622">
              <w:rPr>
                <w:rFonts w:ascii="Times New Roman" w:hAnsi="Times New Roman"/>
                <w:color w:val="FF0000"/>
                <w:sz w:val="28"/>
                <w:szCs w:val="28"/>
                <w:lang w:eastAsia="sk-SK"/>
              </w:rPr>
              <w:t> </w:t>
            </w:r>
          </w:p>
        </w:tc>
        <w:tc>
          <w:tcPr>
            <w:tcW w:w="135" w:type="pct"/>
            <w:tcBorders>
              <w:top w:val="nil"/>
              <w:left w:val="nil"/>
              <w:bottom w:val="nil"/>
              <w:right w:val="nil"/>
            </w:tcBorders>
            <w:shd w:val="clear" w:color="000000" w:fill="FFFFFF"/>
            <w:noWrap/>
            <w:vAlign w:val="center"/>
            <w:hideMark/>
          </w:tcPr>
          <w:p w14:paraId="2AEB2031" w14:textId="77777777" w:rsidR="00C97D5C" w:rsidRPr="00907622" w:rsidRDefault="00C97D5C">
            <w:pPr>
              <w:spacing w:after="0" w:line="240" w:lineRule="auto"/>
              <w:rPr>
                <w:rFonts w:ascii="Times New Roman" w:hAnsi="Times New Roman"/>
                <w:color w:val="FF0000"/>
                <w:sz w:val="28"/>
                <w:szCs w:val="28"/>
                <w:lang w:eastAsia="sk-SK"/>
              </w:rPr>
            </w:pPr>
            <w:r w:rsidRPr="00907622">
              <w:rPr>
                <w:rFonts w:ascii="Times New Roman" w:hAnsi="Times New Roman"/>
                <w:color w:val="FF0000"/>
                <w:sz w:val="28"/>
                <w:szCs w:val="28"/>
                <w:lang w:eastAsia="sk-SK"/>
              </w:rPr>
              <w:t> </w:t>
            </w:r>
          </w:p>
        </w:tc>
      </w:tr>
      <w:tr w:rsidR="00C97D5C" w:rsidRPr="00907622" w14:paraId="4293817E" w14:textId="77777777" w:rsidTr="00A7107D">
        <w:trPr>
          <w:trHeight w:val="375"/>
          <w:jc w:val="center"/>
        </w:trPr>
        <w:tc>
          <w:tcPr>
            <w:tcW w:w="135" w:type="pct"/>
            <w:tcBorders>
              <w:top w:val="nil"/>
              <w:left w:val="nil"/>
              <w:bottom w:val="nil"/>
              <w:right w:val="nil"/>
            </w:tcBorders>
            <w:shd w:val="clear" w:color="000000" w:fill="FFFFFF"/>
            <w:noWrap/>
            <w:vAlign w:val="center"/>
            <w:hideMark/>
          </w:tcPr>
          <w:p w14:paraId="1A003220"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4485" w:type="pct"/>
            <w:gridSpan w:val="27"/>
            <w:tcBorders>
              <w:top w:val="nil"/>
              <w:left w:val="nil"/>
              <w:bottom w:val="nil"/>
              <w:right w:val="nil"/>
            </w:tcBorders>
            <w:shd w:val="clear" w:color="000000" w:fill="FFFFFF"/>
            <w:noWrap/>
            <w:vAlign w:val="center"/>
            <w:hideMark/>
          </w:tcPr>
          <w:p w14:paraId="148FA488"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xml:space="preserve">SLOVENSKEJ REPUBLIKY </w:t>
            </w:r>
          </w:p>
        </w:tc>
        <w:tc>
          <w:tcPr>
            <w:tcW w:w="128" w:type="pct"/>
            <w:tcBorders>
              <w:top w:val="nil"/>
              <w:left w:val="nil"/>
              <w:bottom w:val="nil"/>
              <w:right w:val="nil"/>
            </w:tcBorders>
            <w:shd w:val="clear" w:color="000000" w:fill="FFFFFF"/>
            <w:noWrap/>
            <w:vAlign w:val="center"/>
            <w:hideMark/>
          </w:tcPr>
          <w:p w14:paraId="65A7C401" w14:textId="77777777" w:rsidR="00C97D5C" w:rsidRPr="00907622" w:rsidRDefault="00C97D5C">
            <w:pPr>
              <w:spacing w:after="0" w:line="240" w:lineRule="auto"/>
              <w:jc w:val="center"/>
              <w:rPr>
                <w:rFonts w:ascii="Times New Roman" w:hAnsi="Times New Roman"/>
                <w:b/>
                <w:bCs/>
                <w:color w:val="FF0000"/>
                <w:sz w:val="20"/>
                <w:szCs w:val="20"/>
                <w:lang w:eastAsia="sk-SK"/>
              </w:rPr>
            </w:pPr>
            <w:r w:rsidRPr="00907622">
              <w:rPr>
                <w:rFonts w:ascii="Times New Roman" w:hAnsi="Times New Roman"/>
                <w:b/>
                <w:bCs/>
                <w:color w:val="FF0000"/>
                <w:sz w:val="20"/>
                <w:szCs w:val="20"/>
                <w:lang w:eastAsia="sk-SK"/>
              </w:rPr>
              <w:t> </w:t>
            </w:r>
          </w:p>
        </w:tc>
        <w:tc>
          <w:tcPr>
            <w:tcW w:w="117" w:type="pct"/>
            <w:tcBorders>
              <w:top w:val="nil"/>
              <w:left w:val="nil"/>
              <w:bottom w:val="nil"/>
              <w:right w:val="nil"/>
            </w:tcBorders>
            <w:shd w:val="clear" w:color="000000" w:fill="FFFFFF"/>
            <w:noWrap/>
            <w:vAlign w:val="center"/>
            <w:hideMark/>
          </w:tcPr>
          <w:p w14:paraId="701748F4"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135" w:type="pct"/>
            <w:tcBorders>
              <w:top w:val="nil"/>
              <w:left w:val="nil"/>
              <w:bottom w:val="nil"/>
              <w:right w:val="nil"/>
            </w:tcBorders>
            <w:shd w:val="clear" w:color="000000" w:fill="FFFFFF"/>
            <w:noWrap/>
            <w:vAlign w:val="center"/>
            <w:hideMark/>
          </w:tcPr>
          <w:p w14:paraId="4856BCBD"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0988722A" w14:textId="77777777" w:rsidTr="00A02729">
        <w:trPr>
          <w:trHeight w:val="375"/>
          <w:jc w:val="center"/>
        </w:trPr>
        <w:tc>
          <w:tcPr>
            <w:tcW w:w="135" w:type="pct"/>
            <w:tcBorders>
              <w:top w:val="nil"/>
              <w:left w:val="nil"/>
              <w:bottom w:val="nil"/>
              <w:right w:val="nil"/>
            </w:tcBorders>
            <w:shd w:val="clear" w:color="000000" w:fill="FFFFFF"/>
            <w:noWrap/>
            <w:vAlign w:val="center"/>
            <w:hideMark/>
          </w:tcPr>
          <w:p w14:paraId="2FDB88A7"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16" w:type="pct"/>
            <w:tcBorders>
              <w:top w:val="nil"/>
              <w:left w:val="nil"/>
              <w:bottom w:val="nil"/>
              <w:right w:val="nil"/>
            </w:tcBorders>
            <w:shd w:val="clear" w:color="000000" w:fill="FFFFFF"/>
            <w:noWrap/>
            <w:vAlign w:val="center"/>
            <w:hideMark/>
          </w:tcPr>
          <w:p w14:paraId="14164C42"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w:t>
            </w:r>
          </w:p>
        </w:tc>
        <w:tc>
          <w:tcPr>
            <w:tcW w:w="176" w:type="pct"/>
            <w:tcBorders>
              <w:top w:val="nil"/>
              <w:left w:val="nil"/>
              <w:bottom w:val="nil"/>
              <w:right w:val="nil"/>
            </w:tcBorders>
            <w:shd w:val="clear" w:color="000000" w:fill="FFFFFF"/>
            <w:noWrap/>
            <w:vAlign w:val="center"/>
            <w:hideMark/>
          </w:tcPr>
          <w:p w14:paraId="36782E6F"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w:t>
            </w:r>
          </w:p>
        </w:tc>
        <w:tc>
          <w:tcPr>
            <w:tcW w:w="246" w:type="pct"/>
            <w:tcBorders>
              <w:top w:val="nil"/>
              <w:left w:val="nil"/>
              <w:bottom w:val="nil"/>
              <w:right w:val="nil"/>
            </w:tcBorders>
            <w:shd w:val="clear" w:color="000000" w:fill="FFFFFF"/>
            <w:noWrap/>
            <w:vAlign w:val="center"/>
            <w:hideMark/>
          </w:tcPr>
          <w:p w14:paraId="3B9A237A"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w:t>
            </w:r>
          </w:p>
        </w:tc>
        <w:tc>
          <w:tcPr>
            <w:tcW w:w="246" w:type="pct"/>
            <w:tcBorders>
              <w:top w:val="nil"/>
              <w:left w:val="nil"/>
              <w:bottom w:val="nil"/>
              <w:right w:val="nil"/>
            </w:tcBorders>
            <w:shd w:val="clear" w:color="000000" w:fill="FFFFFF"/>
            <w:noWrap/>
            <w:vAlign w:val="center"/>
            <w:hideMark/>
          </w:tcPr>
          <w:p w14:paraId="234FE048"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w:t>
            </w:r>
          </w:p>
        </w:tc>
        <w:tc>
          <w:tcPr>
            <w:tcW w:w="187" w:type="pct"/>
            <w:tcBorders>
              <w:top w:val="nil"/>
              <w:left w:val="nil"/>
              <w:bottom w:val="nil"/>
              <w:right w:val="nil"/>
            </w:tcBorders>
            <w:shd w:val="clear" w:color="000000" w:fill="FFFFFF"/>
            <w:noWrap/>
            <w:vAlign w:val="center"/>
            <w:hideMark/>
          </w:tcPr>
          <w:p w14:paraId="4A5BDF48"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w:t>
            </w:r>
          </w:p>
        </w:tc>
        <w:tc>
          <w:tcPr>
            <w:tcW w:w="192" w:type="pct"/>
            <w:tcBorders>
              <w:top w:val="nil"/>
              <w:left w:val="nil"/>
              <w:bottom w:val="nil"/>
              <w:right w:val="nil"/>
            </w:tcBorders>
            <w:shd w:val="clear" w:color="000000" w:fill="FFFFFF"/>
            <w:noWrap/>
            <w:vAlign w:val="center"/>
            <w:hideMark/>
          </w:tcPr>
          <w:p w14:paraId="41919EAE"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w:t>
            </w:r>
          </w:p>
        </w:tc>
        <w:tc>
          <w:tcPr>
            <w:tcW w:w="192" w:type="pct"/>
            <w:tcBorders>
              <w:top w:val="nil"/>
              <w:left w:val="nil"/>
              <w:bottom w:val="nil"/>
              <w:right w:val="nil"/>
            </w:tcBorders>
            <w:shd w:val="clear" w:color="000000" w:fill="FFFFFF"/>
            <w:noWrap/>
            <w:vAlign w:val="center"/>
            <w:hideMark/>
          </w:tcPr>
          <w:p w14:paraId="0A8144AB"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w:t>
            </w:r>
          </w:p>
        </w:tc>
        <w:tc>
          <w:tcPr>
            <w:tcW w:w="155" w:type="pct"/>
            <w:tcBorders>
              <w:top w:val="nil"/>
              <w:left w:val="nil"/>
              <w:bottom w:val="nil"/>
              <w:right w:val="nil"/>
            </w:tcBorders>
            <w:shd w:val="clear" w:color="000000" w:fill="FFFFFF"/>
            <w:noWrap/>
            <w:vAlign w:val="center"/>
            <w:hideMark/>
          </w:tcPr>
          <w:p w14:paraId="1C34043A"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w:t>
            </w:r>
          </w:p>
        </w:tc>
        <w:tc>
          <w:tcPr>
            <w:tcW w:w="152" w:type="pct"/>
            <w:tcBorders>
              <w:top w:val="nil"/>
              <w:left w:val="nil"/>
              <w:bottom w:val="nil"/>
              <w:right w:val="nil"/>
            </w:tcBorders>
            <w:shd w:val="clear" w:color="000000" w:fill="FFFFFF"/>
            <w:noWrap/>
            <w:vAlign w:val="center"/>
            <w:hideMark/>
          </w:tcPr>
          <w:p w14:paraId="1292F014"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w:t>
            </w:r>
          </w:p>
        </w:tc>
        <w:tc>
          <w:tcPr>
            <w:tcW w:w="174" w:type="pct"/>
            <w:tcBorders>
              <w:top w:val="nil"/>
              <w:left w:val="nil"/>
              <w:bottom w:val="nil"/>
              <w:right w:val="nil"/>
            </w:tcBorders>
            <w:shd w:val="clear" w:color="000000" w:fill="FFFFFF"/>
            <w:noWrap/>
            <w:vAlign w:val="center"/>
            <w:hideMark/>
          </w:tcPr>
          <w:p w14:paraId="2A10DBED"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w:t>
            </w:r>
          </w:p>
        </w:tc>
        <w:tc>
          <w:tcPr>
            <w:tcW w:w="158" w:type="pct"/>
            <w:tcBorders>
              <w:top w:val="nil"/>
              <w:left w:val="nil"/>
              <w:bottom w:val="nil"/>
              <w:right w:val="nil"/>
            </w:tcBorders>
            <w:shd w:val="clear" w:color="000000" w:fill="FFFFFF"/>
            <w:noWrap/>
            <w:vAlign w:val="center"/>
            <w:hideMark/>
          </w:tcPr>
          <w:p w14:paraId="63D1D076"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w:t>
            </w:r>
          </w:p>
        </w:tc>
        <w:tc>
          <w:tcPr>
            <w:tcW w:w="152" w:type="pct"/>
            <w:tcBorders>
              <w:top w:val="nil"/>
              <w:left w:val="nil"/>
              <w:bottom w:val="nil"/>
              <w:right w:val="nil"/>
            </w:tcBorders>
            <w:shd w:val="clear" w:color="000000" w:fill="FFFFFF"/>
            <w:noWrap/>
            <w:vAlign w:val="center"/>
            <w:hideMark/>
          </w:tcPr>
          <w:p w14:paraId="03373602"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w:t>
            </w:r>
          </w:p>
        </w:tc>
        <w:tc>
          <w:tcPr>
            <w:tcW w:w="152" w:type="pct"/>
            <w:tcBorders>
              <w:top w:val="nil"/>
              <w:left w:val="nil"/>
              <w:bottom w:val="nil"/>
              <w:right w:val="nil"/>
            </w:tcBorders>
            <w:shd w:val="clear" w:color="000000" w:fill="FFFFFF"/>
            <w:noWrap/>
            <w:vAlign w:val="center"/>
            <w:hideMark/>
          </w:tcPr>
          <w:p w14:paraId="781F96DB"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w:t>
            </w:r>
          </w:p>
        </w:tc>
        <w:tc>
          <w:tcPr>
            <w:tcW w:w="152" w:type="pct"/>
            <w:tcBorders>
              <w:top w:val="nil"/>
              <w:left w:val="nil"/>
              <w:bottom w:val="nil"/>
              <w:right w:val="nil"/>
            </w:tcBorders>
            <w:shd w:val="clear" w:color="000000" w:fill="FFFFFF"/>
            <w:noWrap/>
            <w:vAlign w:val="center"/>
            <w:hideMark/>
          </w:tcPr>
          <w:p w14:paraId="6EEB4F3C"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w:t>
            </w:r>
          </w:p>
        </w:tc>
        <w:tc>
          <w:tcPr>
            <w:tcW w:w="152" w:type="pct"/>
            <w:tcBorders>
              <w:top w:val="nil"/>
              <w:left w:val="nil"/>
              <w:bottom w:val="nil"/>
              <w:right w:val="nil"/>
            </w:tcBorders>
            <w:shd w:val="clear" w:color="000000" w:fill="FFFFFF"/>
            <w:noWrap/>
            <w:vAlign w:val="center"/>
            <w:hideMark/>
          </w:tcPr>
          <w:p w14:paraId="544BB57E"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w:t>
            </w:r>
          </w:p>
        </w:tc>
        <w:tc>
          <w:tcPr>
            <w:tcW w:w="184" w:type="pct"/>
            <w:tcBorders>
              <w:top w:val="nil"/>
              <w:left w:val="nil"/>
              <w:bottom w:val="nil"/>
              <w:right w:val="nil"/>
            </w:tcBorders>
            <w:shd w:val="clear" w:color="000000" w:fill="FFFFFF"/>
            <w:noWrap/>
            <w:vAlign w:val="center"/>
            <w:hideMark/>
          </w:tcPr>
          <w:p w14:paraId="777E96FC"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w:t>
            </w:r>
          </w:p>
        </w:tc>
        <w:tc>
          <w:tcPr>
            <w:tcW w:w="211" w:type="pct"/>
            <w:tcBorders>
              <w:top w:val="nil"/>
              <w:left w:val="nil"/>
              <w:bottom w:val="nil"/>
              <w:right w:val="nil"/>
            </w:tcBorders>
            <w:shd w:val="clear" w:color="000000" w:fill="FFFFFF"/>
            <w:noWrap/>
            <w:vAlign w:val="center"/>
            <w:hideMark/>
          </w:tcPr>
          <w:p w14:paraId="4E73372F"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w:t>
            </w:r>
          </w:p>
        </w:tc>
        <w:tc>
          <w:tcPr>
            <w:tcW w:w="152" w:type="pct"/>
            <w:tcBorders>
              <w:top w:val="nil"/>
              <w:left w:val="nil"/>
              <w:bottom w:val="nil"/>
              <w:right w:val="nil"/>
            </w:tcBorders>
            <w:shd w:val="clear" w:color="000000" w:fill="FFFFFF"/>
            <w:noWrap/>
            <w:vAlign w:val="center"/>
            <w:hideMark/>
          </w:tcPr>
          <w:p w14:paraId="3518E6CF"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w:t>
            </w:r>
          </w:p>
        </w:tc>
        <w:tc>
          <w:tcPr>
            <w:tcW w:w="155" w:type="pct"/>
            <w:tcBorders>
              <w:top w:val="nil"/>
              <w:left w:val="nil"/>
              <w:bottom w:val="nil"/>
              <w:right w:val="nil"/>
            </w:tcBorders>
            <w:shd w:val="clear" w:color="000000" w:fill="FFFFFF"/>
            <w:noWrap/>
            <w:vAlign w:val="center"/>
            <w:hideMark/>
          </w:tcPr>
          <w:p w14:paraId="175B59C9"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w:t>
            </w:r>
          </w:p>
        </w:tc>
        <w:tc>
          <w:tcPr>
            <w:tcW w:w="155" w:type="pct"/>
            <w:tcBorders>
              <w:top w:val="nil"/>
              <w:left w:val="nil"/>
              <w:bottom w:val="nil"/>
              <w:right w:val="nil"/>
            </w:tcBorders>
            <w:shd w:val="clear" w:color="000000" w:fill="FFFFFF"/>
            <w:noWrap/>
            <w:vAlign w:val="center"/>
            <w:hideMark/>
          </w:tcPr>
          <w:p w14:paraId="26902B8B"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w:t>
            </w:r>
          </w:p>
        </w:tc>
        <w:tc>
          <w:tcPr>
            <w:tcW w:w="128" w:type="pct"/>
            <w:tcBorders>
              <w:top w:val="nil"/>
              <w:left w:val="nil"/>
              <w:bottom w:val="nil"/>
              <w:right w:val="nil"/>
            </w:tcBorders>
            <w:shd w:val="clear" w:color="000000" w:fill="FFFFFF"/>
            <w:noWrap/>
            <w:vAlign w:val="center"/>
            <w:hideMark/>
          </w:tcPr>
          <w:p w14:paraId="03E33DD4"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w:t>
            </w:r>
          </w:p>
        </w:tc>
        <w:tc>
          <w:tcPr>
            <w:tcW w:w="128" w:type="pct"/>
            <w:tcBorders>
              <w:top w:val="nil"/>
              <w:left w:val="nil"/>
              <w:bottom w:val="nil"/>
              <w:right w:val="nil"/>
            </w:tcBorders>
            <w:shd w:val="clear" w:color="000000" w:fill="FFFFFF"/>
            <w:noWrap/>
            <w:vAlign w:val="center"/>
            <w:hideMark/>
          </w:tcPr>
          <w:p w14:paraId="3FC7A8AF"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w:t>
            </w:r>
          </w:p>
        </w:tc>
        <w:tc>
          <w:tcPr>
            <w:tcW w:w="135" w:type="pct"/>
            <w:tcBorders>
              <w:top w:val="nil"/>
              <w:left w:val="nil"/>
              <w:bottom w:val="nil"/>
              <w:right w:val="nil"/>
            </w:tcBorders>
            <w:shd w:val="clear" w:color="000000" w:fill="FFFFFF"/>
            <w:noWrap/>
            <w:vAlign w:val="center"/>
            <w:hideMark/>
          </w:tcPr>
          <w:p w14:paraId="699F2407"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w:t>
            </w:r>
          </w:p>
        </w:tc>
        <w:tc>
          <w:tcPr>
            <w:tcW w:w="146" w:type="pct"/>
            <w:tcBorders>
              <w:top w:val="nil"/>
              <w:left w:val="nil"/>
              <w:bottom w:val="nil"/>
              <w:right w:val="nil"/>
            </w:tcBorders>
            <w:shd w:val="clear" w:color="000000" w:fill="FFFFFF"/>
            <w:noWrap/>
            <w:vAlign w:val="center"/>
            <w:hideMark/>
          </w:tcPr>
          <w:p w14:paraId="1936144F"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w:t>
            </w:r>
          </w:p>
        </w:tc>
        <w:tc>
          <w:tcPr>
            <w:tcW w:w="128" w:type="pct"/>
            <w:tcBorders>
              <w:top w:val="nil"/>
              <w:left w:val="nil"/>
              <w:bottom w:val="nil"/>
              <w:right w:val="nil"/>
            </w:tcBorders>
            <w:shd w:val="clear" w:color="000000" w:fill="FFFFFF"/>
            <w:noWrap/>
            <w:vAlign w:val="center"/>
            <w:hideMark/>
          </w:tcPr>
          <w:p w14:paraId="4AB5E687"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w:t>
            </w:r>
          </w:p>
        </w:tc>
        <w:tc>
          <w:tcPr>
            <w:tcW w:w="128" w:type="pct"/>
            <w:tcBorders>
              <w:top w:val="nil"/>
              <w:left w:val="nil"/>
              <w:bottom w:val="nil"/>
              <w:right w:val="nil"/>
            </w:tcBorders>
            <w:shd w:val="clear" w:color="000000" w:fill="FFFFFF"/>
            <w:noWrap/>
            <w:vAlign w:val="center"/>
            <w:hideMark/>
          </w:tcPr>
          <w:p w14:paraId="3F599BFD" w14:textId="77777777" w:rsidR="00C97D5C" w:rsidRPr="00907622" w:rsidRDefault="00C97D5C">
            <w:pPr>
              <w:spacing w:after="0" w:line="240" w:lineRule="auto"/>
              <w:jc w:val="center"/>
              <w:rPr>
                <w:rFonts w:ascii="Times New Roman" w:hAnsi="Times New Roman"/>
                <w:b/>
                <w:bCs/>
                <w:color w:val="FF0000"/>
                <w:sz w:val="28"/>
                <w:szCs w:val="28"/>
                <w:lang w:eastAsia="sk-SK"/>
              </w:rPr>
            </w:pPr>
            <w:r w:rsidRPr="00907622">
              <w:rPr>
                <w:rFonts w:ascii="Times New Roman" w:hAnsi="Times New Roman"/>
                <w:b/>
                <w:bCs/>
                <w:color w:val="FF0000"/>
                <w:sz w:val="28"/>
                <w:szCs w:val="28"/>
                <w:lang w:eastAsia="sk-SK"/>
              </w:rPr>
              <w:t> </w:t>
            </w:r>
          </w:p>
        </w:tc>
        <w:tc>
          <w:tcPr>
            <w:tcW w:w="128" w:type="pct"/>
            <w:tcBorders>
              <w:top w:val="nil"/>
              <w:left w:val="nil"/>
              <w:bottom w:val="nil"/>
              <w:right w:val="nil"/>
            </w:tcBorders>
            <w:shd w:val="clear" w:color="000000" w:fill="FFFFFF"/>
            <w:noWrap/>
            <w:vAlign w:val="center"/>
            <w:hideMark/>
          </w:tcPr>
          <w:p w14:paraId="6BC215AB" w14:textId="77777777" w:rsidR="00C97D5C" w:rsidRPr="00907622" w:rsidRDefault="00C97D5C">
            <w:pPr>
              <w:spacing w:after="0" w:line="240" w:lineRule="auto"/>
              <w:jc w:val="center"/>
              <w:rPr>
                <w:rFonts w:ascii="Times New Roman" w:hAnsi="Times New Roman"/>
                <w:b/>
                <w:bCs/>
                <w:color w:val="FF0000"/>
                <w:sz w:val="28"/>
                <w:szCs w:val="28"/>
                <w:lang w:eastAsia="sk-SK"/>
              </w:rPr>
            </w:pPr>
            <w:r w:rsidRPr="00907622">
              <w:rPr>
                <w:rFonts w:ascii="Times New Roman" w:hAnsi="Times New Roman"/>
                <w:b/>
                <w:bCs/>
                <w:color w:val="FF0000"/>
                <w:sz w:val="28"/>
                <w:szCs w:val="28"/>
                <w:lang w:eastAsia="sk-SK"/>
              </w:rPr>
              <w:t> </w:t>
            </w:r>
          </w:p>
        </w:tc>
        <w:tc>
          <w:tcPr>
            <w:tcW w:w="128" w:type="pct"/>
            <w:tcBorders>
              <w:top w:val="nil"/>
              <w:left w:val="nil"/>
              <w:bottom w:val="nil"/>
              <w:right w:val="nil"/>
            </w:tcBorders>
            <w:shd w:val="clear" w:color="000000" w:fill="FFFFFF"/>
            <w:noWrap/>
            <w:vAlign w:val="center"/>
            <w:hideMark/>
          </w:tcPr>
          <w:p w14:paraId="0FC63C62" w14:textId="77777777" w:rsidR="00C97D5C" w:rsidRPr="00907622" w:rsidRDefault="00C97D5C">
            <w:pPr>
              <w:spacing w:after="0" w:line="240" w:lineRule="auto"/>
              <w:jc w:val="center"/>
              <w:rPr>
                <w:rFonts w:ascii="Times New Roman" w:hAnsi="Times New Roman"/>
                <w:b/>
                <w:bCs/>
                <w:color w:val="FF0000"/>
                <w:sz w:val="20"/>
                <w:szCs w:val="20"/>
                <w:lang w:eastAsia="sk-SK"/>
              </w:rPr>
            </w:pPr>
            <w:r w:rsidRPr="00907622">
              <w:rPr>
                <w:rFonts w:ascii="Times New Roman" w:hAnsi="Times New Roman"/>
                <w:b/>
                <w:bCs/>
                <w:color w:val="FF0000"/>
                <w:sz w:val="20"/>
                <w:szCs w:val="20"/>
                <w:lang w:eastAsia="sk-SK"/>
              </w:rPr>
              <w:t> </w:t>
            </w:r>
          </w:p>
        </w:tc>
        <w:tc>
          <w:tcPr>
            <w:tcW w:w="117" w:type="pct"/>
            <w:tcBorders>
              <w:top w:val="nil"/>
              <w:left w:val="nil"/>
              <w:bottom w:val="nil"/>
              <w:right w:val="nil"/>
            </w:tcBorders>
            <w:shd w:val="clear" w:color="000000" w:fill="FFFFFF"/>
            <w:noWrap/>
            <w:vAlign w:val="center"/>
            <w:hideMark/>
          </w:tcPr>
          <w:p w14:paraId="4307276F"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135" w:type="pct"/>
            <w:tcBorders>
              <w:top w:val="nil"/>
              <w:left w:val="nil"/>
              <w:bottom w:val="nil"/>
              <w:right w:val="nil"/>
            </w:tcBorders>
            <w:shd w:val="clear" w:color="000000" w:fill="FFFFFF"/>
            <w:noWrap/>
            <w:vAlign w:val="center"/>
            <w:hideMark/>
          </w:tcPr>
          <w:p w14:paraId="0480B122"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844EA9" w:rsidRPr="00907622" w14:paraId="0A367E3B" w14:textId="77777777" w:rsidTr="00A7107D">
        <w:trPr>
          <w:trHeight w:val="375"/>
          <w:jc w:val="center"/>
        </w:trPr>
        <w:tc>
          <w:tcPr>
            <w:tcW w:w="135" w:type="pct"/>
            <w:tcBorders>
              <w:top w:val="nil"/>
              <w:left w:val="nil"/>
              <w:bottom w:val="nil"/>
              <w:right w:val="nil"/>
            </w:tcBorders>
            <w:shd w:val="clear" w:color="000000" w:fill="FFFFFF"/>
            <w:noWrap/>
            <w:vAlign w:val="center"/>
            <w:hideMark/>
          </w:tcPr>
          <w:p w14:paraId="2F2CD24F" w14:textId="77777777" w:rsidR="00C97D5C" w:rsidRPr="00907622" w:rsidRDefault="00C97D5C">
            <w:pPr>
              <w:spacing w:after="0" w:line="240" w:lineRule="auto"/>
              <w:rPr>
                <w:rFonts w:ascii="Times New Roman" w:hAnsi="Times New Roman"/>
                <w:color w:val="FF0000"/>
                <w:sz w:val="28"/>
                <w:szCs w:val="28"/>
                <w:lang w:eastAsia="sk-SK"/>
              </w:rPr>
            </w:pPr>
            <w:r w:rsidRPr="00907622">
              <w:rPr>
                <w:rFonts w:ascii="Times New Roman" w:hAnsi="Times New Roman"/>
                <w:color w:val="FF0000"/>
                <w:sz w:val="28"/>
                <w:szCs w:val="28"/>
                <w:lang w:eastAsia="sk-SK"/>
              </w:rPr>
              <w:t> </w:t>
            </w:r>
          </w:p>
        </w:tc>
        <w:tc>
          <w:tcPr>
            <w:tcW w:w="216" w:type="pct"/>
            <w:tcBorders>
              <w:top w:val="nil"/>
              <w:left w:val="nil"/>
              <w:bottom w:val="nil"/>
              <w:right w:val="nil"/>
            </w:tcBorders>
            <w:shd w:val="clear" w:color="000000" w:fill="FFFFFF"/>
            <w:noWrap/>
            <w:vAlign w:val="center"/>
            <w:hideMark/>
          </w:tcPr>
          <w:p w14:paraId="658CFA63" w14:textId="77777777" w:rsidR="00C97D5C" w:rsidRPr="00907622" w:rsidRDefault="00C97D5C">
            <w:pPr>
              <w:spacing w:after="0" w:line="240" w:lineRule="auto"/>
              <w:rPr>
                <w:rFonts w:ascii="Times New Roman" w:hAnsi="Times New Roman"/>
                <w:sz w:val="28"/>
                <w:szCs w:val="28"/>
                <w:lang w:eastAsia="sk-SK"/>
              </w:rPr>
            </w:pPr>
            <w:r w:rsidRPr="00907622">
              <w:rPr>
                <w:rFonts w:ascii="Times New Roman" w:hAnsi="Times New Roman"/>
                <w:sz w:val="28"/>
                <w:szCs w:val="28"/>
                <w:lang w:eastAsia="sk-SK"/>
              </w:rPr>
              <w:t> </w:t>
            </w:r>
          </w:p>
        </w:tc>
        <w:tc>
          <w:tcPr>
            <w:tcW w:w="176" w:type="pct"/>
            <w:tcBorders>
              <w:top w:val="nil"/>
              <w:left w:val="nil"/>
              <w:bottom w:val="nil"/>
              <w:right w:val="nil"/>
            </w:tcBorders>
            <w:shd w:val="clear" w:color="000000" w:fill="FFFFFF"/>
            <w:noWrap/>
            <w:vAlign w:val="center"/>
            <w:hideMark/>
          </w:tcPr>
          <w:p w14:paraId="6C6E9210" w14:textId="77777777" w:rsidR="00C97D5C" w:rsidRPr="00907622" w:rsidRDefault="00C97D5C">
            <w:pPr>
              <w:spacing w:after="0" w:line="240" w:lineRule="auto"/>
              <w:rPr>
                <w:rFonts w:ascii="Times New Roman" w:hAnsi="Times New Roman"/>
                <w:sz w:val="28"/>
                <w:szCs w:val="28"/>
                <w:lang w:eastAsia="sk-SK"/>
              </w:rPr>
            </w:pPr>
            <w:r w:rsidRPr="00907622">
              <w:rPr>
                <w:rFonts w:ascii="Times New Roman" w:hAnsi="Times New Roman"/>
                <w:sz w:val="28"/>
                <w:szCs w:val="28"/>
                <w:lang w:eastAsia="sk-SK"/>
              </w:rPr>
              <w:t> </w:t>
            </w:r>
          </w:p>
        </w:tc>
        <w:tc>
          <w:tcPr>
            <w:tcW w:w="679" w:type="pct"/>
            <w:gridSpan w:val="3"/>
            <w:tcBorders>
              <w:top w:val="nil"/>
              <w:left w:val="nil"/>
              <w:bottom w:val="nil"/>
              <w:right w:val="nil"/>
            </w:tcBorders>
            <w:shd w:val="clear" w:color="000000" w:fill="FFFFFF"/>
            <w:noWrap/>
            <w:vAlign w:val="center"/>
            <w:hideMark/>
          </w:tcPr>
          <w:p w14:paraId="68E65171" w14:textId="77777777"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xml:space="preserve"> </w:t>
            </w:r>
            <w:r w:rsidRPr="00907622">
              <w:rPr>
                <w:rFonts w:ascii="Times New Roman" w:hAnsi="Times New Roman"/>
                <w:sz w:val="28"/>
                <w:szCs w:val="28"/>
                <w:lang w:eastAsia="sk-SK"/>
              </w:rPr>
              <w:t xml:space="preserve"> </w:t>
            </w:r>
          </w:p>
        </w:tc>
        <w:tc>
          <w:tcPr>
            <w:tcW w:w="2619" w:type="pct"/>
            <w:gridSpan w:val="16"/>
            <w:tcBorders>
              <w:top w:val="nil"/>
              <w:left w:val="nil"/>
              <w:bottom w:val="nil"/>
              <w:right w:val="nil"/>
            </w:tcBorders>
            <w:shd w:val="clear" w:color="000000" w:fill="FFFFFF"/>
            <w:noWrap/>
            <w:vAlign w:val="center"/>
            <w:hideMark/>
          </w:tcPr>
          <w:p w14:paraId="66CF4FF6" w14:textId="3C74B3E8" w:rsidR="00C97D5C" w:rsidRPr="00907622" w:rsidRDefault="00C97D5C">
            <w:pPr>
              <w:spacing w:after="0" w:line="240" w:lineRule="auto"/>
              <w:jc w:val="center"/>
              <w:rPr>
                <w:rFonts w:ascii="Times New Roman" w:hAnsi="Times New Roman"/>
                <w:b/>
                <w:bCs/>
                <w:sz w:val="28"/>
                <w:szCs w:val="28"/>
                <w:lang w:eastAsia="sk-SK"/>
              </w:rPr>
            </w:pPr>
            <w:r w:rsidRPr="00907622">
              <w:rPr>
                <w:rFonts w:ascii="Times New Roman" w:hAnsi="Times New Roman"/>
                <w:b/>
                <w:bCs/>
                <w:sz w:val="28"/>
                <w:szCs w:val="28"/>
                <w:lang w:eastAsia="sk-SK"/>
              </w:rPr>
              <w:t xml:space="preserve">k </w:t>
            </w:r>
            <w:r w:rsidR="00F418A2">
              <w:rPr>
                <w:rFonts w:ascii="Times New Roman" w:hAnsi="Times New Roman"/>
                <w:b/>
                <w:bCs/>
                <w:sz w:val="28"/>
                <w:szCs w:val="28"/>
                <w:lang w:eastAsia="sk-SK"/>
              </w:rPr>
              <w:t>31.</w:t>
            </w:r>
            <w:r w:rsidR="00CE5A24">
              <w:rPr>
                <w:rFonts w:ascii="Times New Roman" w:hAnsi="Times New Roman"/>
                <w:b/>
                <w:bCs/>
                <w:sz w:val="28"/>
                <w:szCs w:val="28"/>
                <w:lang w:eastAsia="sk-SK"/>
              </w:rPr>
              <w:t xml:space="preserve"> </w:t>
            </w:r>
            <w:r w:rsidR="00F418A2">
              <w:rPr>
                <w:rFonts w:ascii="Times New Roman" w:hAnsi="Times New Roman"/>
                <w:b/>
                <w:bCs/>
                <w:sz w:val="28"/>
                <w:szCs w:val="28"/>
                <w:lang w:eastAsia="sk-SK"/>
              </w:rPr>
              <w:t>12.</w:t>
            </w:r>
            <w:r w:rsidR="00CE5A24">
              <w:rPr>
                <w:rFonts w:ascii="Times New Roman" w:hAnsi="Times New Roman"/>
                <w:b/>
                <w:bCs/>
                <w:sz w:val="28"/>
                <w:szCs w:val="28"/>
                <w:lang w:eastAsia="sk-SK"/>
              </w:rPr>
              <w:t xml:space="preserve"> </w:t>
            </w:r>
            <w:r w:rsidR="00F418A2">
              <w:rPr>
                <w:rFonts w:ascii="Times New Roman" w:hAnsi="Times New Roman"/>
                <w:b/>
                <w:bCs/>
                <w:sz w:val="28"/>
                <w:szCs w:val="28"/>
                <w:lang w:eastAsia="sk-SK"/>
              </w:rPr>
              <w:t>2024</w:t>
            </w:r>
          </w:p>
        </w:tc>
        <w:tc>
          <w:tcPr>
            <w:tcW w:w="128" w:type="pct"/>
            <w:tcBorders>
              <w:top w:val="nil"/>
              <w:left w:val="nil"/>
              <w:bottom w:val="nil"/>
              <w:right w:val="nil"/>
            </w:tcBorders>
            <w:shd w:val="clear" w:color="000000" w:fill="FFFFFF"/>
            <w:noWrap/>
            <w:vAlign w:val="center"/>
            <w:hideMark/>
          </w:tcPr>
          <w:p w14:paraId="3A3B907F" w14:textId="77777777" w:rsidR="00C97D5C" w:rsidRPr="00907622" w:rsidRDefault="00C97D5C">
            <w:pPr>
              <w:spacing w:after="0" w:line="240" w:lineRule="auto"/>
              <w:rPr>
                <w:rFonts w:ascii="Times New Roman" w:hAnsi="Times New Roman"/>
                <w:sz w:val="28"/>
                <w:szCs w:val="28"/>
                <w:lang w:eastAsia="sk-SK"/>
              </w:rPr>
            </w:pPr>
            <w:r w:rsidRPr="00907622">
              <w:rPr>
                <w:rFonts w:ascii="Times New Roman" w:hAnsi="Times New Roman"/>
                <w:sz w:val="28"/>
                <w:szCs w:val="28"/>
                <w:lang w:eastAsia="sk-SK"/>
              </w:rPr>
              <w:t> </w:t>
            </w:r>
          </w:p>
        </w:tc>
        <w:tc>
          <w:tcPr>
            <w:tcW w:w="135" w:type="pct"/>
            <w:tcBorders>
              <w:top w:val="nil"/>
              <w:left w:val="nil"/>
              <w:bottom w:val="nil"/>
              <w:right w:val="nil"/>
            </w:tcBorders>
            <w:shd w:val="clear" w:color="000000" w:fill="FFFFFF"/>
            <w:noWrap/>
            <w:vAlign w:val="center"/>
            <w:hideMark/>
          </w:tcPr>
          <w:p w14:paraId="1A2322D8" w14:textId="77777777" w:rsidR="00C97D5C" w:rsidRPr="00907622" w:rsidRDefault="00C97D5C">
            <w:pPr>
              <w:spacing w:after="0" w:line="240" w:lineRule="auto"/>
              <w:rPr>
                <w:rFonts w:ascii="Times New Roman" w:hAnsi="Times New Roman"/>
                <w:sz w:val="28"/>
                <w:szCs w:val="28"/>
                <w:lang w:eastAsia="sk-SK"/>
              </w:rPr>
            </w:pPr>
            <w:r w:rsidRPr="00907622">
              <w:rPr>
                <w:rFonts w:ascii="Times New Roman" w:hAnsi="Times New Roman"/>
                <w:sz w:val="28"/>
                <w:szCs w:val="28"/>
                <w:lang w:eastAsia="sk-SK"/>
              </w:rPr>
              <w:t> </w:t>
            </w:r>
          </w:p>
        </w:tc>
        <w:tc>
          <w:tcPr>
            <w:tcW w:w="146" w:type="pct"/>
            <w:tcBorders>
              <w:top w:val="nil"/>
              <w:left w:val="nil"/>
              <w:bottom w:val="nil"/>
              <w:right w:val="nil"/>
            </w:tcBorders>
            <w:shd w:val="clear" w:color="000000" w:fill="FFFFFF"/>
            <w:noWrap/>
            <w:vAlign w:val="center"/>
            <w:hideMark/>
          </w:tcPr>
          <w:p w14:paraId="50FC6F9E" w14:textId="77777777" w:rsidR="00C97D5C" w:rsidRPr="00907622" w:rsidRDefault="00C97D5C">
            <w:pPr>
              <w:spacing w:after="0" w:line="240" w:lineRule="auto"/>
              <w:rPr>
                <w:rFonts w:ascii="Times New Roman" w:hAnsi="Times New Roman"/>
                <w:sz w:val="28"/>
                <w:szCs w:val="28"/>
                <w:lang w:eastAsia="sk-SK"/>
              </w:rPr>
            </w:pPr>
            <w:r w:rsidRPr="00907622">
              <w:rPr>
                <w:rFonts w:ascii="Times New Roman" w:hAnsi="Times New Roman"/>
                <w:sz w:val="28"/>
                <w:szCs w:val="28"/>
                <w:lang w:eastAsia="sk-SK"/>
              </w:rPr>
              <w:t> </w:t>
            </w:r>
          </w:p>
        </w:tc>
        <w:tc>
          <w:tcPr>
            <w:tcW w:w="128" w:type="pct"/>
            <w:tcBorders>
              <w:top w:val="nil"/>
              <w:left w:val="nil"/>
              <w:bottom w:val="nil"/>
              <w:right w:val="nil"/>
            </w:tcBorders>
            <w:shd w:val="clear" w:color="000000" w:fill="FFFFFF"/>
            <w:noWrap/>
            <w:vAlign w:val="center"/>
            <w:hideMark/>
          </w:tcPr>
          <w:p w14:paraId="7F52CE3F" w14:textId="77777777" w:rsidR="00C97D5C" w:rsidRPr="00907622" w:rsidRDefault="00C97D5C">
            <w:pPr>
              <w:spacing w:after="0" w:line="240" w:lineRule="auto"/>
              <w:rPr>
                <w:rFonts w:ascii="Times New Roman" w:hAnsi="Times New Roman"/>
                <w:sz w:val="28"/>
                <w:szCs w:val="28"/>
                <w:lang w:eastAsia="sk-SK"/>
              </w:rPr>
            </w:pPr>
            <w:r w:rsidRPr="00907622">
              <w:rPr>
                <w:rFonts w:ascii="Times New Roman" w:hAnsi="Times New Roman"/>
                <w:sz w:val="28"/>
                <w:szCs w:val="28"/>
                <w:lang w:eastAsia="sk-SK"/>
              </w:rPr>
              <w:t> </w:t>
            </w:r>
          </w:p>
        </w:tc>
        <w:tc>
          <w:tcPr>
            <w:tcW w:w="128" w:type="pct"/>
            <w:tcBorders>
              <w:top w:val="nil"/>
              <w:left w:val="nil"/>
              <w:bottom w:val="nil"/>
              <w:right w:val="nil"/>
            </w:tcBorders>
            <w:shd w:val="clear" w:color="000000" w:fill="FFFFFF"/>
            <w:noWrap/>
            <w:vAlign w:val="center"/>
            <w:hideMark/>
          </w:tcPr>
          <w:p w14:paraId="26BF3C87" w14:textId="77777777" w:rsidR="00C97D5C" w:rsidRPr="00907622" w:rsidRDefault="00C97D5C">
            <w:pPr>
              <w:spacing w:after="0" w:line="240" w:lineRule="auto"/>
              <w:rPr>
                <w:rFonts w:ascii="Times New Roman" w:hAnsi="Times New Roman"/>
                <w:color w:val="FF0000"/>
                <w:sz w:val="28"/>
                <w:szCs w:val="28"/>
                <w:lang w:eastAsia="sk-SK"/>
              </w:rPr>
            </w:pPr>
            <w:r w:rsidRPr="00907622">
              <w:rPr>
                <w:rFonts w:ascii="Times New Roman" w:hAnsi="Times New Roman"/>
                <w:color w:val="FF0000"/>
                <w:sz w:val="28"/>
                <w:szCs w:val="28"/>
                <w:lang w:eastAsia="sk-SK"/>
              </w:rPr>
              <w:t> </w:t>
            </w:r>
          </w:p>
        </w:tc>
        <w:tc>
          <w:tcPr>
            <w:tcW w:w="128" w:type="pct"/>
            <w:tcBorders>
              <w:top w:val="nil"/>
              <w:left w:val="nil"/>
              <w:bottom w:val="nil"/>
              <w:right w:val="nil"/>
            </w:tcBorders>
            <w:shd w:val="clear" w:color="000000" w:fill="FFFFFF"/>
            <w:noWrap/>
            <w:vAlign w:val="center"/>
            <w:hideMark/>
          </w:tcPr>
          <w:p w14:paraId="1181C16A" w14:textId="77777777" w:rsidR="00C97D5C" w:rsidRPr="00907622" w:rsidRDefault="00C97D5C">
            <w:pPr>
              <w:spacing w:after="0" w:line="240" w:lineRule="auto"/>
              <w:rPr>
                <w:rFonts w:ascii="Times New Roman" w:hAnsi="Times New Roman"/>
                <w:color w:val="FF0000"/>
                <w:sz w:val="28"/>
                <w:szCs w:val="28"/>
                <w:lang w:eastAsia="sk-SK"/>
              </w:rPr>
            </w:pPr>
            <w:r w:rsidRPr="00907622">
              <w:rPr>
                <w:rFonts w:ascii="Times New Roman" w:hAnsi="Times New Roman"/>
                <w:color w:val="FF0000"/>
                <w:sz w:val="28"/>
                <w:szCs w:val="28"/>
                <w:lang w:eastAsia="sk-SK"/>
              </w:rPr>
              <w:t> </w:t>
            </w:r>
          </w:p>
        </w:tc>
        <w:tc>
          <w:tcPr>
            <w:tcW w:w="128" w:type="pct"/>
            <w:tcBorders>
              <w:top w:val="nil"/>
              <w:left w:val="nil"/>
              <w:bottom w:val="nil"/>
              <w:right w:val="nil"/>
            </w:tcBorders>
            <w:shd w:val="clear" w:color="000000" w:fill="FFFFFF"/>
            <w:noWrap/>
            <w:vAlign w:val="center"/>
            <w:hideMark/>
          </w:tcPr>
          <w:p w14:paraId="39E5C617" w14:textId="77777777" w:rsidR="00C97D5C" w:rsidRPr="00907622" w:rsidRDefault="00C97D5C">
            <w:pPr>
              <w:spacing w:after="0" w:line="240" w:lineRule="auto"/>
              <w:rPr>
                <w:rFonts w:ascii="Times New Roman" w:hAnsi="Times New Roman"/>
                <w:color w:val="FF0000"/>
                <w:sz w:val="28"/>
                <w:szCs w:val="28"/>
                <w:lang w:eastAsia="sk-SK"/>
              </w:rPr>
            </w:pPr>
            <w:r w:rsidRPr="00907622">
              <w:rPr>
                <w:rFonts w:ascii="Times New Roman" w:hAnsi="Times New Roman"/>
                <w:color w:val="FF0000"/>
                <w:sz w:val="28"/>
                <w:szCs w:val="28"/>
                <w:lang w:eastAsia="sk-SK"/>
              </w:rPr>
              <w:t> </w:t>
            </w:r>
          </w:p>
        </w:tc>
        <w:tc>
          <w:tcPr>
            <w:tcW w:w="117" w:type="pct"/>
            <w:tcBorders>
              <w:top w:val="nil"/>
              <w:left w:val="nil"/>
              <w:bottom w:val="nil"/>
              <w:right w:val="nil"/>
            </w:tcBorders>
            <w:shd w:val="clear" w:color="000000" w:fill="FFFFFF"/>
            <w:noWrap/>
            <w:vAlign w:val="center"/>
            <w:hideMark/>
          </w:tcPr>
          <w:p w14:paraId="3EED3E3E" w14:textId="77777777" w:rsidR="00C97D5C" w:rsidRPr="00907622" w:rsidRDefault="00C97D5C">
            <w:pPr>
              <w:spacing w:after="0" w:line="240" w:lineRule="auto"/>
              <w:rPr>
                <w:rFonts w:ascii="Times New Roman" w:hAnsi="Times New Roman"/>
                <w:color w:val="FF0000"/>
                <w:sz w:val="28"/>
                <w:szCs w:val="28"/>
                <w:lang w:eastAsia="sk-SK"/>
              </w:rPr>
            </w:pPr>
            <w:r w:rsidRPr="00907622">
              <w:rPr>
                <w:rFonts w:ascii="Times New Roman" w:hAnsi="Times New Roman"/>
                <w:color w:val="FF0000"/>
                <w:sz w:val="28"/>
                <w:szCs w:val="28"/>
                <w:lang w:eastAsia="sk-SK"/>
              </w:rPr>
              <w:t> </w:t>
            </w:r>
          </w:p>
        </w:tc>
        <w:tc>
          <w:tcPr>
            <w:tcW w:w="135" w:type="pct"/>
            <w:tcBorders>
              <w:top w:val="nil"/>
              <w:left w:val="nil"/>
              <w:bottom w:val="nil"/>
              <w:right w:val="nil"/>
            </w:tcBorders>
            <w:shd w:val="clear" w:color="000000" w:fill="FFFFFF"/>
            <w:noWrap/>
            <w:vAlign w:val="center"/>
            <w:hideMark/>
          </w:tcPr>
          <w:p w14:paraId="2E799ADB" w14:textId="77777777" w:rsidR="00C97D5C" w:rsidRPr="00907622" w:rsidRDefault="00C97D5C">
            <w:pPr>
              <w:spacing w:after="0" w:line="240" w:lineRule="auto"/>
              <w:rPr>
                <w:rFonts w:ascii="Times New Roman" w:hAnsi="Times New Roman"/>
                <w:color w:val="FF0000"/>
                <w:sz w:val="28"/>
                <w:szCs w:val="28"/>
                <w:lang w:eastAsia="sk-SK"/>
              </w:rPr>
            </w:pPr>
            <w:r w:rsidRPr="00907622">
              <w:rPr>
                <w:rFonts w:ascii="Times New Roman" w:hAnsi="Times New Roman"/>
                <w:color w:val="FF0000"/>
                <w:sz w:val="28"/>
                <w:szCs w:val="28"/>
                <w:lang w:eastAsia="sk-SK"/>
              </w:rPr>
              <w:t> </w:t>
            </w:r>
          </w:p>
        </w:tc>
      </w:tr>
      <w:tr w:rsidR="005C3EFB" w:rsidRPr="00907622" w14:paraId="26159457" w14:textId="77777777" w:rsidTr="00A02729">
        <w:trPr>
          <w:trHeight w:val="270"/>
          <w:jc w:val="center"/>
        </w:trPr>
        <w:tc>
          <w:tcPr>
            <w:tcW w:w="135" w:type="pct"/>
            <w:tcBorders>
              <w:top w:val="nil"/>
              <w:left w:val="nil"/>
              <w:bottom w:val="nil"/>
              <w:right w:val="nil"/>
            </w:tcBorders>
            <w:shd w:val="clear" w:color="000000" w:fill="FFFFFF"/>
            <w:noWrap/>
            <w:vAlign w:val="center"/>
            <w:hideMark/>
          </w:tcPr>
          <w:p w14:paraId="297CA42A"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16" w:type="pct"/>
            <w:tcBorders>
              <w:top w:val="nil"/>
              <w:left w:val="nil"/>
              <w:bottom w:val="nil"/>
              <w:right w:val="nil"/>
            </w:tcBorders>
            <w:shd w:val="clear" w:color="000000" w:fill="FFFFFF"/>
            <w:noWrap/>
            <w:vAlign w:val="center"/>
            <w:hideMark/>
          </w:tcPr>
          <w:p w14:paraId="2DB2B940"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 </w:t>
            </w:r>
          </w:p>
        </w:tc>
        <w:tc>
          <w:tcPr>
            <w:tcW w:w="176" w:type="pct"/>
            <w:tcBorders>
              <w:top w:val="nil"/>
              <w:left w:val="nil"/>
              <w:bottom w:val="nil"/>
              <w:right w:val="nil"/>
            </w:tcBorders>
            <w:shd w:val="clear" w:color="000000" w:fill="FFFFFF"/>
            <w:noWrap/>
            <w:vAlign w:val="center"/>
            <w:hideMark/>
          </w:tcPr>
          <w:p w14:paraId="3C79857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46" w:type="pct"/>
            <w:tcBorders>
              <w:top w:val="nil"/>
              <w:left w:val="nil"/>
              <w:bottom w:val="nil"/>
              <w:right w:val="nil"/>
            </w:tcBorders>
            <w:shd w:val="clear" w:color="000000" w:fill="FFFFFF"/>
            <w:noWrap/>
            <w:vAlign w:val="center"/>
            <w:hideMark/>
          </w:tcPr>
          <w:p w14:paraId="1D032A4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46" w:type="pct"/>
            <w:tcBorders>
              <w:top w:val="nil"/>
              <w:left w:val="nil"/>
              <w:bottom w:val="nil"/>
              <w:right w:val="nil"/>
            </w:tcBorders>
            <w:shd w:val="clear" w:color="000000" w:fill="FFFFFF"/>
            <w:noWrap/>
            <w:vAlign w:val="center"/>
            <w:hideMark/>
          </w:tcPr>
          <w:p w14:paraId="1D7A017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7" w:type="pct"/>
            <w:tcBorders>
              <w:top w:val="nil"/>
              <w:left w:val="nil"/>
              <w:bottom w:val="nil"/>
              <w:right w:val="nil"/>
            </w:tcBorders>
            <w:shd w:val="clear" w:color="000000" w:fill="FFFFFF"/>
            <w:noWrap/>
            <w:vAlign w:val="center"/>
            <w:hideMark/>
          </w:tcPr>
          <w:p w14:paraId="6C9829D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248A32F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64D1EBFE" w14:textId="77777777" w:rsidR="00C97D5C" w:rsidRPr="00907622" w:rsidRDefault="00C97D5C">
            <w:pPr>
              <w:spacing w:after="0" w:line="240" w:lineRule="auto"/>
              <w:jc w:val="center"/>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55" w:type="pct"/>
            <w:tcBorders>
              <w:top w:val="nil"/>
              <w:left w:val="nil"/>
              <w:bottom w:val="nil"/>
              <w:right w:val="nil"/>
            </w:tcBorders>
            <w:shd w:val="clear" w:color="000000" w:fill="FFFFFF"/>
            <w:noWrap/>
            <w:vAlign w:val="center"/>
            <w:hideMark/>
          </w:tcPr>
          <w:p w14:paraId="64576D4D" w14:textId="77777777" w:rsidR="00C97D5C" w:rsidRPr="00907622" w:rsidRDefault="00C97D5C">
            <w:pPr>
              <w:spacing w:after="0" w:line="240" w:lineRule="auto"/>
              <w:jc w:val="center"/>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52" w:type="pct"/>
            <w:tcBorders>
              <w:top w:val="nil"/>
              <w:left w:val="nil"/>
              <w:bottom w:val="nil"/>
              <w:right w:val="nil"/>
            </w:tcBorders>
            <w:shd w:val="clear" w:color="000000" w:fill="FFFFFF"/>
            <w:noWrap/>
            <w:vAlign w:val="center"/>
            <w:hideMark/>
          </w:tcPr>
          <w:p w14:paraId="090910BF" w14:textId="77777777" w:rsidR="00C97D5C" w:rsidRPr="00907622" w:rsidRDefault="00C97D5C">
            <w:pPr>
              <w:spacing w:after="0" w:line="240" w:lineRule="auto"/>
              <w:jc w:val="center"/>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74" w:type="pct"/>
            <w:tcBorders>
              <w:top w:val="nil"/>
              <w:left w:val="nil"/>
              <w:bottom w:val="nil"/>
              <w:right w:val="nil"/>
            </w:tcBorders>
            <w:shd w:val="clear" w:color="000000" w:fill="FFFFFF"/>
            <w:noWrap/>
            <w:vAlign w:val="center"/>
            <w:hideMark/>
          </w:tcPr>
          <w:p w14:paraId="3BD426D6" w14:textId="77777777" w:rsidR="00C97D5C" w:rsidRPr="00907622" w:rsidRDefault="00C97D5C">
            <w:pPr>
              <w:spacing w:after="0" w:line="240" w:lineRule="auto"/>
              <w:jc w:val="center"/>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58" w:type="pct"/>
            <w:tcBorders>
              <w:top w:val="nil"/>
              <w:left w:val="nil"/>
              <w:bottom w:val="nil"/>
              <w:right w:val="nil"/>
            </w:tcBorders>
            <w:shd w:val="clear" w:color="000000" w:fill="FFFFFF"/>
            <w:noWrap/>
            <w:vAlign w:val="center"/>
            <w:hideMark/>
          </w:tcPr>
          <w:p w14:paraId="54E2A31A" w14:textId="77777777" w:rsidR="00C97D5C" w:rsidRPr="00907622" w:rsidRDefault="00C97D5C">
            <w:pPr>
              <w:spacing w:after="0" w:line="240" w:lineRule="auto"/>
              <w:jc w:val="center"/>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52" w:type="pct"/>
            <w:tcBorders>
              <w:top w:val="nil"/>
              <w:left w:val="nil"/>
              <w:bottom w:val="nil"/>
              <w:right w:val="nil"/>
            </w:tcBorders>
            <w:shd w:val="clear" w:color="000000" w:fill="FFFFFF"/>
            <w:noWrap/>
            <w:vAlign w:val="center"/>
            <w:hideMark/>
          </w:tcPr>
          <w:p w14:paraId="1598019A" w14:textId="77777777" w:rsidR="00C97D5C" w:rsidRPr="00907622" w:rsidRDefault="00C97D5C">
            <w:pPr>
              <w:spacing w:after="0" w:line="240" w:lineRule="auto"/>
              <w:jc w:val="center"/>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52" w:type="pct"/>
            <w:tcBorders>
              <w:top w:val="nil"/>
              <w:left w:val="nil"/>
              <w:bottom w:val="nil"/>
              <w:right w:val="nil"/>
            </w:tcBorders>
            <w:shd w:val="clear" w:color="000000" w:fill="FFFFFF"/>
            <w:noWrap/>
            <w:vAlign w:val="center"/>
            <w:hideMark/>
          </w:tcPr>
          <w:p w14:paraId="03822CAB" w14:textId="77777777" w:rsidR="00C97D5C" w:rsidRPr="00907622" w:rsidRDefault="00C97D5C">
            <w:pPr>
              <w:spacing w:after="0" w:line="240" w:lineRule="auto"/>
              <w:jc w:val="center"/>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52" w:type="pct"/>
            <w:tcBorders>
              <w:top w:val="nil"/>
              <w:left w:val="nil"/>
              <w:bottom w:val="nil"/>
              <w:right w:val="nil"/>
            </w:tcBorders>
            <w:shd w:val="clear" w:color="000000" w:fill="FFFFFF"/>
            <w:noWrap/>
            <w:vAlign w:val="center"/>
            <w:hideMark/>
          </w:tcPr>
          <w:p w14:paraId="33F846A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56BC61A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4" w:type="pct"/>
            <w:tcBorders>
              <w:top w:val="nil"/>
              <w:left w:val="nil"/>
              <w:bottom w:val="nil"/>
              <w:right w:val="nil"/>
            </w:tcBorders>
            <w:shd w:val="clear" w:color="000000" w:fill="FFFFFF"/>
            <w:noWrap/>
            <w:vAlign w:val="center"/>
            <w:hideMark/>
          </w:tcPr>
          <w:p w14:paraId="13FAC80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nil"/>
              <w:left w:val="nil"/>
              <w:bottom w:val="nil"/>
              <w:right w:val="nil"/>
            </w:tcBorders>
            <w:shd w:val="clear" w:color="000000" w:fill="FFFFFF"/>
            <w:noWrap/>
            <w:vAlign w:val="center"/>
            <w:hideMark/>
          </w:tcPr>
          <w:p w14:paraId="16D8097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78EFBCB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2026E7C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0F96CBE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271869F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6EA6839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05134E0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nil"/>
              <w:left w:val="nil"/>
              <w:bottom w:val="nil"/>
              <w:right w:val="nil"/>
            </w:tcBorders>
            <w:shd w:val="clear" w:color="000000" w:fill="FFFFFF"/>
            <w:noWrap/>
            <w:vAlign w:val="center"/>
            <w:hideMark/>
          </w:tcPr>
          <w:p w14:paraId="50A4A33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5716D59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220DD74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08099B1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738E727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17" w:type="pct"/>
            <w:tcBorders>
              <w:top w:val="nil"/>
              <w:left w:val="nil"/>
              <w:bottom w:val="nil"/>
              <w:right w:val="nil"/>
            </w:tcBorders>
            <w:shd w:val="clear" w:color="000000" w:fill="FFFFFF"/>
            <w:noWrap/>
            <w:vAlign w:val="center"/>
            <w:hideMark/>
          </w:tcPr>
          <w:p w14:paraId="3ACA9EF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0A415242"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0AEB2431" w14:textId="77777777" w:rsidTr="00A02729">
        <w:trPr>
          <w:trHeight w:val="255"/>
          <w:jc w:val="center"/>
        </w:trPr>
        <w:tc>
          <w:tcPr>
            <w:tcW w:w="135" w:type="pct"/>
            <w:tcBorders>
              <w:top w:val="nil"/>
              <w:left w:val="nil"/>
              <w:bottom w:val="nil"/>
              <w:right w:val="nil"/>
            </w:tcBorders>
            <w:shd w:val="clear" w:color="000000" w:fill="FFFFFF"/>
            <w:noWrap/>
            <w:vAlign w:val="center"/>
            <w:hideMark/>
          </w:tcPr>
          <w:p w14:paraId="43CC7714"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16" w:type="pct"/>
            <w:tcBorders>
              <w:top w:val="nil"/>
              <w:left w:val="nil"/>
              <w:bottom w:val="nil"/>
              <w:right w:val="nil"/>
            </w:tcBorders>
            <w:shd w:val="clear" w:color="000000" w:fill="FFFFFF"/>
            <w:noWrap/>
            <w:vAlign w:val="center"/>
            <w:hideMark/>
          </w:tcPr>
          <w:p w14:paraId="1601053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6" w:type="pct"/>
            <w:tcBorders>
              <w:top w:val="nil"/>
              <w:left w:val="nil"/>
              <w:bottom w:val="nil"/>
              <w:right w:val="nil"/>
            </w:tcBorders>
            <w:shd w:val="clear" w:color="000000" w:fill="FFFFFF"/>
            <w:noWrap/>
            <w:vAlign w:val="center"/>
            <w:hideMark/>
          </w:tcPr>
          <w:p w14:paraId="40311B3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46" w:type="pct"/>
            <w:tcBorders>
              <w:top w:val="nil"/>
              <w:left w:val="nil"/>
              <w:bottom w:val="nil"/>
              <w:right w:val="nil"/>
            </w:tcBorders>
            <w:shd w:val="clear" w:color="000000" w:fill="FFFFFF"/>
            <w:noWrap/>
            <w:vAlign w:val="center"/>
            <w:hideMark/>
          </w:tcPr>
          <w:p w14:paraId="36EDF4D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46" w:type="pct"/>
            <w:tcBorders>
              <w:top w:val="nil"/>
              <w:left w:val="nil"/>
              <w:bottom w:val="nil"/>
              <w:right w:val="nil"/>
            </w:tcBorders>
            <w:shd w:val="clear" w:color="000000" w:fill="FFFFFF"/>
            <w:noWrap/>
            <w:vAlign w:val="center"/>
            <w:hideMark/>
          </w:tcPr>
          <w:p w14:paraId="66B944C0" w14:textId="77777777" w:rsidR="00C97D5C"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p w14:paraId="797110C5" w14:textId="77777777" w:rsidR="00A02729" w:rsidRDefault="00A02729">
            <w:pPr>
              <w:spacing w:after="0" w:line="240" w:lineRule="auto"/>
              <w:rPr>
                <w:rFonts w:ascii="Times New Roman" w:hAnsi="Times New Roman"/>
                <w:sz w:val="20"/>
                <w:szCs w:val="20"/>
                <w:lang w:eastAsia="sk-SK"/>
              </w:rPr>
            </w:pPr>
          </w:p>
          <w:p w14:paraId="6B2F3CB0" w14:textId="77777777" w:rsidR="00A02729" w:rsidRDefault="00A02729">
            <w:pPr>
              <w:spacing w:after="0" w:line="240" w:lineRule="auto"/>
              <w:rPr>
                <w:rFonts w:ascii="Times New Roman" w:hAnsi="Times New Roman"/>
                <w:sz w:val="20"/>
                <w:szCs w:val="20"/>
                <w:lang w:eastAsia="sk-SK"/>
              </w:rPr>
            </w:pPr>
          </w:p>
          <w:p w14:paraId="19926EF7" w14:textId="77777777" w:rsidR="00A02729" w:rsidRDefault="00A02729">
            <w:pPr>
              <w:spacing w:after="0" w:line="240" w:lineRule="auto"/>
              <w:rPr>
                <w:rFonts w:ascii="Times New Roman" w:hAnsi="Times New Roman"/>
                <w:sz w:val="20"/>
                <w:szCs w:val="20"/>
                <w:lang w:eastAsia="sk-SK"/>
              </w:rPr>
            </w:pPr>
          </w:p>
          <w:p w14:paraId="224B1016" w14:textId="77777777" w:rsidR="00A02729" w:rsidRDefault="00A02729">
            <w:pPr>
              <w:spacing w:after="0" w:line="240" w:lineRule="auto"/>
              <w:rPr>
                <w:rFonts w:ascii="Times New Roman" w:hAnsi="Times New Roman"/>
                <w:sz w:val="20"/>
                <w:szCs w:val="20"/>
                <w:lang w:eastAsia="sk-SK"/>
              </w:rPr>
            </w:pPr>
          </w:p>
          <w:p w14:paraId="1AD23A60" w14:textId="77777777" w:rsidR="00A02729" w:rsidRDefault="00A02729">
            <w:pPr>
              <w:spacing w:after="0" w:line="240" w:lineRule="auto"/>
              <w:rPr>
                <w:rFonts w:ascii="Times New Roman" w:hAnsi="Times New Roman"/>
                <w:sz w:val="20"/>
                <w:szCs w:val="20"/>
                <w:lang w:eastAsia="sk-SK"/>
              </w:rPr>
            </w:pPr>
          </w:p>
          <w:p w14:paraId="61D65FC6" w14:textId="77777777" w:rsidR="00A02729" w:rsidRPr="00907622" w:rsidRDefault="00A02729">
            <w:pPr>
              <w:spacing w:after="0" w:line="240" w:lineRule="auto"/>
              <w:rPr>
                <w:rFonts w:ascii="Times New Roman" w:hAnsi="Times New Roman"/>
                <w:sz w:val="20"/>
                <w:szCs w:val="20"/>
                <w:lang w:eastAsia="sk-SK"/>
              </w:rPr>
            </w:pPr>
          </w:p>
        </w:tc>
        <w:tc>
          <w:tcPr>
            <w:tcW w:w="187" w:type="pct"/>
            <w:tcBorders>
              <w:top w:val="nil"/>
              <w:left w:val="nil"/>
              <w:bottom w:val="nil"/>
              <w:right w:val="nil"/>
            </w:tcBorders>
            <w:shd w:val="clear" w:color="000000" w:fill="FFFFFF"/>
            <w:noWrap/>
            <w:vAlign w:val="center"/>
            <w:hideMark/>
          </w:tcPr>
          <w:p w14:paraId="78252B4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44FB639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7B29903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048E9CC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6E21F9A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4" w:type="pct"/>
            <w:tcBorders>
              <w:top w:val="nil"/>
              <w:left w:val="nil"/>
              <w:bottom w:val="nil"/>
              <w:right w:val="nil"/>
            </w:tcBorders>
            <w:shd w:val="clear" w:color="000000" w:fill="FFFFFF"/>
            <w:noWrap/>
            <w:vAlign w:val="center"/>
            <w:hideMark/>
          </w:tcPr>
          <w:p w14:paraId="28744B3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8" w:type="pct"/>
            <w:tcBorders>
              <w:top w:val="nil"/>
              <w:left w:val="nil"/>
              <w:bottom w:val="nil"/>
              <w:right w:val="nil"/>
            </w:tcBorders>
            <w:shd w:val="clear" w:color="000000" w:fill="FFFFFF"/>
            <w:noWrap/>
            <w:vAlign w:val="center"/>
            <w:hideMark/>
          </w:tcPr>
          <w:p w14:paraId="1075A5F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0C6DB92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686593C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1BE39F2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065E3F5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4" w:type="pct"/>
            <w:tcBorders>
              <w:top w:val="nil"/>
              <w:left w:val="nil"/>
              <w:bottom w:val="nil"/>
              <w:right w:val="nil"/>
            </w:tcBorders>
            <w:shd w:val="clear" w:color="000000" w:fill="FFFFFF"/>
            <w:noWrap/>
            <w:vAlign w:val="center"/>
            <w:hideMark/>
          </w:tcPr>
          <w:p w14:paraId="68AFC23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nil"/>
              <w:left w:val="nil"/>
              <w:bottom w:val="nil"/>
              <w:right w:val="nil"/>
            </w:tcBorders>
            <w:shd w:val="clear" w:color="000000" w:fill="FFFFFF"/>
            <w:noWrap/>
            <w:vAlign w:val="center"/>
            <w:hideMark/>
          </w:tcPr>
          <w:p w14:paraId="39BAB63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4AEDF81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26541B9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03B4674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3AE9B67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330A30F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2904B0D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nil"/>
              <w:left w:val="nil"/>
              <w:bottom w:val="nil"/>
              <w:right w:val="nil"/>
            </w:tcBorders>
            <w:shd w:val="clear" w:color="000000" w:fill="FFFFFF"/>
            <w:noWrap/>
            <w:vAlign w:val="center"/>
            <w:hideMark/>
          </w:tcPr>
          <w:p w14:paraId="34003A4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07C7EB3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1B98674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40BE68F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63CD3CE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17" w:type="pct"/>
            <w:tcBorders>
              <w:top w:val="nil"/>
              <w:left w:val="nil"/>
              <w:bottom w:val="nil"/>
              <w:right w:val="nil"/>
            </w:tcBorders>
            <w:shd w:val="clear" w:color="000000" w:fill="FFFFFF"/>
            <w:noWrap/>
            <w:vAlign w:val="center"/>
            <w:hideMark/>
          </w:tcPr>
          <w:p w14:paraId="53A5F86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21367D41"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41D78E3E" w14:textId="77777777" w:rsidTr="00A02729">
        <w:trPr>
          <w:trHeight w:val="255"/>
          <w:jc w:val="center"/>
        </w:trPr>
        <w:tc>
          <w:tcPr>
            <w:tcW w:w="135" w:type="pct"/>
            <w:tcBorders>
              <w:top w:val="nil"/>
              <w:left w:val="nil"/>
              <w:bottom w:val="nil"/>
              <w:right w:val="nil"/>
            </w:tcBorders>
            <w:shd w:val="clear" w:color="000000" w:fill="FFFFFF"/>
            <w:noWrap/>
            <w:vAlign w:val="center"/>
            <w:hideMark/>
          </w:tcPr>
          <w:p w14:paraId="585EF268"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16" w:type="pct"/>
            <w:tcBorders>
              <w:top w:val="nil"/>
              <w:left w:val="nil"/>
              <w:bottom w:val="nil"/>
              <w:right w:val="nil"/>
            </w:tcBorders>
            <w:shd w:val="clear" w:color="000000" w:fill="FFFFFF"/>
            <w:noWrap/>
            <w:vAlign w:val="center"/>
            <w:hideMark/>
          </w:tcPr>
          <w:p w14:paraId="4D8658D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6" w:type="pct"/>
            <w:tcBorders>
              <w:top w:val="nil"/>
              <w:left w:val="nil"/>
              <w:bottom w:val="nil"/>
              <w:right w:val="nil"/>
            </w:tcBorders>
            <w:shd w:val="clear" w:color="000000" w:fill="FFFFFF"/>
            <w:noWrap/>
            <w:vAlign w:val="center"/>
            <w:hideMark/>
          </w:tcPr>
          <w:p w14:paraId="360C3BB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46" w:type="pct"/>
            <w:tcBorders>
              <w:top w:val="nil"/>
              <w:left w:val="nil"/>
              <w:bottom w:val="nil"/>
              <w:right w:val="nil"/>
            </w:tcBorders>
            <w:shd w:val="clear" w:color="000000" w:fill="FFFFFF"/>
            <w:noWrap/>
            <w:vAlign w:val="center"/>
            <w:hideMark/>
          </w:tcPr>
          <w:p w14:paraId="0E5C2AC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46" w:type="pct"/>
            <w:tcBorders>
              <w:top w:val="nil"/>
              <w:left w:val="nil"/>
              <w:bottom w:val="nil"/>
              <w:right w:val="nil"/>
            </w:tcBorders>
            <w:shd w:val="clear" w:color="000000" w:fill="FFFFFF"/>
            <w:noWrap/>
            <w:vAlign w:val="center"/>
            <w:hideMark/>
          </w:tcPr>
          <w:p w14:paraId="00E311A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7" w:type="pct"/>
            <w:tcBorders>
              <w:top w:val="nil"/>
              <w:left w:val="nil"/>
              <w:bottom w:val="nil"/>
              <w:right w:val="nil"/>
            </w:tcBorders>
            <w:shd w:val="clear" w:color="000000" w:fill="FFFFFF"/>
            <w:noWrap/>
            <w:vAlign w:val="center"/>
            <w:hideMark/>
          </w:tcPr>
          <w:p w14:paraId="222A08D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41A1142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5B8E82B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053A136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20073D99" w14:textId="77777777" w:rsidR="00C97D5C" w:rsidRPr="00907622" w:rsidRDefault="00C97D5C">
            <w:pPr>
              <w:spacing w:after="0" w:line="240" w:lineRule="auto"/>
              <w:jc w:val="center"/>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74" w:type="pct"/>
            <w:tcBorders>
              <w:top w:val="nil"/>
              <w:left w:val="nil"/>
              <w:bottom w:val="nil"/>
              <w:right w:val="nil"/>
            </w:tcBorders>
            <w:shd w:val="clear" w:color="000000" w:fill="FFFFFF"/>
            <w:noWrap/>
            <w:vAlign w:val="center"/>
            <w:hideMark/>
          </w:tcPr>
          <w:p w14:paraId="50D2CEA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8" w:type="pct"/>
            <w:tcBorders>
              <w:top w:val="nil"/>
              <w:left w:val="nil"/>
              <w:bottom w:val="nil"/>
              <w:right w:val="nil"/>
            </w:tcBorders>
            <w:shd w:val="clear" w:color="000000" w:fill="FFFFFF"/>
            <w:noWrap/>
            <w:vAlign w:val="center"/>
            <w:hideMark/>
          </w:tcPr>
          <w:p w14:paraId="424DCB3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3D7A80F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1FB3024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316A9F7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6273FA2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4" w:type="pct"/>
            <w:tcBorders>
              <w:top w:val="nil"/>
              <w:left w:val="nil"/>
              <w:bottom w:val="nil"/>
              <w:right w:val="nil"/>
            </w:tcBorders>
            <w:shd w:val="clear" w:color="000000" w:fill="FFFFFF"/>
            <w:noWrap/>
            <w:vAlign w:val="center"/>
            <w:hideMark/>
          </w:tcPr>
          <w:p w14:paraId="1651BD2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nil"/>
              <w:left w:val="nil"/>
              <w:bottom w:val="nil"/>
              <w:right w:val="nil"/>
            </w:tcBorders>
            <w:shd w:val="clear" w:color="000000" w:fill="FFFFFF"/>
            <w:noWrap/>
            <w:vAlign w:val="center"/>
            <w:hideMark/>
          </w:tcPr>
          <w:p w14:paraId="58D195F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7B72418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69489EFF" w14:textId="77777777" w:rsidR="00C97D5C" w:rsidRPr="00907622" w:rsidRDefault="00C97D5C">
            <w:pPr>
              <w:spacing w:after="0" w:line="240" w:lineRule="auto"/>
              <w:jc w:val="right"/>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55" w:type="pct"/>
            <w:tcBorders>
              <w:top w:val="nil"/>
              <w:left w:val="nil"/>
              <w:bottom w:val="nil"/>
              <w:right w:val="nil"/>
            </w:tcBorders>
            <w:shd w:val="clear" w:color="000000" w:fill="FFFFFF"/>
            <w:noWrap/>
            <w:vAlign w:val="center"/>
            <w:hideMark/>
          </w:tcPr>
          <w:p w14:paraId="22089D71" w14:textId="77777777" w:rsidR="00C97D5C" w:rsidRPr="00907622" w:rsidRDefault="00C97D5C">
            <w:pPr>
              <w:spacing w:after="0" w:line="240" w:lineRule="auto"/>
              <w:jc w:val="right"/>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nil"/>
              <w:right w:val="nil"/>
            </w:tcBorders>
            <w:shd w:val="clear" w:color="000000" w:fill="FFFFFF"/>
            <w:noWrap/>
            <w:vAlign w:val="center"/>
            <w:hideMark/>
          </w:tcPr>
          <w:p w14:paraId="3F8CB4B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13FEBBD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2E77C56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nil"/>
              <w:left w:val="nil"/>
              <w:bottom w:val="nil"/>
              <w:right w:val="nil"/>
            </w:tcBorders>
            <w:shd w:val="clear" w:color="000000" w:fill="FFFFFF"/>
            <w:noWrap/>
            <w:vAlign w:val="center"/>
            <w:hideMark/>
          </w:tcPr>
          <w:p w14:paraId="43DD962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26D7234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26720A7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0008CB6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6C70FE0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17" w:type="pct"/>
            <w:tcBorders>
              <w:top w:val="nil"/>
              <w:left w:val="nil"/>
              <w:bottom w:val="nil"/>
              <w:right w:val="nil"/>
            </w:tcBorders>
            <w:shd w:val="clear" w:color="000000" w:fill="FFFFFF"/>
            <w:noWrap/>
            <w:vAlign w:val="center"/>
            <w:hideMark/>
          </w:tcPr>
          <w:p w14:paraId="45CDF57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094E89DC"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3B7C3C4B" w14:textId="77777777" w:rsidTr="00A02729">
        <w:trPr>
          <w:trHeight w:val="255"/>
          <w:jc w:val="center"/>
        </w:trPr>
        <w:tc>
          <w:tcPr>
            <w:tcW w:w="135" w:type="pct"/>
            <w:tcBorders>
              <w:top w:val="nil"/>
              <w:left w:val="nil"/>
              <w:bottom w:val="nil"/>
              <w:right w:val="nil"/>
            </w:tcBorders>
            <w:shd w:val="clear" w:color="000000" w:fill="FFFFFF"/>
            <w:noWrap/>
            <w:vAlign w:val="center"/>
            <w:hideMark/>
          </w:tcPr>
          <w:p w14:paraId="43C120C5"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884" w:type="pct"/>
            <w:gridSpan w:val="4"/>
            <w:tcBorders>
              <w:top w:val="nil"/>
              <w:left w:val="nil"/>
              <w:bottom w:val="nil"/>
              <w:right w:val="nil"/>
            </w:tcBorders>
            <w:shd w:val="clear" w:color="000000" w:fill="FFFFFF"/>
            <w:noWrap/>
            <w:vAlign w:val="center"/>
            <w:hideMark/>
          </w:tcPr>
          <w:p w14:paraId="6312F48A"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Za obdobie</w:t>
            </w:r>
          </w:p>
        </w:tc>
        <w:tc>
          <w:tcPr>
            <w:tcW w:w="187" w:type="pct"/>
            <w:tcBorders>
              <w:top w:val="nil"/>
              <w:left w:val="nil"/>
              <w:bottom w:val="nil"/>
              <w:right w:val="nil"/>
            </w:tcBorders>
            <w:shd w:val="clear" w:color="000000" w:fill="FFFFFF"/>
            <w:noWrap/>
            <w:vAlign w:val="center"/>
            <w:hideMark/>
          </w:tcPr>
          <w:p w14:paraId="693C3D3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4704E36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21940B3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477FAE1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0846E2DB" w14:textId="77777777" w:rsidR="00C97D5C" w:rsidRPr="00907622" w:rsidRDefault="00C97D5C">
            <w:pPr>
              <w:spacing w:after="0" w:line="240" w:lineRule="auto"/>
              <w:jc w:val="center"/>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74" w:type="pct"/>
            <w:tcBorders>
              <w:top w:val="nil"/>
              <w:left w:val="nil"/>
              <w:bottom w:val="nil"/>
              <w:right w:val="nil"/>
            </w:tcBorders>
            <w:shd w:val="clear" w:color="000000" w:fill="FFFFFF"/>
            <w:noWrap/>
            <w:vAlign w:val="center"/>
            <w:hideMark/>
          </w:tcPr>
          <w:p w14:paraId="2279A30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8" w:type="pct"/>
            <w:tcBorders>
              <w:top w:val="nil"/>
              <w:left w:val="nil"/>
              <w:bottom w:val="nil"/>
              <w:right w:val="nil"/>
            </w:tcBorders>
            <w:shd w:val="clear" w:color="000000" w:fill="FFFFFF"/>
            <w:noWrap/>
            <w:vAlign w:val="center"/>
            <w:hideMark/>
          </w:tcPr>
          <w:p w14:paraId="2F6F471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5B06FC2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3603F98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51885A9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7708A66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4" w:type="pct"/>
            <w:tcBorders>
              <w:top w:val="nil"/>
              <w:left w:val="nil"/>
              <w:bottom w:val="nil"/>
              <w:right w:val="nil"/>
            </w:tcBorders>
            <w:shd w:val="clear" w:color="000000" w:fill="FFFFFF"/>
            <w:noWrap/>
            <w:vAlign w:val="center"/>
            <w:hideMark/>
          </w:tcPr>
          <w:p w14:paraId="21E3A85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nil"/>
              <w:left w:val="nil"/>
              <w:bottom w:val="nil"/>
              <w:right w:val="nil"/>
            </w:tcBorders>
            <w:shd w:val="clear" w:color="000000" w:fill="FFFFFF"/>
            <w:noWrap/>
            <w:vAlign w:val="center"/>
            <w:hideMark/>
          </w:tcPr>
          <w:p w14:paraId="35BCCD3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2719B41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201F7D0D" w14:textId="77777777" w:rsidR="00C97D5C" w:rsidRPr="00907622" w:rsidRDefault="00C97D5C">
            <w:pPr>
              <w:spacing w:after="0" w:line="240" w:lineRule="auto"/>
              <w:jc w:val="right"/>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55" w:type="pct"/>
            <w:tcBorders>
              <w:top w:val="nil"/>
              <w:left w:val="nil"/>
              <w:bottom w:val="nil"/>
              <w:right w:val="nil"/>
            </w:tcBorders>
            <w:shd w:val="clear" w:color="000000" w:fill="FFFFFF"/>
            <w:noWrap/>
            <w:vAlign w:val="center"/>
            <w:hideMark/>
          </w:tcPr>
          <w:p w14:paraId="730D1E42" w14:textId="77777777" w:rsidR="00C97D5C" w:rsidRPr="00907622" w:rsidRDefault="00C97D5C">
            <w:pPr>
              <w:spacing w:after="0" w:line="240" w:lineRule="auto"/>
              <w:jc w:val="right"/>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nil"/>
              <w:right w:val="nil"/>
            </w:tcBorders>
            <w:shd w:val="clear" w:color="000000" w:fill="FFFFFF"/>
            <w:noWrap/>
            <w:vAlign w:val="center"/>
            <w:hideMark/>
          </w:tcPr>
          <w:p w14:paraId="594EAF3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3AA4470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4B45383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nil"/>
              <w:left w:val="nil"/>
              <w:bottom w:val="nil"/>
              <w:right w:val="nil"/>
            </w:tcBorders>
            <w:shd w:val="clear" w:color="000000" w:fill="FFFFFF"/>
            <w:noWrap/>
            <w:vAlign w:val="center"/>
            <w:hideMark/>
          </w:tcPr>
          <w:p w14:paraId="398ABF6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1ADD539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37DDAAA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4DE8320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5FD4890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17" w:type="pct"/>
            <w:tcBorders>
              <w:top w:val="nil"/>
              <w:left w:val="nil"/>
              <w:bottom w:val="nil"/>
              <w:right w:val="nil"/>
            </w:tcBorders>
            <w:shd w:val="clear" w:color="000000" w:fill="FFFFFF"/>
            <w:noWrap/>
            <w:vAlign w:val="center"/>
            <w:hideMark/>
          </w:tcPr>
          <w:p w14:paraId="7799410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4D61B7C9"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6C19D958" w14:textId="77777777" w:rsidTr="00A02729">
        <w:trPr>
          <w:trHeight w:val="270"/>
          <w:jc w:val="center"/>
        </w:trPr>
        <w:tc>
          <w:tcPr>
            <w:tcW w:w="135" w:type="pct"/>
            <w:tcBorders>
              <w:top w:val="nil"/>
              <w:left w:val="nil"/>
              <w:bottom w:val="nil"/>
              <w:right w:val="nil"/>
            </w:tcBorders>
            <w:shd w:val="clear" w:color="000000" w:fill="FFFFFF"/>
            <w:noWrap/>
            <w:vAlign w:val="center"/>
            <w:hideMark/>
          </w:tcPr>
          <w:p w14:paraId="4BDA74A9"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16" w:type="pct"/>
            <w:tcBorders>
              <w:top w:val="nil"/>
              <w:left w:val="nil"/>
              <w:bottom w:val="nil"/>
              <w:right w:val="nil"/>
            </w:tcBorders>
            <w:shd w:val="clear" w:color="000000" w:fill="FFFFFF"/>
            <w:noWrap/>
            <w:vAlign w:val="center"/>
            <w:hideMark/>
          </w:tcPr>
          <w:p w14:paraId="16BA48F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6" w:type="pct"/>
            <w:tcBorders>
              <w:top w:val="nil"/>
              <w:left w:val="nil"/>
              <w:bottom w:val="nil"/>
              <w:right w:val="nil"/>
            </w:tcBorders>
            <w:shd w:val="clear" w:color="000000" w:fill="FFFFFF"/>
            <w:noWrap/>
            <w:vAlign w:val="center"/>
            <w:hideMark/>
          </w:tcPr>
          <w:p w14:paraId="038F0AB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492" w:type="pct"/>
            <w:gridSpan w:val="2"/>
            <w:tcBorders>
              <w:top w:val="nil"/>
              <w:left w:val="nil"/>
              <w:bottom w:val="single" w:sz="8" w:space="0" w:color="000000"/>
              <w:right w:val="nil"/>
            </w:tcBorders>
            <w:shd w:val="clear" w:color="000000" w:fill="FFFFFF"/>
            <w:noWrap/>
            <w:vAlign w:val="center"/>
            <w:hideMark/>
          </w:tcPr>
          <w:p w14:paraId="219A2103"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Mesiac</w:t>
            </w:r>
          </w:p>
        </w:tc>
        <w:tc>
          <w:tcPr>
            <w:tcW w:w="187" w:type="pct"/>
            <w:tcBorders>
              <w:top w:val="nil"/>
              <w:left w:val="nil"/>
              <w:bottom w:val="nil"/>
              <w:right w:val="nil"/>
            </w:tcBorders>
            <w:shd w:val="clear" w:color="000000" w:fill="FFFFFF"/>
            <w:noWrap/>
            <w:vAlign w:val="center"/>
            <w:hideMark/>
          </w:tcPr>
          <w:p w14:paraId="30F13B78"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385" w:type="pct"/>
            <w:gridSpan w:val="2"/>
            <w:tcBorders>
              <w:top w:val="nil"/>
              <w:left w:val="nil"/>
              <w:bottom w:val="single" w:sz="8" w:space="0" w:color="000000"/>
              <w:right w:val="nil"/>
            </w:tcBorders>
            <w:shd w:val="clear" w:color="000000" w:fill="FFFFFF"/>
            <w:noWrap/>
            <w:vAlign w:val="center"/>
            <w:hideMark/>
          </w:tcPr>
          <w:p w14:paraId="31833A18"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Rok</w:t>
            </w:r>
          </w:p>
        </w:tc>
        <w:tc>
          <w:tcPr>
            <w:tcW w:w="155" w:type="pct"/>
            <w:tcBorders>
              <w:top w:val="nil"/>
              <w:left w:val="nil"/>
              <w:bottom w:val="nil"/>
              <w:right w:val="nil"/>
            </w:tcBorders>
            <w:shd w:val="clear" w:color="000000" w:fill="FFFFFF"/>
            <w:noWrap/>
            <w:vAlign w:val="center"/>
            <w:hideMark/>
          </w:tcPr>
          <w:p w14:paraId="125879D9"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52" w:type="pct"/>
            <w:tcBorders>
              <w:top w:val="nil"/>
              <w:left w:val="nil"/>
              <w:bottom w:val="nil"/>
              <w:right w:val="nil"/>
            </w:tcBorders>
            <w:shd w:val="clear" w:color="000000" w:fill="FFFFFF"/>
            <w:noWrap/>
            <w:vAlign w:val="center"/>
            <w:hideMark/>
          </w:tcPr>
          <w:p w14:paraId="6747261D"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74" w:type="pct"/>
            <w:tcBorders>
              <w:top w:val="nil"/>
              <w:left w:val="nil"/>
              <w:bottom w:val="nil"/>
              <w:right w:val="nil"/>
            </w:tcBorders>
            <w:shd w:val="clear" w:color="000000" w:fill="FFFFFF"/>
            <w:noWrap/>
            <w:vAlign w:val="center"/>
            <w:hideMark/>
          </w:tcPr>
          <w:p w14:paraId="2F8E0DCA"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58" w:type="pct"/>
            <w:tcBorders>
              <w:top w:val="nil"/>
              <w:left w:val="nil"/>
              <w:bottom w:val="nil"/>
              <w:right w:val="nil"/>
            </w:tcBorders>
            <w:shd w:val="clear" w:color="000000" w:fill="FFFFFF"/>
            <w:noWrap/>
            <w:vAlign w:val="center"/>
            <w:hideMark/>
          </w:tcPr>
          <w:p w14:paraId="77B3BD65"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52" w:type="pct"/>
            <w:tcBorders>
              <w:top w:val="nil"/>
              <w:left w:val="nil"/>
              <w:bottom w:val="nil"/>
              <w:right w:val="nil"/>
            </w:tcBorders>
            <w:shd w:val="clear" w:color="000000" w:fill="FFFFFF"/>
            <w:noWrap/>
            <w:vAlign w:val="center"/>
            <w:hideMark/>
          </w:tcPr>
          <w:p w14:paraId="4575C2AD"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52" w:type="pct"/>
            <w:tcBorders>
              <w:top w:val="nil"/>
              <w:left w:val="nil"/>
              <w:bottom w:val="nil"/>
              <w:right w:val="nil"/>
            </w:tcBorders>
            <w:shd w:val="clear" w:color="000000" w:fill="FFFFFF"/>
            <w:noWrap/>
            <w:vAlign w:val="center"/>
            <w:hideMark/>
          </w:tcPr>
          <w:p w14:paraId="51BA51C5"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52" w:type="pct"/>
            <w:tcBorders>
              <w:top w:val="nil"/>
              <w:left w:val="nil"/>
              <w:bottom w:val="nil"/>
              <w:right w:val="nil"/>
            </w:tcBorders>
            <w:shd w:val="clear" w:color="000000" w:fill="FFFFFF"/>
            <w:noWrap/>
            <w:vAlign w:val="center"/>
            <w:hideMark/>
          </w:tcPr>
          <w:p w14:paraId="73DFD41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6CD9962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395" w:type="pct"/>
            <w:gridSpan w:val="2"/>
            <w:tcBorders>
              <w:top w:val="nil"/>
              <w:left w:val="nil"/>
              <w:bottom w:val="single" w:sz="8" w:space="0" w:color="000000"/>
              <w:right w:val="nil"/>
            </w:tcBorders>
            <w:shd w:val="clear" w:color="000000" w:fill="FFFFFF"/>
            <w:noWrap/>
            <w:vAlign w:val="center"/>
            <w:hideMark/>
          </w:tcPr>
          <w:p w14:paraId="72616D57"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Mesiac</w:t>
            </w:r>
          </w:p>
        </w:tc>
        <w:tc>
          <w:tcPr>
            <w:tcW w:w="152" w:type="pct"/>
            <w:tcBorders>
              <w:top w:val="nil"/>
              <w:left w:val="nil"/>
              <w:bottom w:val="nil"/>
              <w:right w:val="nil"/>
            </w:tcBorders>
            <w:shd w:val="clear" w:color="000000" w:fill="FFFFFF"/>
            <w:noWrap/>
            <w:vAlign w:val="center"/>
            <w:hideMark/>
          </w:tcPr>
          <w:p w14:paraId="1EAC9E77"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310" w:type="pct"/>
            <w:gridSpan w:val="2"/>
            <w:tcBorders>
              <w:top w:val="nil"/>
              <w:left w:val="nil"/>
              <w:bottom w:val="single" w:sz="8" w:space="0" w:color="000000"/>
              <w:right w:val="nil"/>
            </w:tcBorders>
            <w:shd w:val="clear" w:color="000000" w:fill="FFFFFF"/>
            <w:noWrap/>
            <w:vAlign w:val="center"/>
            <w:hideMark/>
          </w:tcPr>
          <w:p w14:paraId="5F47F872"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Rok</w:t>
            </w:r>
          </w:p>
        </w:tc>
        <w:tc>
          <w:tcPr>
            <w:tcW w:w="128" w:type="pct"/>
            <w:tcBorders>
              <w:top w:val="nil"/>
              <w:left w:val="nil"/>
              <w:bottom w:val="nil"/>
              <w:right w:val="nil"/>
            </w:tcBorders>
            <w:shd w:val="clear" w:color="000000" w:fill="FFFFFF"/>
            <w:noWrap/>
            <w:vAlign w:val="center"/>
            <w:hideMark/>
          </w:tcPr>
          <w:p w14:paraId="6713169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62575FC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4D02077F"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46" w:type="pct"/>
            <w:tcBorders>
              <w:top w:val="nil"/>
              <w:left w:val="nil"/>
              <w:bottom w:val="nil"/>
              <w:right w:val="nil"/>
            </w:tcBorders>
            <w:shd w:val="clear" w:color="000000" w:fill="FFFFFF"/>
            <w:noWrap/>
            <w:vAlign w:val="center"/>
            <w:hideMark/>
          </w:tcPr>
          <w:p w14:paraId="61E6616F"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nil"/>
              <w:right w:val="nil"/>
            </w:tcBorders>
            <w:shd w:val="clear" w:color="000000" w:fill="FFFFFF"/>
            <w:noWrap/>
            <w:vAlign w:val="center"/>
            <w:hideMark/>
          </w:tcPr>
          <w:p w14:paraId="5E34D868"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nil"/>
              <w:right w:val="nil"/>
            </w:tcBorders>
            <w:shd w:val="clear" w:color="000000" w:fill="FFFFFF"/>
            <w:noWrap/>
            <w:vAlign w:val="center"/>
            <w:hideMark/>
          </w:tcPr>
          <w:p w14:paraId="2C5EFC01"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nil"/>
              <w:right w:val="nil"/>
            </w:tcBorders>
            <w:shd w:val="clear" w:color="000000" w:fill="FFFFFF"/>
            <w:noWrap/>
            <w:vAlign w:val="center"/>
            <w:hideMark/>
          </w:tcPr>
          <w:p w14:paraId="52F66D42"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nil"/>
              <w:right w:val="nil"/>
            </w:tcBorders>
            <w:shd w:val="clear" w:color="000000" w:fill="FFFFFF"/>
            <w:noWrap/>
            <w:vAlign w:val="center"/>
            <w:hideMark/>
          </w:tcPr>
          <w:p w14:paraId="52CA4DF9"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17" w:type="pct"/>
            <w:tcBorders>
              <w:top w:val="nil"/>
              <w:left w:val="nil"/>
              <w:bottom w:val="nil"/>
              <w:right w:val="nil"/>
            </w:tcBorders>
            <w:shd w:val="clear" w:color="000000" w:fill="FFFFFF"/>
            <w:noWrap/>
            <w:vAlign w:val="center"/>
            <w:hideMark/>
          </w:tcPr>
          <w:p w14:paraId="361E30DC"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35" w:type="pct"/>
            <w:tcBorders>
              <w:top w:val="nil"/>
              <w:left w:val="nil"/>
              <w:bottom w:val="nil"/>
              <w:right w:val="nil"/>
            </w:tcBorders>
            <w:shd w:val="clear" w:color="000000" w:fill="FFFFFF"/>
            <w:noWrap/>
            <w:vAlign w:val="center"/>
            <w:hideMark/>
          </w:tcPr>
          <w:p w14:paraId="3F4534E0"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01C2FFC7" w14:textId="77777777" w:rsidTr="00A02729">
        <w:trPr>
          <w:trHeight w:val="270"/>
          <w:jc w:val="center"/>
        </w:trPr>
        <w:tc>
          <w:tcPr>
            <w:tcW w:w="135" w:type="pct"/>
            <w:tcBorders>
              <w:top w:val="nil"/>
              <w:left w:val="nil"/>
              <w:bottom w:val="nil"/>
              <w:right w:val="nil"/>
            </w:tcBorders>
            <w:shd w:val="clear" w:color="000000" w:fill="FFFFFF"/>
            <w:noWrap/>
            <w:vAlign w:val="center"/>
            <w:hideMark/>
          </w:tcPr>
          <w:p w14:paraId="6CF000C8"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393" w:type="pct"/>
            <w:gridSpan w:val="2"/>
            <w:tcBorders>
              <w:top w:val="nil"/>
              <w:left w:val="nil"/>
              <w:bottom w:val="nil"/>
              <w:right w:val="single" w:sz="8" w:space="0" w:color="000000"/>
            </w:tcBorders>
            <w:shd w:val="clear" w:color="000000" w:fill="FFFFFF"/>
            <w:noWrap/>
            <w:vAlign w:val="center"/>
            <w:hideMark/>
          </w:tcPr>
          <w:p w14:paraId="4E5AF988"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xml:space="preserve">od </w:t>
            </w:r>
          </w:p>
        </w:tc>
        <w:tc>
          <w:tcPr>
            <w:tcW w:w="246" w:type="pct"/>
            <w:tcBorders>
              <w:top w:val="nil"/>
              <w:left w:val="nil"/>
              <w:bottom w:val="single" w:sz="8" w:space="0" w:color="000000"/>
              <w:right w:val="single" w:sz="8" w:space="0" w:color="000000"/>
            </w:tcBorders>
            <w:shd w:val="clear" w:color="000000" w:fill="FFFFFF"/>
            <w:noWrap/>
            <w:vAlign w:val="center"/>
            <w:hideMark/>
          </w:tcPr>
          <w:p w14:paraId="1323C06F"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 0</w:t>
            </w:r>
          </w:p>
        </w:tc>
        <w:tc>
          <w:tcPr>
            <w:tcW w:w="246" w:type="pct"/>
            <w:tcBorders>
              <w:top w:val="nil"/>
              <w:left w:val="nil"/>
              <w:bottom w:val="single" w:sz="8" w:space="0" w:color="000000"/>
              <w:right w:val="single" w:sz="8" w:space="0" w:color="000000"/>
            </w:tcBorders>
            <w:shd w:val="clear" w:color="000000" w:fill="FFFFFF"/>
            <w:noWrap/>
            <w:vAlign w:val="center"/>
            <w:hideMark/>
          </w:tcPr>
          <w:p w14:paraId="5D9A169F"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1 </w:t>
            </w:r>
          </w:p>
        </w:tc>
        <w:tc>
          <w:tcPr>
            <w:tcW w:w="187" w:type="pct"/>
            <w:tcBorders>
              <w:top w:val="nil"/>
              <w:left w:val="nil"/>
              <w:bottom w:val="nil"/>
              <w:right w:val="nil"/>
            </w:tcBorders>
            <w:shd w:val="clear" w:color="000000" w:fill="FFFFFF"/>
            <w:noWrap/>
            <w:vAlign w:val="center"/>
            <w:hideMark/>
          </w:tcPr>
          <w:p w14:paraId="7B62C9B8"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single" w:sz="8" w:space="0" w:color="000000"/>
              <w:bottom w:val="single" w:sz="8" w:space="0" w:color="000000"/>
              <w:right w:val="single" w:sz="8" w:space="0" w:color="000000"/>
            </w:tcBorders>
            <w:shd w:val="clear" w:color="000000" w:fill="FFFFFF"/>
            <w:noWrap/>
            <w:vAlign w:val="center"/>
            <w:hideMark/>
          </w:tcPr>
          <w:p w14:paraId="17E190A2"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2 </w:t>
            </w:r>
          </w:p>
        </w:tc>
        <w:tc>
          <w:tcPr>
            <w:tcW w:w="192" w:type="pct"/>
            <w:tcBorders>
              <w:top w:val="nil"/>
              <w:left w:val="nil"/>
              <w:bottom w:val="single" w:sz="8" w:space="0" w:color="000000"/>
              <w:right w:val="single" w:sz="8" w:space="0" w:color="000000"/>
            </w:tcBorders>
            <w:shd w:val="clear" w:color="000000" w:fill="FFFFFF"/>
            <w:noWrap/>
            <w:vAlign w:val="center"/>
            <w:hideMark/>
          </w:tcPr>
          <w:p w14:paraId="437642D6"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0 </w:t>
            </w:r>
          </w:p>
        </w:tc>
        <w:tc>
          <w:tcPr>
            <w:tcW w:w="155" w:type="pct"/>
            <w:tcBorders>
              <w:top w:val="single" w:sz="8" w:space="0" w:color="000000"/>
              <w:left w:val="nil"/>
              <w:bottom w:val="single" w:sz="8" w:space="0" w:color="000000"/>
              <w:right w:val="single" w:sz="8" w:space="0" w:color="000000"/>
            </w:tcBorders>
            <w:shd w:val="clear" w:color="000000" w:fill="FFFFFF"/>
            <w:noWrap/>
            <w:vAlign w:val="center"/>
            <w:hideMark/>
          </w:tcPr>
          <w:p w14:paraId="2AEED71F"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2 </w:t>
            </w:r>
          </w:p>
        </w:tc>
        <w:tc>
          <w:tcPr>
            <w:tcW w:w="152" w:type="pct"/>
            <w:tcBorders>
              <w:top w:val="single" w:sz="8" w:space="0" w:color="000000"/>
              <w:left w:val="nil"/>
              <w:bottom w:val="single" w:sz="8" w:space="0" w:color="000000"/>
              <w:right w:val="single" w:sz="8" w:space="0" w:color="000000"/>
            </w:tcBorders>
            <w:shd w:val="clear" w:color="000000" w:fill="FFFFFF"/>
            <w:noWrap/>
            <w:vAlign w:val="center"/>
            <w:hideMark/>
          </w:tcPr>
          <w:p w14:paraId="27BF8FC3" w14:textId="4AC19704"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4</w:t>
            </w:r>
          </w:p>
        </w:tc>
        <w:tc>
          <w:tcPr>
            <w:tcW w:w="174" w:type="pct"/>
            <w:tcBorders>
              <w:top w:val="nil"/>
              <w:left w:val="nil"/>
              <w:bottom w:val="nil"/>
              <w:right w:val="nil"/>
            </w:tcBorders>
            <w:shd w:val="clear" w:color="000000" w:fill="FFFFFF"/>
            <w:noWrap/>
            <w:vAlign w:val="center"/>
            <w:hideMark/>
          </w:tcPr>
          <w:p w14:paraId="7AFAFAF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8" w:type="pct"/>
            <w:tcBorders>
              <w:top w:val="nil"/>
              <w:left w:val="nil"/>
              <w:bottom w:val="nil"/>
              <w:right w:val="nil"/>
            </w:tcBorders>
            <w:shd w:val="clear" w:color="000000" w:fill="FFFFFF"/>
            <w:noWrap/>
            <w:vAlign w:val="center"/>
            <w:hideMark/>
          </w:tcPr>
          <w:p w14:paraId="097AA86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419A5234" w14:textId="77777777" w:rsidR="00C97D5C" w:rsidRPr="00907622" w:rsidRDefault="00C97D5C">
            <w:pPr>
              <w:spacing w:after="0" w:line="240" w:lineRule="auto"/>
              <w:jc w:val="center"/>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52" w:type="pct"/>
            <w:tcBorders>
              <w:top w:val="nil"/>
              <w:left w:val="nil"/>
              <w:bottom w:val="nil"/>
              <w:right w:val="nil"/>
            </w:tcBorders>
            <w:shd w:val="clear" w:color="000000" w:fill="FFFFFF"/>
            <w:noWrap/>
            <w:vAlign w:val="center"/>
            <w:hideMark/>
          </w:tcPr>
          <w:p w14:paraId="58505AD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305" w:type="pct"/>
            <w:gridSpan w:val="2"/>
            <w:tcBorders>
              <w:top w:val="nil"/>
              <w:left w:val="nil"/>
              <w:bottom w:val="nil"/>
              <w:right w:val="single" w:sz="8" w:space="0" w:color="000000"/>
            </w:tcBorders>
            <w:shd w:val="clear" w:color="000000" w:fill="FFFFFF"/>
            <w:noWrap/>
            <w:vAlign w:val="center"/>
            <w:hideMark/>
          </w:tcPr>
          <w:p w14:paraId="1DBB0FE1"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xml:space="preserve">do </w:t>
            </w:r>
          </w:p>
        </w:tc>
        <w:tc>
          <w:tcPr>
            <w:tcW w:w="184" w:type="pct"/>
            <w:tcBorders>
              <w:top w:val="nil"/>
              <w:left w:val="nil"/>
              <w:bottom w:val="single" w:sz="8" w:space="0" w:color="000000"/>
              <w:right w:val="single" w:sz="8" w:space="0" w:color="000000"/>
            </w:tcBorders>
            <w:shd w:val="clear" w:color="000000" w:fill="FFFFFF"/>
            <w:noWrap/>
            <w:vAlign w:val="center"/>
            <w:hideMark/>
          </w:tcPr>
          <w:p w14:paraId="2C5CEFAD"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1</w:t>
            </w:r>
          </w:p>
        </w:tc>
        <w:tc>
          <w:tcPr>
            <w:tcW w:w="211" w:type="pct"/>
            <w:tcBorders>
              <w:top w:val="nil"/>
              <w:left w:val="nil"/>
              <w:bottom w:val="single" w:sz="8" w:space="0" w:color="000000"/>
              <w:right w:val="single" w:sz="8" w:space="0" w:color="000000"/>
            </w:tcBorders>
            <w:shd w:val="clear" w:color="000000" w:fill="FFFFFF"/>
            <w:noWrap/>
            <w:vAlign w:val="center"/>
            <w:hideMark/>
          </w:tcPr>
          <w:p w14:paraId="04637786"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2 </w:t>
            </w:r>
          </w:p>
        </w:tc>
        <w:tc>
          <w:tcPr>
            <w:tcW w:w="152" w:type="pct"/>
            <w:tcBorders>
              <w:top w:val="nil"/>
              <w:left w:val="nil"/>
              <w:bottom w:val="nil"/>
              <w:right w:val="nil"/>
            </w:tcBorders>
            <w:shd w:val="clear" w:color="000000" w:fill="FFFFFF"/>
            <w:noWrap/>
            <w:vAlign w:val="center"/>
            <w:hideMark/>
          </w:tcPr>
          <w:p w14:paraId="76ED0194"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single" w:sz="8" w:space="0" w:color="000000"/>
              <w:bottom w:val="single" w:sz="8" w:space="0" w:color="000000"/>
              <w:right w:val="single" w:sz="8" w:space="0" w:color="000000"/>
            </w:tcBorders>
            <w:shd w:val="clear" w:color="000000" w:fill="FFFFFF"/>
            <w:noWrap/>
            <w:vAlign w:val="center"/>
            <w:hideMark/>
          </w:tcPr>
          <w:p w14:paraId="7D6289EA"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2 </w:t>
            </w:r>
          </w:p>
        </w:tc>
        <w:tc>
          <w:tcPr>
            <w:tcW w:w="155" w:type="pct"/>
            <w:tcBorders>
              <w:top w:val="nil"/>
              <w:left w:val="nil"/>
              <w:bottom w:val="single" w:sz="8" w:space="0" w:color="000000"/>
              <w:right w:val="single" w:sz="8" w:space="0" w:color="000000"/>
            </w:tcBorders>
            <w:shd w:val="clear" w:color="000000" w:fill="FFFFFF"/>
            <w:noWrap/>
            <w:vAlign w:val="center"/>
            <w:hideMark/>
          </w:tcPr>
          <w:p w14:paraId="4851DFA7"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0 </w:t>
            </w:r>
          </w:p>
        </w:tc>
        <w:tc>
          <w:tcPr>
            <w:tcW w:w="128" w:type="pct"/>
            <w:tcBorders>
              <w:top w:val="single" w:sz="8" w:space="0" w:color="000000"/>
              <w:left w:val="nil"/>
              <w:bottom w:val="single" w:sz="8" w:space="0" w:color="000000"/>
              <w:right w:val="single" w:sz="8" w:space="0" w:color="000000"/>
            </w:tcBorders>
            <w:shd w:val="clear" w:color="000000" w:fill="FFFFFF"/>
            <w:noWrap/>
            <w:vAlign w:val="center"/>
            <w:hideMark/>
          </w:tcPr>
          <w:p w14:paraId="07FDD713"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2</w:t>
            </w:r>
          </w:p>
        </w:tc>
        <w:tc>
          <w:tcPr>
            <w:tcW w:w="128" w:type="pct"/>
            <w:tcBorders>
              <w:top w:val="single" w:sz="8" w:space="0" w:color="000000"/>
              <w:left w:val="nil"/>
              <w:bottom w:val="single" w:sz="8" w:space="0" w:color="000000"/>
              <w:right w:val="single" w:sz="8" w:space="0" w:color="000000"/>
            </w:tcBorders>
            <w:shd w:val="clear" w:color="000000" w:fill="FFFFFF"/>
            <w:noWrap/>
            <w:vAlign w:val="center"/>
            <w:hideMark/>
          </w:tcPr>
          <w:p w14:paraId="3030995E" w14:textId="33A2FBDD"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4</w:t>
            </w:r>
          </w:p>
        </w:tc>
        <w:tc>
          <w:tcPr>
            <w:tcW w:w="135" w:type="pct"/>
            <w:tcBorders>
              <w:top w:val="nil"/>
              <w:left w:val="nil"/>
              <w:bottom w:val="nil"/>
              <w:right w:val="nil"/>
            </w:tcBorders>
            <w:shd w:val="clear" w:color="000000" w:fill="FFFFFF"/>
            <w:noWrap/>
            <w:vAlign w:val="center"/>
            <w:hideMark/>
          </w:tcPr>
          <w:p w14:paraId="53787E18" w14:textId="77777777" w:rsidR="00C97D5C" w:rsidRPr="00907622" w:rsidRDefault="00C97D5C">
            <w:pPr>
              <w:spacing w:after="0" w:line="240" w:lineRule="auto"/>
              <w:jc w:val="right"/>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46" w:type="pct"/>
            <w:tcBorders>
              <w:top w:val="nil"/>
              <w:left w:val="nil"/>
              <w:bottom w:val="nil"/>
              <w:right w:val="nil"/>
            </w:tcBorders>
            <w:shd w:val="clear" w:color="000000" w:fill="FFFFFF"/>
            <w:noWrap/>
            <w:vAlign w:val="center"/>
            <w:hideMark/>
          </w:tcPr>
          <w:p w14:paraId="508A3B7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6218B29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6887A9E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378D464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41CED3D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17" w:type="pct"/>
            <w:tcBorders>
              <w:top w:val="nil"/>
              <w:left w:val="nil"/>
              <w:bottom w:val="nil"/>
              <w:right w:val="nil"/>
            </w:tcBorders>
            <w:shd w:val="clear" w:color="000000" w:fill="FFFFFF"/>
            <w:noWrap/>
            <w:vAlign w:val="center"/>
            <w:hideMark/>
          </w:tcPr>
          <w:p w14:paraId="36A186B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6DBB043B"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557D4DED" w14:textId="77777777" w:rsidTr="00A02729">
        <w:trPr>
          <w:trHeight w:val="255"/>
          <w:jc w:val="center"/>
        </w:trPr>
        <w:tc>
          <w:tcPr>
            <w:tcW w:w="135" w:type="pct"/>
            <w:tcBorders>
              <w:top w:val="nil"/>
              <w:left w:val="nil"/>
              <w:bottom w:val="nil"/>
              <w:right w:val="nil"/>
            </w:tcBorders>
            <w:shd w:val="clear" w:color="000000" w:fill="FFFFFF"/>
            <w:noWrap/>
            <w:vAlign w:val="center"/>
            <w:hideMark/>
          </w:tcPr>
          <w:p w14:paraId="658F008C"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16" w:type="pct"/>
            <w:tcBorders>
              <w:top w:val="nil"/>
              <w:left w:val="nil"/>
              <w:bottom w:val="nil"/>
              <w:right w:val="nil"/>
            </w:tcBorders>
            <w:shd w:val="clear" w:color="000000" w:fill="FFFFFF"/>
            <w:noWrap/>
            <w:vAlign w:val="center"/>
            <w:hideMark/>
          </w:tcPr>
          <w:p w14:paraId="3A14E0EA"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76" w:type="pct"/>
            <w:tcBorders>
              <w:top w:val="nil"/>
              <w:left w:val="nil"/>
              <w:bottom w:val="nil"/>
              <w:right w:val="nil"/>
            </w:tcBorders>
            <w:shd w:val="clear" w:color="000000" w:fill="FFFFFF"/>
            <w:noWrap/>
            <w:vAlign w:val="center"/>
            <w:hideMark/>
          </w:tcPr>
          <w:p w14:paraId="4E05339E"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246" w:type="pct"/>
            <w:tcBorders>
              <w:top w:val="nil"/>
              <w:left w:val="nil"/>
              <w:bottom w:val="nil"/>
              <w:right w:val="nil"/>
            </w:tcBorders>
            <w:shd w:val="clear" w:color="000000" w:fill="FFFFFF"/>
            <w:noWrap/>
            <w:vAlign w:val="center"/>
            <w:hideMark/>
          </w:tcPr>
          <w:p w14:paraId="389A209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46" w:type="pct"/>
            <w:tcBorders>
              <w:top w:val="nil"/>
              <w:left w:val="nil"/>
              <w:bottom w:val="nil"/>
              <w:right w:val="nil"/>
            </w:tcBorders>
            <w:shd w:val="clear" w:color="000000" w:fill="FFFFFF"/>
            <w:noWrap/>
            <w:vAlign w:val="center"/>
            <w:hideMark/>
          </w:tcPr>
          <w:p w14:paraId="0BE14C2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7" w:type="pct"/>
            <w:tcBorders>
              <w:top w:val="nil"/>
              <w:left w:val="nil"/>
              <w:bottom w:val="nil"/>
              <w:right w:val="nil"/>
            </w:tcBorders>
            <w:shd w:val="clear" w:color="000000" w:fill="FFFFFF"/>
            <w:noWrap/>
            <w:vAlign w:val="center"/>
            <w:hideMark/>
          </w:tcPr>
          <w:p w14:paraId="5D331AF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0C9EEC7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47E296E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5AC3F78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2AFCE20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4" w:type="pct"/>
            <w:tcBorders>
              <w:top w:val="nil"/>
              <w:left w:val="nil"/>
              <w:bottom w:val="nil"/>
              <w:right w:val="nil"/>
            </w:tcBorders>
            <w:shd w:val="clear" w:color="000000" w:fill="FFFFFF"/>
            <w:noWrap/>
            <w:vAlign w:val="center"/>
            <w:hideMark/>
          </w:tcPr>
          <w:p w14:paraId="4278A99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8" w:type="pct"/>
            <w:tcBorders>
              <w:top w:val="nil"/>
              <w:left w:val="nil"/>
              <w:bottom w:val="nil"/>
              <w:right w:val="nil"/>
            </w:tcBorders>
            <w:shd w:val="clear" w:color="000000" w:fill="FFFFFF"/>
            <w:noWrap/>
            <w:vAlign w:val="center"/>
            <w:hideMark/>
          </w:tcPr>
          <w:p w14:paraId="2A0E1D4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7A8530EF" w14:textId="77777777" w:rsidR="00C97D5C" w:rsidRPr="00907622" w:rsidRDefault="00C97D5C">
            <w:pPr>
              <w:spacing w:after="0" w:line="240" w:lineRule="auto"/>
              <w:jc w:val="center"/>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52" w:type="pct"/>
            <w:tcBorders>
              <w:top w:val="nil"/>
              <w:left w:val="nil"/>
              <w:bottom w:val="nil"/>
              <w:right w:val="nil"/>
            </w:tcBorders>
            <w:shd w:val="clear" w:color="000000" w:fill="FFFFFF"/>
            <w:noWrap/>
            <w:vAlign w:val="center"/>
            <w:hideMark/>
          </w:tcPr>
          <w:p w14:paraId="62B3375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105FAC0D"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52" w:type="pct"/>
            <w:tcBorders>
              <w:top w:val="nil"/>
              <w:left w:val="nil"/>
              <w:bottom w:val="nil"/>
              <w:right w:val="nil"/>
            </w:tcBorders>
            <w:shd w:val="clear" w:color="000000" w:fill="FFFFFF"/>
            <w:noWrap/>
            <w:vAlign w:val="center"/>
            <w:hideMark/>
          </w:tcPr>
          <w:p w14:paraId="41582A37"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84" w:type="pct"/>
            <w:tcBorders>
              <w:top w:val="nil"/>
              <w:left w:val="nil"/>
              <w:bottom w:val="nil"/>
              <w:right w:val="nil"/>
            </w:tcBorders>
            <w:shd w:val="clear" w:color="000000" w:fill="FFFFFF"/>
            <w:noWrap/>
            <w:vAlign w:val="center"/>
            <w:hideMark/>
          </w:tcPr>
          <w:p w14:paraId="6E58625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nil"/>
              <w:left w:val="nil"/>
              <w:bottom w:val="nil"/>
              <w:right w:val="nil"/>
            </w:tcBorders>
            <w:shd w:val="clear" w:color="000000" w:fill="FFFFFF"/>
            <w:noWrap/>
            <w:vAlign w:val="center"/>
            <w:hideMark/>
          </w:tcPr>
          <w:p w14:paraId="4FC2503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6C8C444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5C24C3D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0979095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0368DF8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6952D324" w14:textId="77777777" w:rsidR="00C97D5C" w:rsidRPr="00907622" w:rsidRDefault="00C97D5C">
            <w:pPr>
              <w:spacing w:after="0" w:line="240" w:lineRule="auto"/>
              <w:jc w:val="right"/>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35" w:type="pct"/>
            <w:tcBorders>
              <w:top w:val="nil"/>
              <w:left w:val="nil"/>
              <w:bottom w:val="nil"/>
              <w:right w:val="nil"/>
            </w:tcBorders>
            <w:shd w:val="clear" w:color="000000" w:fill="FFFFFF"/>
            <w:noWrap/>
            <w:vAlign w:val="center"/>
            <w:hideMark/>
          </w:tcPr>
          <w:p w14:paraId="297AFB46" w14:textId="77777777" w:rsidR="00C97D5C" w:rsidRPr="00907622" w:rsidRDefault="00C97D5C">
            <w:pPr>
              <w:spacing w:after="0" w:line="240" w:lineRule="auto"/>
              <w:jc w:val="right"/>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46" w:type="pct"/>
            <w:tcBorders>
              <w:top w:val="nil"/>
              <w:left w:val="nil"/>
              <w:bottom w:val="nil"/>
              <w:right w:val="nil"/>
            </w:tcBorders>
            <w:shd w:val="clear" w:color="000000" w:fill="FFFFFF"/>
            <w:noWrap/>
            <w:vAlign w:val="center"/>
            <w:hideMark/>
          </w:tcPr>
          <w:p w14:paraId="6E06752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08CA743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59D99B2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0C21147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6C1AB3A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17" w:type="pct"/>
            <w:tcBorders>
              <w:top w:val="nil"/>
              <w:left w:val="nil"/>
              <w:bottom w:val="nil"/>
              <w:right w:val="nil"/>
            </w:tcBorders>
            <w:shd w:val="clear" w:color="000000" w:fill="FFFFFF"/>
            <w:noWrap/>
            <w:vAlign w:val="center"/>
            <w:hideMark/>
          </w:tcPr>
          <w:p w14:paraId="576BF89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642DC081"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184A6862" w14:textId="77777777" w:rsidTr="00A02729">
        <w:trPr>
          <w:trHeight w:val="270"/>
          <w:jc w:val="center"/>
        </w:trPr>
        <w:tc>
          <w:tcPr>
            <w:tcW w:w="135" w:type="pct"/>
            <w:tcBorders>
              <w:top w:val="nil"/>
              <w:left w:val="nil"/>
              <w:bottom w:val="nil"/>
              <w:right w:val="nil"/>
            </w:tcBorders>
            <w:shd w:val="clear" w:color="000000" w:fill="FFFFFF"/>
            <w:noWrap/>
            <w:vAlign w:val="center"/>
            <w:hideMark/>
          </w:tcPr>
          <w:p w14:paraId="6DD94438"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393" w:type="pct"/>
            <w:gridSpan w:val="2"/>
            <w:tcBorders>
              <w:top w:val="nil"/>
              <w:left w:val="nil"/>
              <w:bottom w:val="single" w:sz="8" w:space="0" w:color="000000"/>
              <w:right w:val="nil"/>
            </w:tcBorders>
            <w:shd w:val="clear" w:color="000000" w:fill="FFFFFF"/>
            <w:noWrap/>
            <w:vAlign w:val="center"/>
            <w:hideMark/>
          </w:tcPr>
          <w:p w14:paraId="431B19D2"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IČO</w:t>
            </w:r>
          </w:p>
        </w:tc>
        <w:tc>
          <w:tcPr>
            <w:tcW w:w="246" w:type="pct"/>
            <w:tcBorders>
              <w:top w:val="nil"/>
              <w:left w:val="nil"/>
              <w:bottom w:val="nil"/>
              <w:right w:val="nil"/>
            </w:tcBorders>
            <w:shd w:val="clear" w:color="000000" w:fill="FFFFFF"/>
            <w:noWrap/>
            <w:vAlign w:val="center"/>
            <w:hideMark/>
          </w:tcPr>
          <w:p w14:paraId="01BA625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46" w:type="pct"/>
            <w:tcBorders>
              <w:top w:val="nil"/>
              <w:left w:val="nil"/>
              <w:bottom w:val="nil"/>
              <w:right w:val="nil"/>
            </w:tcBorders>
            <w:shd w:val="clear" w:color="000000" w:fill="FFFFFF"/>
            <w:noWrap/>
            <w:vAlign w:val="center"/>
            <w:hideMark/>
          </w:tcPr>
          <w:p w14:paraId="665B36E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7" w:type="pct"/>
            <w:tcBorders>
              <w:top w:val="nil"/>
              <w:left w:val="nil"/>
              <w:bottom w:val="nil"/>
              <w:right w:val="nil"/>
            </w:tcBorders>
            <w:shd w:val="clear" w:color="000000" w:fill="FFFFFF"/>
            <w:noWrap/>
            <w:vAlign w:val="center"/>
            <w:hideMark/>
          </w:tcPr>
          <w:p w14:paraId="545769C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3882114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70DD685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78F7ECF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5A4B0EE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4" w:type="pct"/>
            <w:tcBorders>
              <w:top w:val="nil"/>
              <w:left w:val="nil"/>
              <w:bottom w:val="nil"/>
              <w:right w:val="nil"/>
            </w:tcBorders>
            <w:shd w:val="clear" w:color="000000" w:fill="FFFFFF"/>
            <w:noWrap/>
            <w:vAlign w:val="center"/>
            <w:hideMark/>
          </w:tcPr>
          <w:p w14:paraId="0C87BD4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8" w:type="pct"/>
            <w:tcBorders>
              <w:top w:val="nil"/>
              <w:left w:val="nil"/>
              <w:bottom w:val="nil"/>
              <w:right w:val="nil"/>
            </w:tcBorders>
            <w:shd w:val="clear" w:color="000000" w:fill="FFFFFF"/>
            <w:noWrap/>
            <w:vAlign w:val="center"/>
            <w:hideMark/>
          </w:tcPr>
          <w:p w14:paraId="4E748B2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680B52D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157730F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189D780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6C125C4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4" w:type="pct"/>
            <w:tcBorders>
              <w:top w:val="nil"/>
              <w:left w:val="nil"/>
              <w:bottom w:val="nil"/>
              <w:right w:val="nil"/>
            </w:tcBorders>
            <w:shd w:val="clear" w:color="000000" w:fill="FFFFFF"/>
            <w:noWrap/>
            <w:vAlign w:val="center"/>
            <w:hideMark/>
          </w:tcPr>
          <w:p w14:paraId="176B621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nil"/>
              <w:left w:val="nil"/>
              <w:bottom w:val="nil"/>
              <w:right w:val="nil"/>
            </w:tcBorders>
            <w:shd w:val="clear" w:color="000000" w:fill="FFFFFF"/>
            <w:noWrap/>
            <w:vAlign w:val="center"/>
            <w:hideMark/>
          </w:tcPr>
          <w:p w14:paraId="0D9FEDA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4B6C9720"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55" w:type="pct"/>
            <w:tcBorders>
              <w:top w:val="nil"/>
              <w:left w:val="nil"/>
              <w:bottom w:val="nil"/>
              <w:right w:val="nil"/>
            </w:tcBorders>
            <w:shd w:val="clear" w:color="000000" w:fill="FFFFFF"/>
            <w:noWrap/>
            <w:vAlign w:val="center"/>
            <w:hideMark/>
          </w:tcPr>
          <w:p w14:paraId="1FEE8BB5"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55" w:type="pct"/>
            <w:tcBorders>
              <w:top w:val="nil"/>
              <w:left w:val="nil"/>
              <w:bottom w:val="nil"/>
              <w:right w:val="nil"/>
            </w:tcBorders>
            <w:shd w:val="clear" w:color="000000" w:fill="FFFFFF"/>
            <w:noWrap/>
            <w:vAlign w:val="center"/>
            <w:hideMark/>
          </w:tcPr>
          <w:p w14:paraId="1D725382"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nil"/>
              <w:right w:val="nil"/>
            </w:tcBorders>
            <w:shd w:val="clear" w:color="000000" w:fill="FFFFFF"/>
            <w:noWrap/>
            <w:vAlign w:val="center"/>
            <w:hideMark/>
          </w:tcPr>
          <w:p w14:paraId="45FA50E8"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nil"/>
              <w:right w:val="nil"/>
            </w:tcBorders>
            <w:shd w:val="clear" w:color="000000" w:fill="FFFFFF"/>
            <w:noWrap/>
            <w:vAlign w:val="center"/>
            <w:hideMark/>
          </w:tcPr>
          <w:p w14:paraId="2EFEB457"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35" w:type="pct"/>
            <w:tcBorders>
              <w:top w:val="nil"/>
              <w:left w:val="nil"/>
              <w:bottom w:val="nil"/>
              <w:right w:val="nil"/>
            </w:tcBorders>
            <w:shd w:val="clear" w:color="000000" w:fill="FFFFFF"/>
            <w:noWrap/>
            <w:vAlign w:val="center"/>
            <w:hideMark/>
          </w:tcPr>
          <w:p w14:paraId="7C594232"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46" w:type="pct"/>
            <w:tcBorders>
              <w:top w:val="nil"/>
              <w:left w:val="nil"/>
              <w:bottom w:val="nil"/>
              <w:right w:val="nil"/>
            </w:tcBorders>
            <w:shd w:val="clear" w:color="000000" w:fill="FFFFFF"/>
            <w:noWrap/>
            <w:vAlign w:val="center"/>
            <w:hideMark/>
          </w:tcPr>
          <w:p w14:paraId="074D7B24"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nil"/>
              <w:right w:val="nil"/>
            </w:tcBorders>
            <w:shd w:val="clear" w:color="000000" w:fill="FFFFFF"/>
            <w:noWrap/>
            <w:vAlign w:val="center"/>
            <w:hideMark/>
          </w:tcPr>
          <w:p w14:paraId="4279DB09"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nil"/>
              <w:right w:val="nil"/>
            </w:tcBorders>
            <w:shd w:val="clear" w:color="000000" w:fill="FFFFFF"/>
            <w:noWrap/>
            <w:vAlign w:val="center"/>
            <w:hideMark/>
          </w:tcPr>
          <w:p w14:paraId="57D4C2A2"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nil"/>
              <w:right w:val="nil"/>
            </w:tcBorders>
            <w:shd w:val="clear" w:color="000000" w:fill="FFFFFF"/>
            <w:noWrap/>
            <w:vAlign w:val="center"/>
            <w:hideMark/>
          </w:tcPr>
          <w:p w14:paraId="183B9CF1"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nil"/>
              <w:right w:val="nil"/>
            </w:tcBorders>
            <w:shd w:val="clear" w:color="000000" w:fill="FFFFFF"/>
            <w:noWrap/>
            <w:vAlign w:val="center"/>
            <w:hideMark/>
          </w:tcPr>
          <w:p w14:paraId="4200861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17" w:type="pct"/>
            <w:tcBorders>
              <w:top w:val="nil"/>
              <w:left w:val="nil"/>
              <w:bottom w:val="nil"/>
              <w:right w:val="nil"/>
            </w:tcBorders>
            <w:shd w:val="clear" w:color="000000" w:fill="FFFFFF"/>
            <w:noWrap/>
            <w:vAlign w:val="center"/>
            <w:hideMark/>
          </w:tcPr>
          <w:p w14:paraId="2925179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0F05EF25"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4578C286" w14:textId="77777777" w:rsidTr="00A02729">
        <w:trPr>
          <w:trHeight w:val="270"/>
          <w:jc w:val="center"/>
        </w:trPr>
        <w:tc>
          <w:tcPr>
            <w:tcW w:w="135" w:type="pct"/>
            <w:tcBorders>
              <w:top w:val="nil"/>
              <w:left w:val="nil"/>
              <w:bottom w:val="nil"/>
              <w:right w:val="nil"/>
            </w:tcBorders>
            <w:shd w:val="clear" w:color="000000" w:fill="FFFFFF"/>
            <w:noWrap/>
            <w:vAlign w:val="center"/>
            <w:hideMark/>
          </w:tcPr>
          <w:p w14:paraId="236DFE10"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16" w:type="pct"/>
            <w:tcBorders>
              <w:top w:val="nil"/>
              <w:left w:val="single" w:sz="8" w:space="0" w:color="000000"/>
              <w:bottom w:val="single" w:sz="8" w:space="0" w:color="000000"/>
              <w:right w:val="single" w:sz="8" w:space="0" w:color="000000"/>
            </w:tcBorders>
            <w:shd w:val="clear" w:color="000000" w:fill="FFFFFF"/>
            <w:noWrap/>
            <w:vAlign w:val="center"/>
            <w:hideMark/>
          </w:tcPr>
          <w:p w14:paraId="4DB8782A"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0</w:t>
            </w:r>
          </w:p>
        </w:tc>
        <w:tc>
          <w:tcPr>
            <w:tcW w:w="176" w:type="pct"/>
            <w:tcBorders>
              <w:top w:val="nil"/>
              <w:left w:val="nil"/>
              <w:bottom w:val="single" w:sz="8" w:space="0" w:color="000000"/>
              <w:right w:val="single" w:sz="8" w:space="0" w:color="000000"/>
            </w:tcBorders>
            <w:shd w:val="clear" w:color="000000" w:fill="FFFFFF"/>
            <w:noWrap/>
            <w:vAlign w:val="center"/>
            <w:hideMark/>
          </w:tcPr>
          <w:p w14:paraId="38E6C09F"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0</w:t>
            </w:r>
          </w:p>
        </w:tc>
        <w:tc>
          <w:tcPr>
            <w:tcW w:w="246" w:type="pct"/>
            <w:tcBorders>
              <w:top w:val="single" w:sz="8" w:space="0" w:color="000000"/>
              <w:left w:val="nil"/>
              <w:bottom w:val="single" w:sz="8" w:space="0" w:color="000000"/>
              <w:right w:val="single" w:sz="8" w:space="0" w:color="000000"/>
            </w:tcBorders>
            <w:shd w:val="clear" w:color="000000" w:fill="FFFFFF"/>
            <w:noWrap/>
            <w:vAlign w:val="center"/>
            <w:hideMark/>
          </w:tcPr>
          <w:p w14:paraId="077853AE"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1</w:t>
            </w:r>
          </w:p>
        </w:tc>
        <w:tc>
          <w:tcPr>
            <w:tcW w:w="246" w:type="pct"/>
            <w:tcBorders>
              <w:top w:val="single" w:sz="8" w:space="0" w:color="000000"/>
              <w:left w:val="nil"/>
              <w:bottom w:val="single" w:sz="8" w:space="0" w:color="000000"/>
              <w:right w:val="single" w:sz="8" w:space="0" w:color="000000"/>
            </w:tcBorders>
            <w:shd w:val="clear" w:color="000000" w:fill="FFFFFF"/>
            <w:noWrap/>
            <w:vAlign w:val="center"/>
            <w:hideMark/>
          </w:tcPr>
          <w:p w14:paraId="2E2EEB5E"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5</w:t>
            </w:r>
          </w:p>
        </w:tc>
        <w:tc>
          <w:tcPr>
            <w:tcW w:w="187" w:type="pct"/>
            <w:tcBorders>
              <w:top w:val="single" w:sz="8" w:space="0" w:color="000000"/>
              <w:left w:val="nil"/>
              <w:bottom w:val="single" w:sz="8" w:space="0" w:color="000000"/>
              <w:right w:val="single" w:sz="8" w:space="0" w:color="000000"/>
            </w:tcBorders>
            <w:shd w:val="clear" w:color="000000" w:fill="FFFFFF"/>
            <w:noWrap/>
            <w:vAlign w:val="center"/>
            <w:hideMark/>
          </w:tcPr>
          <w:p w14:paraId="59082E9E"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1</w:t>
            </w:r>
          </w:p>
        </w:tc>
        <w:tc>
          <w:tcPr>
            <w:tcW w:w="192" w:type="pct"/>
            <w:tcBorders>
              <w:top w:val="single" w:sz="8" w:space="0" w:color="000000"/>
              <w:left w:val="nil"/>
              <w:bottom w:val="single" w:sz="8" w:space="0" w:color="000000"/>
              <w:right w:val="single" w:sz="8" w:space="0" w:color="000000"/>
            </w:tcBorders>
            <w:shd w:val="clear" w:color="000000" w:fill="FFFFFF"/>
            <w:noWrap/>
            <w:vAlign w:val="center"/>
            <w:hideMark/>
          </w:tcPr>
          <w:p w14:paraId="29F14974"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7</w:t>
            </w:r>
          </w:p>
        </w:tc>
        <w:tc>
          <w:tcPr>
            <w:tcW w:w="192" w:type="pct"/>
            <w:tcBorders>
              <w:top w:val="single" w:sz="8" w:space="0" w:color="000000"/>
              <w:left w:val="nil"/>
              <w:bottom w:val="single" w:sz="8" w:space="0" w:color="000000"/>
              <w:right w:val="single" w:sz="8" w:space="0" w:color="000000"/>
            </w:tcBorders>
            <w:shd w:val="clear" w:color="000000" w:fill="FFFFFF"/>
            <w:noWrap/>
            <w:vAlign w:val="center"/>
            <w:hideMark/>
          </w:tcPr>
          <w:p w14:paraId="289BA9C1"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4</w:t>
            </w:r>
          </w:p>
        </w:tc>
        <w:tc>
          <w:tcPr>
            <w:tcW w:w="155" w:type="pct"/>
            <w:tcBorders>
              <w:top w:val="single" w:sz="8" w:space="0" w:color="000000"/>
              <w:left w:val="nil"/>
              <w:bottom w:val="single" w:sz="8" w:space="0" w:color="000000"/>
              <w:right w:val="single" w:sz="8" w:space="0" w:color="000000"/>
            </w:tcBorders>
            <w:shd w:val="clear" w:color="000000" w:fill="FFFFFF"/>
            <w:noWrap/>
            <w:vAlign w:val="center"/>
            <w:hideMark/>
          </w:tcPr>
          <w:p w14:paraId="76CC16F2"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2</w:t>
            </w:r>
          </w:p>
        </w:tc>
        <w:tc>
          <w:tcPr>
            <w:tcW w:w="152" w:type="pct"/>
            <w:tcBorders>
              <w:top w:val="nil"/>
              <w:left w:val="nil"/>
              <w:bottom w:val="nil"/>
              <w:right w:val="nil"/>
            </w:tcBorders>
            <w:shd w:val="clear" w:color="000000" w:fill="FFFFFF"/>
            <w:noWrap/>
            <w:vAlign w:val="center"/>
            <w:hideMark/>
          </w:tcPr>
          <w:p w14:paraId="0E9926D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4" w:type="pct"/>
            <w:tcBorders>
              <w:top w:val="nil"/>
              <w:left w:val="nil"/>
              <w:bottom w:val="nil"/>
              <w:right w:val="nil"/>
            </w:tcBorders>
            <w:shd w:val="clear" w:color="000000" w:fill="FFFFFF"/>
            <w:noWrap/>
            <w:vAlign w:val="center"/>
            <w:hideMark/>
          </w:tcPr>
          <w:p w14:paraId="2473F9B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8" w:type="pct"/>
            <w:tcBorders>
              <w:top w:val="nil"/>
              <w:left w:val="nil"/>
              <w:bottom w:val="nil"/>
              <w:right w:val="nil"/>
            </w:tcBorders>
            <w:shd w:val="clear" w:color="000000" w:fill="FFFFFF"/>
            <w:noWrap/>
            <w:vAlign w:val="center"/>
            <w:hideMark/>
          </w:tcPr>
          <w:p w14:paraId="103FEC1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7F51564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6E67711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1169E83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26FDE7F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4" w:type="pct"/>
            <w:tcBorders>
              <w:top w:val="nil"/>
              <w:left w:val="nil"/>
              <w:bottom w:val="nil"/>
              <w:right w:val="nil"/>
            </w:tcBorders>
            <w:shd w:val="clear" w:color="000000" w:fill="FFFFFF"/>
            <w:noWrap/>
            <w:vAlign w:val="center"/>
            <w:hideMark/>
          </w:tcPr>
          <w:p w14:paraId="75B79BE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nil"/>
              <w:left w:val="nil"/>
              <w:bottom w:val="nil"/>
              <w:right w:val="nil"/>
            </w:tcBorders>
            <w:shd w:val="clear" w:color="000000" w:fill="FFFFFF"/>
            <w:noWrap/>
            <w:vAlign w:val="center"/>
            <w:hideMark/>
          </w:tcPr>
          <w:p w14:paraId="1FE401B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0921E65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748ED89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2719220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0A3A5CE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7C0AC9E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44F0A7C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nil"/>
              <w:left w:val="nil"/>
              <w:bottom w:val="nil"/>
              <w:right w:val="nil"/>
            </w:tcBorders>
            <w:shd w:val="clear" w:color="000000" w:fill="FFFFFF"/>
            <w:noWrap/>
            <w:vAlign w:val="center"/>
            <w:hideMark/>
          </w:tcPr>
          <w:p w14:paraId="5F60E5F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2364084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4F9F79A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340B6D1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3564C84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17" w:type="pct"/>
            <w:tcBorders>
              <w:top w:val="nil"/>
              <w:left w:val="nil"/>
              <w:bottom w:val="nil"/>
              <w:right w:val="nil"/>
            </w:tcBorders>
            <w:shd w:val="clear" w:color="000000" w:fill="FFFFFF"/>
            <w:noWrap/>
            <w:vAlign w:val="center"/>
            <w:hideMark/>
          </w:tcPr>
          <w:p w14:paraId="7663F2C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7364C155"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0A97D47D" w14:textId="77777777" w:rsidTr="00A02729">
        <w:trPr>
          <w:trHeight w:val="255"/>
          <w:jc w:val="center"/>
        </w:trPr>
        <w:tc>
          <w:tcPr>
            <w:tcW w:w="135" w:type="pct"/>
            <w:tcBorders>
              <w:top w:val="nil"/>
              <w:left w:val="nil"/>
              <w:bottom w:val="nil"/>
              <w:right w:val="nil"/>
            </w:tcBorders>
            <w:shd w:val="clear" w:color="000000" w:fill="FFFFFF"/>
            <w:noWrap/>
            <w:vAlign w:val="center"/>
            <w:hideMark/>
          </w:tcPr>
          <w:p w14:paraId="40A8AE08"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16" w:type="pct"/>
            <w:tcBorders>
              <w:top w:val="nil"/>
              <w:left w:val="nil"/>
              <w:bottom w:val="nil"/>
              <w:right w:val="nil"/>
            </w:tcBorders>
            <w:shd w:val="clear" w:color="000000" w:fill="FFFFFF"/>
            <w:noWrap/>
            <w:vAlign w:val="center"/>
            <w:hideMark/>
          </w:tcPr>
          <w:p w14:paraId="2229443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6" w:type="pct"/>
            <w:tcBorders>
              <w:top w:val="nil"/>
              <w:left w:val="nil"/>
              <w:bottom w:val="nil"/>
              <w:right w:val="nil"/>
            </w:tcBorders>
            <w:shd w:val="clear" w:color="000000" w:fill="FFFFFF"/>
            <w:noWrap/>
            <w:vAlign w:val="center"/>
            <w:hideMark/>
          </w:tcPr>
          <w:p w14:paraId="242BE87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46" w:type="pct"/>
            <w:tcBorders>
              <w:top w:val="nil"/>
              <w:left w:val="nil"/>
              <w:bottom w:val="nil"/>
              <w:right w:val="nil"/>
            </w:tcBorders>
            <w:shd w:val="clear" w:color="000000" w:fill="FFFFFF"/>
            <w:noWrap/>
            <w:vAlign w:val="center"/>
            <w:hideMark/>
          </w:tcPr>
          <w:p w14:paraId="43823DA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46" w:type="pct"/>
            <w:tcBorders>
              <w:top w:val="nil"/>
              <w:left w:val="nil"/>
              <w:bottom w:val="nil"/>
              <w:right w:val="nil"/>
            </w:tcBorders>
            <w:shd w:val="clear" w:color="000000" w:fill="FFFFFF"/>
            <w:noWrap/>
            <w:vAlign w:val="center"/>
            <w:hideMark/>
          </w:tcPr>
          <w:p w14:paraId="7684056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7" w:type="pct"/>
            <w:tcBorders>
              <w:top w:val="nil"/>
              <w:left w:val="nil"/>
              <w:bottom w:val="nil"/>
              <w:right w:val="nil"/>
            </w:tcBorders>
            <w:shd w:val="clear" w:color="000000" w:fill="FFFFFF"/>
            <w:noWrap/>
            <w:vAlign w:val="center"/>
            <w:hideMark/>
          </w:tcPr>
          <w:p w14:paraId="41CF790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4F623E0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06F29FD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24EB846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7A442AB4" w14:textId="77777777" w:rsidR="00C97D5C" w:rsidRPr="00907622" w:rsidRDefault="00C97D5C">
            <w:pPr>
              <w:spacing w:after="0" w:line="240" w:lineRule="auto"/>
              <w:jc w:val="center"/>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74" w:type="pct"/>
            <w:tcBorders>
              <w:top w:val="nil"/>
              <w:left w:val="nil"/>
              <w:bottom w:val="nil"/>
              <w:right w:val="nil"/>
            </w:tcBorders>
            <w:shd w:val="clear" w:color="000000" w:fill="FFFFFF"/>
            <w:noWrap/>
            <w:vAlign w:val="center"/>
            <w:hideMark/>
          </w:tcPr>
          <w:p w14:paraId="242724D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8" w:type="pct"/>
            <w:tcBorders>
              <w:top w:val="nil"/>
              <w:left w:val="nil"/>
              <w:bottom w:val="nil"/>
              <w:right w:val="nil"/>
            </w:tcBorders>
            <w:shd w:val="clear" w:color="000000" w:fill="FFFFFF"/>
            <w:noWrap/>
            <w:vAlign w:val="center"/>
            <w:hideMark/>
          </w:tcPr>
          <w:p w14:paraId="0CBC2F4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2A6EB05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736F51D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10A2ADD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4BF3248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4" w:type="pct"/>
            <w:tcBorders>
              <w:top w:val="nil"/>
              <w:left w:val="nil"/>
              <w:bottom w:val="nil"/>
              <w:right w:val="nil"/>
            </w:tcBorders>
            <w:shd w:val="clear" w:color="000000" w:fill="FFFFFF"/>
            <w:noWrap/>
            <w:vAlign w:val="center"/>
            <w:hideMark/>
          </w:tcPr>
          <w:p w14:paraId="49CD6E0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nil"/>
              <w:left w:val="nil"/>
              <w:bottom w:val="nil"/>
              <w:right w:val="nil"/>
            </w:tcBorders>
            <w:shd w:val="clear" w:color="000000" w:fill="FFFFFF"/>
            <w:noWrap/>
            <w:vAlign w:val="center"/>
            <w:hideMark/>
          </w:tcPr>
          <w:p w14:paraId="6903606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4196496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3D8AC32B" w14:textId="77777777" w:rsidR="00C97D5C" w:rsidRPr="00907622" w:rsidRDefault="00C97D5C">
            <w:pPr>
              <w:spacing w:after="0" w:line="240" w:lineRule="auto"/>
              <w:jc w:val="right"/>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55" w:type="pct"/>
            <w:tcBorders>
              <w:top w:val="nil"/>
              <w:left w:val="nil"/>
              <w:bottom w:val="nil"/>
              <w:right w:val="nil"/>
            </w:tcBorders>
            <w:shd w:val="clear" w:color="000000" w:fill="FFFFFF"/>
            <w:noWrap/>
            <w:vAlign w:val="center"/>
            <w:hideMark/>
          </w:tcPr>
          <w:p w14:paraId="0F6E1ECB" w14:textId="77777777" w:rsidR="00C97D5C" w:rsidRPr="00907622" w:rsidRDefault="00C97D5C">
            <w:pPr>
              <w:spacing w:after="0" w:line="240" w:lineRule="auto"/>
              <w:jc w:val="right"/>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nil"/>
              <w:right w:val="nil"/>
            </w:tcBorders>
            <w:shd w:val="clear" w:color="000000" w:fill="FFFFFF"/>
            <w:noWrap/>
            <w:vAlign w:val="center"/>
            <w:hideMark/>
          </w:tcPr>
          <w:p w14:paraId="0EA000E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2B4E74E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7BE6BDF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nil"/>
              <w:left w:val="nil"/>
              <w:bottom w:val="nil"/>
              <w:right w:val="nil"/>
            </w:tcBorders>
            <w:shd w:val="clear" w:color="000000" w:fill="FFFFFF"/>
            <w:noWrap/>
            <w:vAlign w:val="center"/>
            <w:hideMark/>
          </w:tcPr>
          <w:p w14:paraId="5E12B1F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0E41B5F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09EF3DF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3A2825A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3138A4F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17" w:type="pct"/>
            <w:tcBorders>
              <w:top w:val="nil"/>
              <w:left w:val="nil"/>
              <w:bottom w:val="nil"/>
              <w:right w:val="nil"/>
            </w:tcBorders>
            <w:shd w:val="clear" w:color="000000" w:fill="FFFFFF"/>
            <w:noWrap/>
            <w:vAlign w:val="center"/>
            <w:hideMark/>
          </w:tcPr>
          <w:p w14:paraId="651CC3B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1B8DEBC0"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1D051DF5" w14:textId="77777777" w:rsidTr="00A02729">
        <w:trPr>
          <w:trHeight w:val="270"/>
          <w:jc w:val="center"/>
        </w:trPr>
        <w:tc>
          <w:tcPr>
            <w:tcW w:w="135" w:type="pct"/>
            <w:tcBorders>
              <w:top w:val="nil"/>
              <w:left w:val="nil"/>
              <w:bottom w:val="nil"/>
              <w:right w:val="nil"/>
            </w:tcBorders>
            <w:shd w:val="clear" w:color="000000" w:fill="FFFFFF"/>
            <w:noWrap/>
            <w:vAlign w:val="center"/>
            <w:hideMark/>
          </w:tcPr>
          <w:p w14:paraId="6039AD08"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1456" w:type="pct"/>
            <w:gridSpan w:val="7"/>
            <w:tcBorders>
              <w:top w:val="nil"/>
              <w:left w:val="nil"/>
              <w:bottom w:val="single" w:sz="8" w:space="0" w:color="000000"/>
              <w:right w:val="nil"/>
            </w:tcBorders>
            <w:shd w:val="clear" w:color="000000" w:fill="FFFFFF"/>
            <w:noWrap/>
            <w:vAlign w:val="center"/>
            <w:hideMark/>
          </w:tcPr>
          <w:p w14:paraId="1FAFFCD3"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Názov účtovnej jednotky</w:t>
            </w:r>
          </w:p>
        </w:tc>
        <w:tc>
          <w:tcPr>
            <w:tcW w:w="155" w:type="pct"/>
            <w:tcBorders>
              <w:top w:val="nil"/>
              <w:left w:val="nil"/>
              <w:bottom w:val="nil"/>
              <w:right w:val="nil"/>
            </w:tcBorders>
            <w:shd w:val="clear" w:color="000000" w:fill="FFFFFF"/>
            <w:noWrap/>
            <w:vAlign w:val="center"/>
            <w:hideMark/>
          </w:tcPr>
          <w:p w14:paraId="3D82FA3A"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52" w:type="pct"/>
            <w:tcBorders>
              <w:top w:val="nil"/>
              <w:left w:val="nil"/>
              <w:bottom w:val="nil"/>
              <w:right w:val="nil"/>
            </w:tcBorders>
            <w:shd w:val="clear" w:color="000000" w:fill="FFFFFF"/>
            <w:noWrap/>
            <w:vAlign w:val="center"/>
            <w:hideMark/>
          </w:tcPr>
          <w:p w14:paraId="64C65929"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74" w:type="pct"/>
            <w:tcBorders>
              <w:top w:val="nil"/>
              <w:left w:val="nil"/>
              <w:bottom w:val="nil"/>
              <w:right w:val="nil"/>
            </w:tcBorders>
            <w:shd w:val="clear" w:color="000000" w:fill="FFFFFF"/>
            <w:noWrap/>
            <w:vAlign w:val="center"/>
            <w:hideMark/>
          </w:tcPr>
          <w:p w14:paraId="28576EC9"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58" w:type="pct"/>
            <w:tcBorders>
              <w:top w:val="nil"/>
              <w:left w:val="nil"/>
              <w:bottom w:val="nil"/>
              <w:right w:val="nil"/>
            </w:tcBorders>
            <w:shd w:val="clear" w:color="000000" w:fill="FFFFFF"/>
            <w:noWrap/>
            <w:vAlign w:val="center"/>
            <w:hideMark/>
          </w:tcPr>
          <w:p w14:paraId="3D41D648"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52" w:type="pct"/>
            <w:tcBorders>
              <w:top w:val="nil"/>
              <w:left w:val="nil"/>
              <w:bottom w:val="nil"/>
              <w:right w:val="nil"/>
            </w:tcBorders>
            <w:shd w:val="clear" w:color="000000" w:fill="FFFFFF"/>
            <w:noWrap/>
            <w:vAlign w:val="center"/>
            <w:hideMark/>
          </w:tcPr>
          <w:p w14:paraId="21C66A04"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52" w:type="pct"/>
            <w:tcBorders>
              <w:top w:val="nil"/>
              <w:left w:val="nil"/>
              <w:bottom w:val="nil"/>
              <w:right w:val="nil"/>
            </w:tcBorders>
            <w:shd w:val="clear" w:color="000000" w:fill="FFFFFF"/>
            <w:noWrap/>
            <w:vAlign w:val="center"/>
            <w:hideMark/>
          </w:tcPr>
          <w:p w14:paraId="53DDD778"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52" w:type="pct"/>
            <w:tcBorders>
              <w:top w:val="nil"/>
              <w:left w:val="nil"/>
              <w:bottom w:val="nil"/>
              <w:right w:val="nil"/>
            </w:tcBorders>
            <w:shd w:val="clear" w:color="000000" w:fill="FFFFFF"/>
            <w:noWrap/>
            <w:vAlign w:val="center"/>
            <w:hideMark/>
          </w:tcPr>
          <w:p w14:paraId="00A00365"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52" w:type="pct"/>
            <w:tcBorders>
              <w:top w:val="nil"/>
              <w:left w:val="nil"/>
              <w:bottom w:val="nil"/>
              <w:right w:val="nil"/>
            </w:tcBorders>
            <w:shd w:val="clear" w:color="000000" w:fill="FFFFFF"/>
            <w:noWrap/>
            <w:vAlign w:val="center"/>
            <w:hideMark/>
          </w:tcPr>
          <w:p w14:paraId="15AEE348"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84" w:type="pct"/>
            <w:tcBorders>
              <w:top w:val="nil"/>
              <w:left w:val="nil"/>
              <w:bottom w:val="nil"/>
              <w:right w:val="nil"/>
            </w:tcBorders>
            <w:shd w:val="clear" w:color="000000" w:fill="FFFFFF"/>
            <w:noWrap/>
            <w:vAlign w:val="center"/>
            <w:hideMark/>
          </w:tcPr>
          <w:p w14:paraId="7151ED5D"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211" w:type="pct"/>
            <w:tcBorders>
              <w:top w:val="nil"/>
              <w:left w:val="nil"/>
              <w:bottom w:val="nil"/>
              <w:right w:val="nil"/>
            </w:tcBorders>
            <w:shd w:val="clear" w:color="000000" w:fill="FFFFFF"/>
            <w:noWrap/>
            <w:vAlign w:val="center"/>
            <w:hideMark/>
          </w:tcPr>
          <w:p w14:paraId="6F0BF491"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52" w:type="pct"/>
            <w:tcBorders>
              <w:top w:val="nil"/>
              <w:left w:val="nil"/>
              <w:bottom w:val="nil"/>
              <w:right w:val="nil"/>
            </w:tcBorders>
            <w:shd w:val="clear" w:color="000000" w:fill="FFFFFF"/>
            <w:noWrap/>
            <w:vAlign w:val="center"/>
            <w:hideMark/>
          </w:tcPr>
          <w:p w14:paraId="38B256F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2CBDFD3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0FA72FF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1BE9126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57736E7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02622A9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nil"/>
              <w:left w:val="nil"/>
              <w:bottom w:val="nil"/>
              <w:right w:val="nil"/>
            </w:tcBorders>
            <w:shd w:val="clear" w:color="000000" w:fill="FFFFFF"/>
            <w:noWrap/>
            <w:vAlign w:val="center"/>
            <w:hideMark/>
          </w:tcPr>
          <w:p w14:paraId="0B08CEC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6BF08B2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0617E54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5DC3984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33B6B51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17" w:type="pct"/>
            <w:tcBorders>
              <w:top w:val="nil"/>
              <w:left w:val="nil"/>
              <w:bottom w:val="nil"/>
              <w:right w:val="nil"/>
            </w:tcBorders>
            <w:shd w:val="clear" w:color="000000" w:fill="FFFFFF"/>
            <w:noWrap/>
            <w:vAlign w:val="center"/>
            <w:hideMark/>
          </w:tcPr>
          <w:p w14:paraId="034D00A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3C1ED857"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63B4671C" w14:textId="77777777" w:rsidTr="00A02729">
        <w:trPr>
          <w:trHeight w:val="270"/>
          <w:jc w:val="center"/>
        </w:trPr>
        <w:tc>
          <w:tcPr>
            <w:tcW w:w="135" w:type="pct"/>
            <w:tcBorders>
              <w:top w:val="nil"/>
              <w:left w:val="nil"/>
              <w:bottom w:val="nil"/>
              <w:right w:val="nil"/>
            </w:tcBorders>
            <w:shd w:val="clear" w:color="000000" w:fill="FFFFFF"/>
            <w:noWrap/>
            <w:vAlign w:val="center"/>
            <w:hideMark/>
          </w:tcPr>
          <w:p w14:paraId="6CD5CDDD"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16" w:type="pct"/>
            <w:tcBorders>
              <w:top w:val="nil"/>
              <w:left w:val="single" w:sz="8" w:space="0" w:color="000000"/>
              <w:bottom w:val="single" w:sz="8" w:space="0" w:color="000000"/>
              <w:right w:val="single" w:sz="8" w:space="0" w:color="000000"/>
            </w:tcBorders>
            <w:shd w:val="clear" w:color="000000" w:fill="FFFFFF"/>
            <w:noWrap/>
            <w:vAlign w:val="center"/>
            <w:hideMark/>
          </w:tcPr>
          <w:p w14:paraId="61478055"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M</w:t>
            </w:r>
          </w:p>
        </w:tc>
        <w:tc>
          <w:tcPr>
            <w:tcW w:w="176" w:type="pct"/>
            <w:tcBorders>
              <w:top w:val="nil"/>
              <w:left w:val="nil"/>
              <w:bottom w:val="single" w:sz="8" w:space="0" w:color="000000"/>
              <w:right w:val="single" w:sz="8" w:space="0" w:color="000000"/>
            </w:tcBorders>
            <w:shd w:val="clear" w:color="000000" w:fill="FFFFFF"/>
            <w:noWrap/>
            <w:vAlign w:val="center"/>
            <w:hideMark/>
          </w:tcPr>
          <w:p w14:paraId="0F133032"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I</w:t>
            </w:r>
          </w:p>
        </w:tc>
        <w:tc>
          <w:tcPr>
            <w:tcW w:w="246" w:type="pct"/>
            <w:tcBorders>
              <w:top w:val="nil"/>
              <w:left w:val="nil"/>
              <w:bottom w:val="single" w:sz="8" w:space="0" w:color="000000"/>
              <w:right w:val="single" w:sz="8" w:space="0" w:color="000000"/>
            </w:tcBorders>
            <w:shd w:val="clear" w:color="000000" w:fill="FFFFFF"/>
            <w:noWrap/>
            <w:vAlign w:val="center"/>
            <w:hideMark/>
          </w:tcPr>
          <w:p w14:paraId="6E2CB68B"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N</w:t>
            </w:r>
          </w:p>
        </w:tc>
        <w:tc>
          <w:tcPr>
            <w:tcW w:w="246" w:type="pct"/>
            <w:tcBorders>
              <w:top w:val="nil"/>
              <w:left w:val="nil"/>
              <w:bottom w:val="single" w:sz="8" w:space="0" w:color="000000"/>
              <w:right w:val="single" w:sz="8" w:space="0" w:color="000000"/>
            </w:tcBorders>
            <w:shd w:val="clear" w:color="000000" w:fill="FFFFFF"/>
            <w:noWrap/>
            <w:vAlign w:val="center"/>
            <w:hideMark/>
          </w:tcPr>
          <w:p w14:paraId="4463DE2B"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I</w:t>
            </w:r>
          </w:p>
        </w:tc>
        <w:tc>
          <w:tcPr>
            <w:tcW w:w="187" w:type="pct"/>
            <w:tcBorders>
              <w:top w:val="nil"/>
              <w:left w:val="nil"/>
              <w:bottom w:val="single" w:sz="8" w:space="0" w:color="000000"/>
              <w:right w:val="single" w:sz="8" w:space="0" w:color="000000"/>
            </w:tcBorders>
            <w:shd w:val="clear" w:color="000000" w:fill="FFFFFF"/>
            <w:noWrap/>
            <w:vAlign w:val="center"/>
            <w:hideMark/>
          </w:tcPr>
          <w:p w14:paraId="464EF236"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S</w:t>
            </w:r>
          </w:p>
        </w:tc>
        <w:tc>
          <w:tcPr>
            <w:tcW w:w="192" w:type="pct"/>
            <w:tcBorders>
              <w:top w:val="nil"/>
              <w:left w:val="nil"/>
              <w:bottom w:val="single" w:sz="8" w:space="0" w:color="000000"/>
              <w:right w:val="single" w:sz="8" w:space="0" w:color="000000"/>
            </w:tcBorders>
            <w:shd w:val="clear" w:color="000000" w:fill="FFFFFF"/>
            <w:noWrap/>
            <w:vAlign w:val="center"/>
            <w:hideMark/>
          </w:tcPr>
          <w:p w14:paraId="5DAECC3F"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T</w:t>
            </w:r>
          </w:p>
        </w:tc>
        <w:tc>
          <w:tcPr>
            <w:tcW w:w="192" w:type="pct"/>
            <w:tcBorders>
              <w:top w:val="nil"/>
              <w:left w:val="nil"/>
              <w:bottom w:val="single" w:sz="8" w:space="0" w:color="000000"/>
              <w:right w:val="single" w:sz="8" w:space="0" w:color="000000"/>
            </w:tcBorders>
            <w:shd w:val="clear" w:color="000000" w:fill="FFFFFF"/>
            <w:noWrap/>
            <w:vAlign w:val="center"/>
            <w:hideMark/>
          </w:tcPr>
          <w:p w14:paraId="15DE636F"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E</w:t>
            </w:r>
          </w:p>
        </w:tc>
        <w:tc>
          <w:tcPr>
            <w:tcW w:w="155" w:type="pct"/>
            <w:tcBorders>
              <w:top w:val="single" w:sz="8" w:space="0" w:color="000000"/>
              <w:left w:val="nil"/>
              <w:bottom w:val="single" w:sz="8" w:space="0" w:color="000000"/>
              <w:right w:val="single" w:sz="8" w:space="0" w:color="000000"/>
            </w:tcBorders>
            <w:shd w:val="clear" w:color="000000" w:fill="FFFFFF"/>
            <w:noWrap/>
            <w:vAlign w:val="center"/>
            <w:hideMark/>
          </w:tcPr>
          <w:p w14:paraId="0F9944F0"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R</w:t>
            </w:r>
          </w:p>
        </w:tc>
        <w:tc>
          <w:tcPr>
            <w:tcW w:w="152" w:type="pct"/>
            <w:tcBorders>
              <w:top w:val="single" w:sz="8" w:space="0" w:color="000000"/>
              <w:left w:val="nil"/>
              <w:bottom w:val="single" w:sz="8" w:space="0" w:color="000000"/>
              <w:right w:val="single" w:sz="8" w:space="0" w:color="000000"/>
            </w:tcBorders>
            <w:shd w:val="clear" w:color="000000" w:fill="FFFFFF"/>
            <w:noWrap/>
            <w:vAlign w:val="center"/>
            <w:hideMark/>
          </w:tcPr>
          <w:p w14:paraId="05F653BA"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S</w:t>
            </w:r>
          </w:p>
        </w:tc>
        <w:tc>
          <w:tcPr>
            <w:tcW w:w="174" w:type="pct"/>
            <w:tcBorders>
              <w:top w:val="single" w:sz="8" w:space="0" w:color="000000"/>
              <w:left w:val="nil"/>
              <w:bottom w:val="single" w:sz="8" w:space="0" w:color="000000"/>
              <w:right w:val="single" w:sz="8" w:space="0" w:color="000000"/>
            </w:tcBorders>
            <w:shd w:val="clear" w:color="000000" w:fill="FFFFFF"/>
            <w:noWrap/>
            <w:vAlign w:val="center"/>
            <w:hideMark/>
          </w:tcPr>
          <w:p w14:paraId="55F6C44F"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T</w:t>
            </w:r>
          </w:p>
        </w:tc>
        <w:tc>
          <w:tcPr>
            <w:tcW w:w="158" w:type="pct"/>
            <w:tcBorders>
              <w:top w:val="single" w:sz="8" w:space="0" w:color="000000"/>
              <w:left w:val="nil"/>
              <w:bottom w:val="single" w:sz="8" w:space="0" w:color="000000"/>
              <w:right w:val="single" w:sz="8" w:space="0" w:color="000000"/>
            </w:tcBorders>
            <w:shd w:val="clear" w:color="000000" w:fill="FFFFFF"/>
            <w:noWrap/>
            <w:vAlign w:val="center"/>
            <w:hideMark/>
          </w:tcPr>
          <w:p w14:paraId="76D5FE50"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V</w:t>
            </w:r>
          </w:p>
        </w:tc>
        <w:tc>
          <w:tcPr>
            <w:tcW w:w="152" w:type="pct"/>
            <w:tcBorders>
              <w:top w:val="single" w:sz="8" w:space="0" w:color="000000"/>
              <w:left w:val="nil"/>
              <w:bottom w:val="single" w:sz="8" w:space="0" w:color="000000"/>
              <w:right w:val="single" w:sz="8" w:space="0" w:color="000000"/>
            </w:tcBorders>
            <w:shd w:val="clear" w:color="000000" w:fill="FFFFFF"/>
            <w:noWrap/>
            <w:vAlign w:val="center"/>
            <w:hideMark/>
          </w:tcPr>
          <w:p w14:paraId="0A8A2752"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O</w:t>
            </w:r>
          </w:p>
        </w:tc>
        <w:tc>
          <w:tcPr>
            <w:tcW w:w="152" w:type="pct"/>
            <w:tcBorders>
              <w:top w:val="single" w:sz="8" w:space="0" w:color="000000"/>
              <w:left w:val="nil"/>
              <w:bottom w:val="single" w:sz="8" w:space="0" w:color="000000"/>
              <w:right w:val="single" w:sz="8" w:space="0" w:color="000000"/>
            </w:tcBorders>
            <w:shd w:val="clear" w:color="000000" w:fill="FFFFFF"/>
            <w:noWrap/>
            <w:vAlign w:val="center"/>
            <w:hideMark/>
          </w:tcPr>
          <w:p w14:paraId="711329C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single" w:sz="8" w:space="0" w:color="000000"/>
              <w:left w:val="nil"/>
              <w:bottom w:val="single" w:sz="8" w:space="0" w:color="000000"/>
              <w:right w:val="single" w:sz="8" w:space="0" w:color="000000"/>
            </w:tcBorders>
            <w:shd w:val="clear" w:color="000000" w:fill="FFFFFF"/>
            <w:noWrap/>
            <w:vAlign w:val="center"/>
            <w:hideMark/>
          </w:tcPr>
          <w:p w14:paraId="073607CB"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F</w:t>
            </w:r>
          </w:p>
        </w:tc>
        <w:tc>
          <w:tcPr>
            <w:tcW w:w="152" w:type="pct"/>
            <w:tcBorders>
              <w:top w:val="single" w:sz="8" w:space="0" w:color="000000"/>
              <w:left w:val="nil"/>
              <w:bottom w:val="single" w:sz="8" w:space="0" w:color="000000"/>
              <w:right w:val="single" w:sz="8" w:space="0" w:color="000000"/>
            </w:tcBorders>
            <w:shd w:val="clear" w:color="000000" w:fill="FFFFFF"/>
            <w:noWrap/>
            <w:vAlign w:val="center"/>
            <w:hideMark/>
          </w:tcPr>
          <w:p w14:paraId="3ED5A43A"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I</w:t>
            </w:r>
          </w:p>
        </w:tc>
        <w:tc>
          <w:tcPr>
            <w:tcW w:w="184" w:type="pct"/>
            <w:tcBorders>
              <w:top w:val="single" w:sz="8" w:space="0" w:color="000000"/>
              <w:left w:val="nil"/>
              <w:bottom w:val="single" w:sz="8" w:space="0" w:color="000000"/>
              <w:right w:val="single" w:sz="8" w:space="0" w:color="000000"/>
            </w:tcBorders>
            <w:shd w:val="clear" w:color="000000" w:fill="FFFFFF"/>
            <w:noWrap/>
            <w:vAlign w:val="center"/>
            <w:hideMark/>
          </w:tcPr>
          <w:p w14:paraId="250A28BA"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N</w:t>
            </w:r>
          </w:p>
        </w:tc>
        <w:tc>
          <w:tcPr>
            <w:tcW w:w="211" w:type="pct"/>
            <w:tcBorders>
              <w:top w:val="single" w:sz="8" w:space="0" w:color="000000"/>
              <w:left w:val="nil"/>
              <w:bottom w:val="single" w:sz="8" w:space="0" w:color="000000"/>
              <w:right w:val="single" w:sz="8" w:space="0" w:color="000000"/>
            </w:tcBorders>
            <w:shd w:val="clear" w:color="000000" w:fill="FFFFFF"/>
            <w:noWrap/>
            <w:vAlign w:val="center"/>
            <w:hideMark/>
          </w:tcPr>
          <w:p w14:paraId="11C93161"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A</w:t>
            </w:r>
          </w:p>
        </w:tc>
        <w:tc>
          <w:tcPr>
            <w:tcW w:w="152" w:type="pct"/>
            <w:tcBorders>
              <w:top w:val="single" w:sz="8" w:space="0" w:color="000000"/>
              <w:left w:val="nil"/>
              <w:bottom w:val="single" w:sz="8" w:space="0" w:color="000000"/>
              <w:right w:val="single" w:sz="8" w:space="0" w:color="000000"/>
            </w:tcBorders>
            <w:shd w:val="clear" w:color="000000" w:fill="FFFFFF"/>
            <w:noWrap/>
            <w:vAlign w:val="center"/>
            <w:hideMark/>
          </w:tcPr>
          <w:p w14:paraId="6E78067D"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N</w:t>
            </w:r>
          </w:p>
        </w:tc>
        <w:tc>
          <w:tcPr>
            <w:tcW w:w="155" w:type="pct"/>
            <w:tcBorders>
              <w:top w:val="single" w:sz="8" w:space="0" w:color="000000"/>
              <w:left w:val="nil"/>
              <w:bottom w:val="single" w:sz="8" w:space="0" w:color="000000"/>
              <w:right w:val="single" w:sz="8" w:space="0" w:color="000000"/>
            </w:tcBorders>
            <w:shd w:val="clear" w:color="000000" w:fill="FFFFFF"/>
            <w:noWrap/>
            <w:vAlign w:val="center"/>
            <w:hideMark/>
          </w:tcPr>
          <w:p w14:paraId="0D9DE8B7"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C</w:t>
            </w:r>
          </w:p>
        </w:tc>
        <w:tc>
          <w:tcPr>
            <w:tcW w:w="155" w:type="pct"/>
            <w:tcBorders>
              <w:top w:val="single" w:sz="8" w:space="0" w:color="000000"/>
              <w:left w:val="nil"/>
              <w:bottom w:val="single" w:sz="8" w:space="0" w:color="000000"/>
              <w:right w:val="single" w:sz="8" w:space="0" w:color="000000"/>
            </w:tcBorders>
            <w:shd w:val="clear" w:color="000000" w:fill="FFFFFF"/>
            <w:noWrap/>
            <w:vAlign w:val="center"/>
            <w:hideMark/>
          </w:tcPr>
          <w:p w14:paraId="7DF57F55"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I</w:t>
            </w:r>
          </w:p>
        </w:tc>
        <w:tc>
          <w:tcPr>
            <w:tcW w:w="128" w:type="pct"/>
            <w:tcBorders>
              <w:top w:val="single" w:sz="8" w:space="0" w:color="000000"/>
              <w:left w:val="nil"/>
              <w:bottom w:val="single" w:sz="8" w:space="0" w:color="000000"/>
              <w:right w:val="single" w:sz="8" w:space="0" w:color="000000"/>
            </w:tcBorders>
            <w:shd w:val="clear" w:color="000000" w:fill="FFFFFF"/>
            <w:noWrap/>
            <w:vAlign w:val="center"/>
            <w:hideMark/>
          </w:tcPr>
          <w:p w14:paraId="4E22CB53"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Í</w:t>
            </w:r>
          </w:p>
        </w:tc>
        <w:tc>
          <w:tcPr>
            <w:tcW w:w="128" w:type="pct"/>
            <w:tcBorders>
              <w:top w:val="single" w:sz="8" w:space="0" w:color="000000"/>
              <w:left w:val="nil"/>
              <w:bottom w:val="single" w:sz="8" w:space="0" w:color="000000"/>
              <w:right w:val="single" w:sz="8" w:space="0" w:color="000000"/>
            </w:tcBorders>
            <w:shd w:val="clear" w:color="000000" w:fill="FFFFFF"/>
            <w:noWrap/>
            <w:vAlign w:val="center"/>
            <w:hideMark/>
          </w:tcPr>
          <w:p w14:paraId="27DF1B4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single" w:sz="8" w:space="0" w:color="000000"/>
              <w:left w:val="nil"/>
              <w:bottom w:val="single" w:sz="8" w:space="0" w:color="000000"/>
              <w:right w:val="single" w:sz="8" w:space="0" w:color="000000"/>
            </w:tcBorders>
            <w:shd w:val="clear" w:color="000000" w:fill="FFFFFF"/>
            <w:noWrap/>
            <w:vAlign w:val="center"/>
            <w:hideMark/>
          </w:tcPr>
          <w:p w14:paraId="35262A64"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S</w:t>
            </w:r>
          </w:p>
        </w:tc>
        <w:tc>
          <w:tcPr>
            <w:tcW w:w="146" w:type="pct"/>
            <w:tcBorders>
              <w:top w:val="single" w:sz="8" w:space="0" w:color="000000"/>
              <w:left w:val="nil"/>
              <w:bottom w:val="single" w:sz="8" w:space="0" w:color="000000"/>
              <w:right w:val="single" w:sz="8" w:space="0" w:color="000000"/>
            </w:tcBorders>
            <w:shd w:val="clear" w:color="000000" w:fill="FFFFFF"/>
            <w:noWrap/>
            <w:vAlign w:val="center"/>
            <w:hideMark/>
          </w:tcPr>
          <w:p w14:paraId="14350FA1"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R</w:t>
            </w:r>
          </w:p>
        </w:tc>
        <w:tc>
          <w:tcPr>
            <w:tcW w:w="128" w:type="pct"/>
            <w:tcBorders>
              <w:top w:val="single" w:sz="8" w:space="0" w:color="000000"/>
              <w:left w:val="nil"/>
              <w:bottom w:val="single" w:sz="8" w:space="0" w:color="000000"/>
              <w:right w:val="single" w:sz="8" w:space="0" w:color="000000"/>
            </w:tcBorders>
            <w:shd w:val="clear" w:color="000000" w:fill="FFFFFF"/>
            <w:noWrap/>
            <w:vAlign w:val="center"/>
            <w:hideMark/>
          </w:tcPr>
          <w:p w14:paraId="52A54A0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single" w:sz="8" w:space="0" w:color="000000"/>
              <w:left w:val="nil"/>
              <w:bottom w:val="single" w:sz="8" w:space="0" w:color="000000"/>
              <w:right w:val="single" w:sz="8" w:space="0" w:color="000000"/>
            </w:tcBorders>
            <w:shd w:val="clear" w:color="000000" w:fill="FFFFFF"/>
            <w:noWrap/>
            <w:vAlign w:val="center"/>
            <w:hideMark/>
          </w:tcPr>
          <w:p w14:paraId="2A161E1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single" w:sz="8" w:space="0" w:color="000000"/>
              <w:left w:val="nil"/>
              <w:bottom w:val="single" w:sz="8" w:space="0" w:color="000000"/>
              <w:right w:val="single" w:sz="8" w:space="0" w:color="000000"/>
            </w:tcBorders>
            <w:shd w:val="clear" w:color="000000" w:fill="FFFFFF"/>
            <w:noWrap/>
            <w:vAlign w:val="center"/>
            <w:hideMark/>
          </w:tcPr>
          <w:p w14:paraId="2D8D955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single" w:sz="8" w:space="0" w:color="000000"/>
              <w:left w:val="nil"/>
              <w:bottom w:val="single" w:sz="8" w:space="0" w:color="000000"/>
              <w:right w:val="single" w:sz="8" w:space="0" w:color="000000"/>
            </w:tcBorders>
            <w:shd w:val="clear" w:color="000000" w:fill="FFFFFF"/>
            <w:noWrap/>
            <w:vAlign w:val="center"/>
            <w:hideMark/>
          </w:tcPr>
          <w:p w14:paraId="2BA66EB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17" w:type="pct"/>
            <w:tcBorders>
              <w:top w:val="nil"/>
              <w:left w:val="nil"/>
              <w:bottom w:val="nil"/>
              <w:right w:val="nil"/>
            </w:tcBorders>
            <w:shd w:val="clear" w:color="000000" w:fill="FFFFFF"/>
            <w:noWrap/>
            <w:vAlign w:val="center"/>
            <w:hideMark/>
          </w:tcPr>
          <w:p w14:paraId="2AF31D7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4BBEC2D6"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398DDE7F" w14:textId="77777777" w:rsidTr="00A02729">
        <w:trPr>
          <w:trHeight w:val="270"/>
          <w:jc w:val="center"/>
        </w:trPr>
        <w:tc>
          <w:tcPr>
            <w:tcW w:w="135" w:type="pct"/>
            <w:tcBorders>
              <w:top w:val="nil"/>
              <w:left w:val="nil"/>
              <w:bottom w:val="nil"/>
              <w:right w:val="nil"/>
            </w:tcBorders>
            <w:shd w:val="clear" w:color="000000" w:fill="FFFFFF"/>
            <w:noWrap/>
            <w:vAlign w:val="center"/>
            <w:hideMark/>
          </w:tcPr>
          <w:p w14:paraId="3267EA84"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16" w:type="pct"/>
            <w:tcBorders>
              <w:top w:val="nil"/>
              <w:left w:val="single" w:sz="8" w:space="0" w:color="000000"/>
              <w:bottom w:val="single" w:sz="8" w:space="0" w:color="000000"/>
              <w:right w:val="single" w:sz="8" w:space="0" w:color="000000"/>
            </w:tcBorders>
            <w:shd w:val="clear" w:color="000000" w:fill="FFFFFF"/>
            <w:noWrap/>
            <w:vAlign w:val="center"/>
            <w:hideMark/>
          </w:tcPr>
          <w:p w14:paraId="579C9B8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6" w:type="pct"/>
            <w:tcBorders>
              <w:top w:val="nil"/>
              <w:left w:val="nil"/>
              <w:bottom w:val="single" w:sz="8" w:space="0" w:color="000000"/>
              <w:right w:val="single" w:sz="8" w:space="0" w:color="000000"/>
            </w:tcBorders>
            <w:shd w:val="clear" w:color="000000" w:fill="FFFFFF"/>
            <w:noWrap/>
            <w:vAlign w:val="center"/>
            <w:hideMark/>
          </w:tcPr>
          <w:p w14:paraId="2E0842A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46" w:type="pct"/>
            <w:tcBorders>
              <w:top w:val="nil"/>
              <w:left w:val="nil"/>
              <w:bottom w:val="single" w:sz="8" w:space="0" w:color="000000"/>
              <w:right w:val="single" w:sz="8" w:space="0" w:color="000000"/>
            </w:tcBorders>
            <w:shd w:val="clear" w:color="000000" w:fill="FFFFFF"/>
            <w:noWrap/>
            <w:vAlign w:val="center"/>
            <w:hideMark/>
          </w:tcPr>
          <w:p w14:paraId="0DF1864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46" w:type="pct"/>
            <w:tcBorders>
              <w:top w:val="nil"/>
              <w:left w:val="nil"/>
              <w:bottom w:val="single" w:sz="8" w:space="0" w:color="000000"/>
              <w:right w:val="single" w:sz="8" w:space="0" w:color="000000"/>
            </w:tcBorders>
            <w:shd w:val="clear" w:color="000000" w:fill="FFFFFF"/>
            <w:noWrap/>
            <w:vAlign w:val="center"/>
            <w:hideMark/>
          </w:tcPr>
          <w:p w14:paraId="05B9904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7" w:type="pct"/>
            <w:tcBorders>
              <w:top w:val="nil"/>
              <w:left w:val="nil"/>
              <w:bottom w:val="single" w:sz="8" w:space="0" w:color="000000"/>
              <w:right w:val="single" w:sz="8" w:space="0" w:color="000000"/>
            </w:tcBorders>
            <w:shd w:val="clear" w:color="000000" w:fill="FFFFFF"/>
            <w:noWrap/>
            <w:vAlign w:val="center"/>
            <w:hideMark/>
          </w:tcPr>
          <w:p w14:paraId="3AE029D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single" w:sz="8" w:space="0" w:color="000000"/>
              <w:right w:val="single" w:sz="8" w:space="0" w:color="000000"/>
            </w:tcBorders>
            <w:shd w:val="clear" w:color="000000" w:fill="FFFFFF"/>
            <w:noWrap/>
            <w:vAlign w:val="center"/>
            <w:hideMark/>
          </w:tcPr>
          <w:p w14:paraId="44B1EC3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single" w:sz="8" w:space="0" w:color="000000"/>
              <w:right w:val="single" w:sz="8" w:space="0" w:color="000000"/>
            </w:tcBorders>
            <w:shd w:val="clear" w:color="000000" w:fill="FFFFFF"/>
            <w:noWrap/>
            <w:vAlign w:val="center"/>
            <w:hideMark/>
          </w:tcPr>
          <w:p w14:paraId="78C0661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single" w:sz="8" w:space="0" w:color="000000"/>
              <w:right w:val="single" w:sz="8" w:space="0" w:color="000000"/>
            </w:tcBorders>
            <w:shd w:val="clear" w:color="000000" w:fill="FFFFFF"/>
            <w:noWrap/>
            <w:vAlign w:val="center"/>
            <w:hideMark/>
          </w:tcPr>
          <w:p w14:paraId="0818F48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single" w:sz="8" w:space="0" w:color="000000"/>
              <w:right w:val="single" w:sz="8" w:space="0" w:color="000000"/>
            </w:tcBorders>
            <w:shd w:val="clear" w:color="000000" w:fill="FFFFFF"/>
            <w:noWrap/>
            <w:vAlign w:val="center"/>
            <w:hideMark/>
          </w:tcPr>
          <w:p w14:paraId="4069517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4" w:type="pct"/>
            <w:tcBorders>
              <w:top w:val="nil"/>
              <w:left w:val="nil"/>
              <w:bottom w:val="single" w:sz="8" w:space="0" w:color="000000"/>
              <w:right w:val="single" w:sz="8" w:space="0" w:color="000000"/>
            </w:tcBorders>
            <w:shd w:val="clear" w:color="000000" w:fill="FFFFFF"/>
            <w:noWrap/>
            <w:vAlign w:val="center"/>
            <w:hideMark/>
          </w:tcPr>
          <w:p w14:paraId="2367BA3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8" w:type="pct"/>
            <w:tcBorders>
              <w:top w:val="nil"/>
              <w:left w:val="nil"/>
              <w:bottom w:val="single" w:sz="8" w:space="0" w:color="000000"/>
              <w:right w:val="single" w:sz="8" w:space="0" w:color="000000"/>
            </w:tcBorders>
            <w:shd w:val="clear" w:color="000000" w:fill="FFFFFF"/>
            <w:noWrap/>
            <w:vAlign w:val="center"/>
            <w:hideMark/>
          </w:tcPr>
          <w:p w14:paraId="5D60BF3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single" w:sz="8" w:space="0" w:color="000000"/>
              <w:right w:val="single" w:sz="8" w:space="0" w:color="000000"/>
            </w:tcBorders>
            <w:shd w:val="clear" w:color="000000" w:fill="FFFFFF"/>
            <w:noWrap/>
            <w:vAlign w:val="center"/>
            <w:hideMark/>
          </w:tcPr>
          <w:p w14:paraId="6394103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single" w:sz="8" w:space="0" w:color="000000"/>
              <w:right w:val="single" w:sz="8" w:space="0" w:color="000000"/>
            </w:tcBorders>
            <w:shd w:val="clear" w:color="000000" w:fill="FFFFFF"/>
            <w:noWrap/>
            <w:vAlign w:val="center"/>
            <w:hideMark/>
          </w:tcPr>
          <w:p w14:paraId="423E33F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single" w:sz="8" w:space="0" w:color="000000"/>
              <w:right w:val="single" w:sz="8" w:space="0" w:color="000000"/>
            </w:tcBorders>
            <w:shd w:val="clear" w:color="000000" w:fill="FFFFFF"/>
            <w:noWrap/>
            <w:vAlign w:val="center"/>
            <w:hideMark/>
          </w:tcPr>
          <w:p w14:paraId="675D6B5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single" w:sz="8" w:space="0" w:color="000000"/>
              <w:right w:val="single" w:sz="8" w:space="0" w:color="000000"/>
            </w:tcBorders>
            <w:shd w:val="clear" w:color="000000" w:fill="FFFFFF"/>
            <w:noWrap/>
            <w:vAlign w:val="center"/>
            <w:hideMark/>
          </w:tcPr>
          <w:p w14:paraId="05EBE12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4" w:type="pct"/>
            <w:tcBorders>
              <w:top w:val="nil"/>
              <w:left w:val="nil"/>
              <w:bottom w:val="single" w:sz="8" w:space="0" w:color="000000"/>
              <w:right w:val="single" w:sz="8" w:space="0" w:color="000000"/>
            </w:tcBorders>
            <w:shd w:val="clear" w:color="000000" w:fill="FFFFFF"/>
            <w:noWrap/>
            <w:vAlign w:val="center"/>
            <w:hideMark/>
          </w:tcPr>
          <w:p w14:paraId="4529EC1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nil"/>
              <w:left w:val="nil"/>
              <w:bottom w:val="single" w:sz="8" w:space="0" w:color="000000"/>
              <w:right w:val="single" w:sz="8" w:space="0" w:color="000000"/>
            </w:tcBorders>
            <w:shd w:val="clear" w:color="000000" w:fill="FFFFFF"/>
            <w:noWrap/>
            <w:vAlign w:val="center"/>
            <w:hideMark/>
          </w:tcPr>
          <w:p w14:paraId="7451F98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single" w:sz="8" w:space="0" w:color="000000"/>
              <w:right w:val="single" w:sz="8" w:space="0" w:color="000000"/>
            </w:tcBorders>
            <w:shd w:val="clear" w:color="000000" w:fill="FFFFFF"/>
            <w:noWrap/>
            <w:vAlign w:val="center"/>
            <w:hideMark/>
          </w:tcPr>
          <w:p w14:paraId="07DF8AF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single" w:sz="8" w:space="0" w:color="000000"/>
              <w:right w:val="single" w:sz="8" w:space="0" w:color="000000"/>
            </w:tcBorders>
            <w:shd w:val="clear" w:color="000000" w:fill="FFFFFF"/>
            <w:noWrap/>
            <w:vAlign w:val="center"/>
            <w:hideMark/>
          </w:tcPr>
          <w:p w14:paraId="25E2D93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single" w:sz="8" w:space="0" w:color="000000"/>
              <w:right w:val="single" w:sz="8" w:space="0" w:color="000000"/>
            </w:tcBorders>
            <w:shd w:val="clear" w:color="000000" w:fill="FFFFFF"/>
            <w:noWrap/>
            <w:vAlign w:val="center"/>
            <w:hideMark/>
          </w:tcPr>
          <w:p w14:paraId="0AB397E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single" w:sz="8" w:space="0" w:color="000000"/>
              <w:right w:val="single" w:sz="8" w:space="0" w:color="000000"/>
            </w:tcBorders>
            <w:shd w:val="clear" w:color="000000" w:fill="FFFFFF"/>
            <w:noWrap/>
            <w:vAlign w:val="center"/>
            <w:hideMark/>
          </w:tcPr>
          <w:p w14:paraId="26D8387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single" w:sz="8" w:space="0" w:color="000000"/>
              <w:right w:val="single" w:sz="8" w:space="0" w:color="000000"/>
            </w:tcBorders>
            <w:shd w:val="clear" w:color="000000" w:fill="FFFFFF"/>
            <w:noWrap/>
            <w:vAlign w:val="center"/>
            <w:hideMark/>
          </w:tcPr>
          <w:p w14:paraId="4FFBE1A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single" w:sz="8" w:space="0" w:color="000000"/>
              <w:right w:val="single" w:sz="8" w:space="0" w:color="000000"/>
            </w:tcBorders>
            <w:shd w:val="clear" w:color="000000" w:fill="FFFFFF"/>
            <w:noWrap/>
            <w:vAlign w:val="center"/>
            <w:hideMark/>
          </w:tcPr>
          <w:p w14:paraId="0D0BF5F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nil"/>
              <w:left w:val="nil"/>
              <w:bottom w:val="single" w:sz="8" w:space="0" w:color="000000"/>
              <w:right w:val="single" w:sz="8" w:space="0" w:color="000000"/>
            </w:tcBorders>
            <w:shd w:val="clear" w:color="000000" w:fill="FFFFFF"/>
            <w:noWrap/>
            <w:vAlign w:val="center"/>
            <w:hideMark/>
          </w:tcPr>
          <w:p w14:paraId="1EE7F71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single" w:sz="8" w:space="0" w:color="000000"/>
              <w:right w:val="single" w:sz="8" w:space="0" w:color="000000"/>
            </w:tcBorders>
            <w:shd w:val="clear" w:color="000000" w:fill="FFFFFF"/>
            <w:noWrap/>
            <w:vAlign w:val="center"/>
            <w:hideMark/>
          </w:tcPr>
          <w:p w14:paraId="43FE4E6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single" w:sz="8" w:space="0" w:color="000000"/>
              <w:right w:val="single" w:sz="8" w:space="0" w:color="000000"/>
            </w:tcBorders>
            <w:shd w:val="clear" w:color="000000" w:fill="FFFFFF"/>
            <w:noWrap/>
            <w:vAlign w:val="center"/>
            <w:hideMark/>
          </w:tcPr>
          <w:p w14:paraId="0E1359C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single" w:sz="8" w:space="0" w:color="000000"/>
              <w:right w:val="single" w:sz="8" w:space="0" w:color="000000"/>
            </w:tcBorders>
            <w:shd w:val="clear" w:color="000000" w:fill="FFFFFF"/>
            <w:noWrap/>
            <w:vAlign w:val="center"/>
            <w:hideMark/>
          </w:tcPr>
          <w:p w14:paraId="176716C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single" w:sz="8" w:space="0" w:color="000000"/>
              <w:right w:val="single" w:sz="8" w:space="0" w:color="000000"/>
            </w:tcBorders>
            <w:shd w:val="clear" w:color="000000" w:fill="FFFFFF"/>
            <w:noWrap/>
            <w:vAlign w:val="center"/>
            <w:hideMark/>
          </w:tcPr>
          <w:p w14:paraId="68E0DB8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17" w:type="pct"/>
            <w:tcBorders>
              <w:top w:val="nil"/>
              <w:left w:val="nil"/>
              <w:bottom w:val="nil"/>
              <w:right w:val="nil"/>
            </w:tcBorders>
            <w:shd w:val="clear" w:color="000000" w:fill="FFFFFF"/>
            <w:noWrap/>
            <w:vAlign w:val="center"/>
            <w:hideMark/>
          </w:tcPr>
          <w:p w14:paraId="1553B09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46A9D703"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7E68A5CE" w14:textId="77777777" w:rsidTr="00A02729">
        <w:trPr>
          <w:trHeight w:val="255"/>
          <w:jc w:val="center"/>
        </w:trPr>
        <w:tc>
          <w:tcPr>
            <w:tcW w:w="135" w:type="pct"/>
            <w:tcBorders>
              <w:top w:val="nil"/>
              <w:left w:val="nil"/>
              <w:bottom w:val="nil"/>
              <w:right w:val="nil"/>
            </w:tcBorders>
            <w:shd w:val="clear" w:color="000000" w:fill="FFFFFF"/>
            <w:noWrap/>
            <w:vAlign w:val="center"/>
            <w:hideMark/>
          </w:tcPr>
          <w:p w14:paraId="2F147623"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16" w:type="pct"/>
            <w:tcBorders>
              <w:top w:val="nil"/>
              <w:left w:val="nil"/>
              <w:bottom w:val="nil"/>
              <w:right w:val="nil"/>
            </w:tcBorders>
            <w:shd w:val="clear" w:color="000000" w:fill="FFFFFF"/>
            <w:noWrap/>
            <w:vAlign w:val="center"/>
            <w:hideMark/>
          </w:tcPr>
          <w:p w14:paraId="3F04E19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6" w:type="pct"/>
            <w:tcBorders>
              <w:top w:val="nil"/>
              <w:left w:val="nil"/>
              <w:bottom w:val="nil"/>
              <w:right w:val="nil"/>
            </w:tcBorders>
            <w:shd w:val="clear" w:color="000000" w:fill="FFFFFF"/>
            <w:noWrap/>
            <w:vAlign w:val="center"/>
            <w:hideMark/>
          </w:tcPr>
          <w:p w14:paraId="394E9B7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46" w:type="pct"/>
            <w:tcBorders>
              <w:top w:val="nil"/>
              <w:left w:val="nil"/>
              <w:bottom w:val="nil"/>
              <w:right w:val="nil"/>
            </w:tcBorders>
            <w:shd w:val="clear" w:color="000000" w:fill="FFFFFF"/>
            <w:noWrap/>
            <w:vAlign w:val="center"/>
            <w:hideMark/>
          </w:tcPr>
          <w:p w14:paraId="17AF26F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46" w:type="pct"/>
            <w:tcBorders>
              <w:top w:val="nil"/>
              <w:left w:val="nil"/>
              <w:bottom w:val="nil"/>
              <w:right w:val="nil"/>
            </w:tcBorders>
            <w:shd w:val="clear" w:color="000000" w:fill="FFFFFF"/>
            <w:noWrap/>
            <w:vAlign w:val="center"/>
            <w:hideMark/>
          </w:tcPr>
          <w:p w14:paraId="3577439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7" w:type="pct"/>
            <w:tcBorders>
              <w:top w:val="nil"/>
              <w:left w:val="nil"/>
              <w:bottom w:val="nil"/>
              <w:right w:val="nil"/>
            </w:tcBorders>
            <w:shd w:val="clear" w:color="000000" w:fill="FFFFFF"/>
            <w:noWrap/>
            <w:vAlign w:val="center"/>
            <w:hideMark/>
          </w:tcPr>
          <w:p w14:paraId="3B692B4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4CAF50A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7CB650D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7949169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03F44C5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4" w:type="pct"/>
            <w:tcBorders>
              <w:top w:val="nil"/>
              <w:left w:val="nil"/>
              <w:bottom w:val="nil"/>
              <w:right w:val="nil"/>
            </w:tcBorders>
            <w:shd w:val="clear" w:color="000000" w:fill="FFFFFF"/>
            <w:noWrap/>
            <w:vAlign w:val="center"/>
            <w:hideMark/>
          </w:tcPr>
          <w:p w14:paraId="4E2162F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8" w:type="pct"/>
            <w:tcBorders>
              <w:top w:val="nil"/>
              <w:left w:val="nil"/>
              <w:bottom w:val="nil"/>
              <w:right w:val="nil"/>
            </w:tcBorders>
            <w:shd w:val="clear" w:color="000000" w:fill="FFFFFF"/>
            <w:noWrap/>
            <w:vAlign w:val="center"/>
            <w:hideMark/>
          </w:tcPr>
          <w:p w14:paraId="71DEBB3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08C198E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0614BBD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6477686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53EDC2F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4" w:type="pct"/>
            <w:tcBorders>
              <w:top w:val="nil"/>
              <w:left w:val="nil"/>
              <w:bottom w:val="nil"/>
              <w:right w:val="nil"/>
            </w:tcBorders>
            <w:shd w:val="clear" w:color="000000" w:fill="FFFFFF"/>
            <w:noWrap/>
            <w:vAlign w:val="center"/>
            <w:hideMark/>
          </w:tcPr>
          <w:p w14:paraId="635E2FE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nil"/>
              <w:left w:val="nil"/>
              <w:bottom w:val="nil"/>
              <w:right w:val="nil"/>
            </w:tcBorders>
            <w:shd w:val="clear" w:color="000000" w:fill="FFFFFF"/>
            <w:noWrap/>
            <w:vAlign w:val="center"/>
            <w:hideMark/>
          </w:tcPr>
          <w:p w14:paraId="2F5FF85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0FC742D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6A5C7AD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78E1552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778DC60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14F4338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7768675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nil"/>
              <w:left w:val="nil"/>
              <w:bottom w:val="nil"/>
              <w:right w:val="nil"/>
            </w:tcBorders>
            <w:shd w:val="clear" w:color="000000" w:fill="FFFFFF"/>
            <w:noWrap/>
            <w:vAlign w:val="center"/>
            <w:hideMark/>
          </w:tcPr>
          <w:p w14:paraId="7B50D35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66C8719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32B9B41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193EF68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1F85666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17" w:type="pct"/>
            <w:tcBorders>
              <w:top w:val="nil"/>
              <w:left w:val="nil"/>
              <w:bottom w:val="nil"/>
              <w:right w:val="nil"/>
            </w:tcBorders>
            <w:shd w:val="clear" w:color="000000" w:fill="FFFFFF"/>
            <w:noWrap/>
            <w:vAlign w:val="center"/>
            <w:hideMark/>
          </w:tcPr>
          <w:p w14:paraId="5BB6357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782DEAF9"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C97D5C" w:rsidRPr="00907622" w14:paraId="2876BE3D" w14:textId="77777777" w:rsidTr="00A7107D">
        <w:trPr>
          <w:trHeight w:val="255"/>
          <w:jc w:val="center"/>
        </w:trPr>
        <w:tc>
          <w:tcPr>
            <w:tcW w:w="135" w:type="pct"/>
            <w:tcBorders>
              <w:top w:val="nil"/>
              <w:left w:val="nil"/>
              <w:bottom w:val="nil"/>
              <w:right w:val="nil"/>
            </w:tcBorders>
            <w:shd w:val="clear" w:color="000000" w:fill="FFFFFF"/>
            <w:noWrap/>
            <w:vAlign w:val="center"/>
            <w:hideMark/>
          </w:tcPr>
          <w:p w14:paraId="48DD3497"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4613" w:type="pct"/>
            <w:gridSpan w:val="28"/>
            <w:tcBorders>
              <w:top w:val="nil"/>
              <w:left w:val="nil"/>
              <w:bottom w:val="nil"/>
              <w:right w:val="nil"/>
            </w:tcBorders>
            <w:shd w:val="clear" w:color="000000" w:fill="FFFFFF"/>
            <w:noWrap/>
            <w:vAlign w:val="center"/>
            <w:hideMark/>
          </w:tcPr>
          <w:p w14:paraId="69376DE7"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Sídlo účtovnej jednotky</w:t>
            </w:r>
          </w:p>
        </w:tc>
        <w:tc>
          <w:tcPr>
            <w:tcW w:w="117" w:type="pct"/>
            <w:tcBorders>
              <w:top w:val="nil"/>
              <w:left w:val="nil"/>
              <w:bottom w:val="nil"/>
              <w:right w:val="nil"/>
            </w:tcBorders>
            <w:shd w:val="clear" w:color="000000" w:fill="FFFFFF"/>
            <w:noWrap/>
            <w:vAlign w:val="center"/>
            <w:hideMark/>
          </w:tcPr>
          <w:p w14:paraId="0E802A1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65DB486F"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385FA842" w14:textId="77777777" w:rsidTr="00A02729">
        <w:trPr>
          <w:trHeight w:val="270"/>
          <w:jc w:val="center"/>
        </w:trPr>
        <w:tc>
          <w:tcPr>
            <w:tcW w:w="135" w:type="pct"/>
            <w:tcBorders>
              <w:top w:val="nil"/>
              <w:left w:val="nil"/>
              <w:bottom w:val="nil"/>
              <w:right w:val="nil"/>
            </w:tcBorders>
            <w:shd w:val="clear" w:color="000000" w:fill="FFFFFF"/>
            <w:noWrap/>
            <w:vAlign w:val="center"/>
            <w:hideMark/>
          </w:tcPr>
          <w:p w14:paraId="6E6D03EC"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884" w:type="pct"/>
            <w:gridSpan w:val="4"/>
            <w:tcBorders>
              <w:top w:val="nil"/>
              <w:left w:val="nil"/>
              <w:bottom w:val="single" w:sz="8" w:space="0" w:color="000000"/>
              <w:right w:val="nil"/>
            </w:tcBorders>
            <w:shd w:val="clear" w:color="000000" w:fill="FFFFFF"/>
            <w:noWrap/>
            <w:vAlign w:val="center"/>
            <w:hideMark/>
          </w:tcPr>
          <w:p w14:paraId="673C65C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Ulica a číslo</w:t>
            </w:r>
          </w:p>
        </w:tc>
        <w:tc>
          <w:tcPr>
            <w:tcW w:w="187" w:type="pct"/>
            <w:tcBorders>
              <w:top w:val="nil"/>
              <w:left w:val="nil"/>
              <w:bottom w:val="nil"/>
              <w:right w:val="nil"/>
            </w:tcBorders>
            <w:shd w:val="clear" w:color="000000" w:fill="FFFFFF"/>
            <w:noWrap/>
            <w:vAlign w:val="center"/>
            <w:hideMark/>
          </w:tcPr>
          <w:p w14:paraId="131A471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7224DF4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0B96253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1A1EB66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2747635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4" w:type="pct"/>
            <w:tcBorders>
              <w:top w:val="nil"/>
              <w:left w:val="nil"/>
              <w:bottom w:val="nil"/>
              <w:right w:val="nil"/>
            </w:tcBorders>
            <w:shd w:val="clear" w:color="000000" w:fill="FFFFFF"/>
            <w:noWrap/>
            <w:vAlign w:val="center"/>
            <w:hideMark/>
          </w:tcPr>
          <w:p w14:paraId="78BA814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8" w:type="pct"/>
            <w:tcBorders>
              <w:top w:val="nil"/>
              <w:left w:val="nil"/>
              <w:bottom w:val="nil"/>
              <w:right w:val="nil"/>
            </w:tcBorders>
            <w:shd w:val="clear" w:color="000000" w:fill="FFFFFF"/>
            <w:noWrap/>
            <w:vAlign w:val="center"/>
            <w:hideMark/>
          </w:tcPr>
          <w:p w14:paraId="25FE72F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2D8E007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3BB5BE8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465B62A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3AE4E5E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4" w:type="pct"/>
            <w:tcBorders>
              <w:top w:val="nil"/>
              <w:left w:val="nil"/>
              <w:bottom w:val="nil"/>
              <w:right w:val="nil"/>
            </w:tcBorders>
            <w:shd w:val="clear" w:color="000000" w:fill="FFFFFF"/>
            <w:noWrap/>
            <w:vAlign w:val="center"/>
            <w:hideMark/>
          </w:tcPr>
          <w:p w14:paraId="7A53C59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nil"/>
              <w:left w:val="nil"/>
              <w:bottom w:val="nil"/>
              <w:right w:val="nil"/>
            </w:tcBorders>
            <w:shd w:val="clear" w:color="000000" w:fill="FFFFFF"/>
            <w:noWrap/>
            <w:vAlign w:val="center"/>
            <w:hideMark/>
          </w:tcPr>
          <w:p w14:paraId="7ACF744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03AC22D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7DC1F06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14310FF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393D46B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7ECF0D8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6848056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nil"/>
              <w:left w:val="nil"/>
              <w:bottom w:val="nil"/>
              <w:right w:val="nil"/>
            </w:tcBorders>
            <w:shd w:val="clear" w:color="000000" w:fill="FFFFFF"/>
            <w:noWrap/>
            <w:vAlign w:val="center"/>
            <w:hideMark/>
          </w:tcPr>
          <w:p w14:paraId="2E054F1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1CB8D29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7972E60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47EEB2B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2B4A13B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17" w:type="pct"/>
            <w:tcBorders>
              <w:top w:val="nil"/>
              <w:left w:val="nil"/>
              <w:bottom w:val="nil"/>
              <w:right w:val="nil"/>
            </w:tcBorders>
            <w:shd w:val="clear" w:color="000000" w:fill="FFFFFF"/>
            <w:noWrap/>
            <w:vAlign w:val="center"/>
            <w:hideMark/>
          </w:tcPr>
          <w:p w14:paraId="53E3C83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64840924"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50C93F9E" w14:textId="77777777" w:rsidTr="00A02729">
        <w:trPr>
          <w:trHeight w:val="270"/>
          <w:jc w:val="center"/>
        </w:trPr>
        <w:tc>
          <w:tcPr>
            <w:tcW w:w="135" w:type="pct"/>
            <w:tcBorders>
              <w:top w:val="nil"/>
              <w:left w:val="nil"/>
              <w:bottom w:val="nil"/>
              <w:right w:val="nil"/>
            </w:tcBorders>
            <w:shd w:val="clear" w:color="000000" w:fill="FFFFFF"/>
            <w:noWrap/>
            <w:vAlign w:val="center"/>
            <w:hideMark/>
          </w:tcPr>
          <w:p w14:paraId="48C6C152"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16" w:type="pct"/>
            <w:tcBorders>
              <w:top w:val="nil"/>
              <w:left w:val="single" w:sz="8" w:space="0" w:color="000000"/>
              <w:bottom w:val="single" w:sz="8" w:space="0" w:color="000000"/>
              <w:right w:val="single" w:sz="8" w:space="0" w:color="000000"/>
            </w:tcBorders>
            <w:shd w:val="clear" w:color="000000" w:fill="FFFFFF"/>
            <w:noWrap/>
            <w:vAlign w:val="center"/>
            <w:hideMark/>
          </w:tcPr>
          <w:p w14:paraId="0BF33C5C"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Š</w:t>
            </w:r>
          </w:p>
        </w:tc>
        <w:tc>
          <w:tcPr>
            <w:tcW w:w="176" w:type="pct"/>
            <w:tcBorders>
              <w:top w:val="nil"/>
              <w:left w:val="nil"/>
              <w:bottom w:val="single" w:sz="8" w:space="0" w:color="000000"/>
              <w:right w:val="single" w:sz="8" w:space="0" w:color="000000"/>
            </w:tcBorders>
            <w:shd w:val="clear" w:color="000000" w:fill="FFFFFF"/>
            <w:noWrap/>
            <w:vAlign w:val="center"/>
            <w:hideMark/>
          </w:tcPr>
          <w:p w14:paraId="0D5F5989"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T</w:t>
            </w:r>
          </w:p>
        </w:tc>
        <w:tc>
          <w:tcPr>
            <w:tcW w:w="246" w:type="pct"/>
            <w:tcBorders>
              <w:top w:val="nil"/>
              <w:left w:val="nil"/>
              <w:bottom w:val="single" w:sz="8" w:space="0" w:color="000000"/>
              <w:right w:val="single" w:sz="8" w:space="0" w:color="000000"/>
            </w:tcBorders>
            <w:shd w:val="clear" w:color="000000" w:fill="FFFFFF"/>
            <w:noWrap/>
            <w:vAlign w:val="center"/>
            <w:hideMark/>
          </w:tcPr>
          <w:p w14:paraId="1DFA9485"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E</w:t>
            </w:r>
          </w:p>
        </w:tc>
        <w:tc>
          <w:tcPr>
            <w:tcW w:w="246" w:type="pct"/>
            <w:tcBorders>
              <w:top w:val="nil"/>
              <w:left w:val="nil"/>
              <w:bottom w:val="single" w:sz="8" w:space="0" w:color="000000"/>
              <w:right w:val="single" w:sz="8" w:space="0" w:color="000000"/>
            </w:tcBorders>
            <w:shd w:val="clear" w:color="000000" w:fill="FFFFFF"/>
            <w:noWrap/>
            <w:vAlign w:val="center"/>
            <w:hideMark/>
          </w:tcPr>
          <w:p w14:paraId="31206B30"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F</w:t>
            </w:r>
          </w:p>
        </w:tc>
        <w:tc>
          <w:tcPr>
            <w:tcW w:w="187" w:type="pct"/>
            <w:tcBorders>
              <w:top w:val="single" w:sz="8" w:space="0" w:color="000000"/>
              <w:left w:val="nil"/>
              <w:bottom w:val="single" w:sz="8" w:space="0" w:color="000000"/>
              <w:right w:val="single" w:sz="8" w:space="0" w:color="000000"/>
            </w:tcBorders>
            <w:shd w:val="clear" w:color="000000" w:fill="FFFFFF"/>
            <w:noWrap/>
            <w:vAlign w:val="center"/>
            <w:hideMark/>
          </w:tcPr>
          <w:p w14:paraId="43BCE51B"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A</w:t>
            </w:r>
          </w:p>
        </w:tc>
        <w:tc>
          <w:tcPr>
            <w:tcW w:w="192" w:type="pct"/>
            <w:tcBorders>
              <w:top w:val="single" w:sz="8" w:space="0" w:color="000000"/>
              <w:left w:val="nil"/>
              <w:bottom w:val="single" w:sz="8" w:space="0" w:color="000000"/>
              <w:right w:val="single" w:sz="8" w:space="0" w:color="000000"/>
            </w:tcBorders>
            <w:shd w:val="clear" w:color="000000" w:fill="FFFFFF"/>
            <w:noWrap/>
            <w:vAlign w:val="center"/>
            <w:hideMark/>
          </w:tcPr>
          <w:p w14:paraId="40AE2063"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N</w:t>
            </w:r>
          </w:p>
        </w:tc>
        <w:tc>
          <w:tcPr>
            <w:tcW w:w="192" w:type="pct"/>
            <w:tcBorders>
              <w:top w:val="single" w:sz="8" w:space="0" w:color="000000"/>
              <w:left w:val="nil"/>
              <w:bottom w:val="single" w:sz="8" w:space="0" w:color="000000"/>
              <w:right w:val="single" w:sz="8" w:space="0" w:color="000000"/>
            </w:tcBorders>
            <w:shd w:val="clear" w:color="000000" w:fill="FFFFFF"/>
            <w:noWrap/>
            <w:vAlign w:val="center"/>
            <w:hideMark/>
          </w:tcPr>
          <w:p w14:paraId="731D5F29"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O</w:t>
            </w:r>
          </w:p>
        </w:tc>
        <w:tc>
          <w:tcPr>
            <w:tcW w:w="155" w:type="pct"/>
            <w:tcBorders>
              <w:top w:val="single" w:sz="8" w:space="0" w:color="000000"/>
              <w:left w:val="nil"/>
              <w:bottom w:val="single" w:sz="8" w:space="0" w:color="000000"/>
              <w:right w:val="single" w:sz="8" w:space="0" w:color="000000"/>
            </w:tcBorders>
            <w:shd w:val="clear" w:color="000000" w:fill="FFFFFF"/>
            <w:noWrap/>
            <w:vAlign w:val="center"/>
            <w:hideMark/>
          </w:tcPr>
          <w:p w14:paraId="48D8A8FF"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V</w:t>
            </w:r>
          </w:p>
        </w:tc>
        <w:tc>
          <w:tcPr>
            <w:tcW w:w="152" w:type="pct"/>
            <w:tcBorders>
              <w:top w:val="single" w:sz="8" w:space="0" w:color="000000"/>
              <w:left w:val="nil"/>
              <w:bottom w:val="single" w:sz="8" w:space="0" w:color="000000"/>
              <w:right w:val="single" w:sz="8" w:space="0" w:color="000000"/>
            </w:tcBorders>
            <w:shd w:val="clear" w:color="000000" w:fill="FFFFFF"/>
            <w:noWrap/>
            <w:vAlign w:val="center"/>
            <w:hideMark/>
          </w:tcPr>
          <w:p w14:paraId="3AD81747"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I</w:t>
            </w:r>
          </w:p>
        </w:tc>
        <w:tc>
          <w:tcPr>
            <w:tcW w:w="174" w:type="pct"/>
            <w:tcBorders>
              <w:top w:val="single" w:sz="8" w:space="0" w:color="000000"/>
              <w:left w:val="nil"/>
              <w:bottom w:val="single" w:sz="8" w:space="0" w:color="000000"/>
              <w:right w:val="single" w:sz="8" w:space="0" w:color="000000"/>
            </w:tcBorders>
            <w:shd w:val="clear" w:color="000000" w:fill="FFFFFF"/>
            <w:noWrap/>
            <w:vAlign w:val="center"/>
            <w:hideMark/>
          </w:tcPr>
          <w:p w14:paraId="0F01D411"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Č</w:t>
            </w:r>
          </w:p>
        </w:tc>
        <w:tc>
          <w:tcPr>
            <w:tcW w:w="158" w:type="pct"/>
            <w:tcBorders>
              <w:top w:val="single" w:sz="8" w:space="0" w:color="000000"/>
              <w:left w:val="nil"/>
              <w:bottom w:val="single" w:sz="8" w:space="0" w:color="000000"/>
              <w:right w:val="single" w:sz="8" w:space="0" w:color="000000"/>
            </w:tcBorders>
            <w:shd w:val="clear" w:color="000000" w:fill="FFFFFF"/>
            <w:noWrap/>
            <w:vAlign w:val="center"/>
            <w:hideMark/>
          </w:tcPr>
          <w:p w14:paraId="54313869"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O</w:t>
            </w:r>
          </w:p>
        </w:tc>
        <w:tc>
          <w:tcPr>
            <w:tcW w:w="152" w:type="pct"/>
            <w:tcBorders>
              <w:top w:val="single" w:sz="8" w:space="0" w:color="000000"/>
              <w:left w:val="nil"/>
              <w:bottom w:val="single" w:sz="8" w:space="0" w:color="000000"/>
              <w:right w:val="single" w:sz="8" w:space="0" w:color="000000"/>
            </w:tcBorders>
            <w:shd w:val="clear" w:color="000000" w:fill="FFFFFF"/>
            <w:noWrap/>
            <w:vAlign w:val="center"/>
            <w:hideMark/>
          </w:tcPr>
          <w:p w14:paraId="7F4E02BC"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V</w:t>
            </w:r>
          </w:p>
        </w:tc>
        <w:tc>
          <w:tcPr>
            <w:tcW w:w="152" w:type="pct"/>
            <w:tcBorders>
              <w:top w:val="single" w:sz="8" w:space="0" w:color="000000"/>
              <w:left w:val="nil"/>
              <w:bottom w:val="single" w:sz="8" w:space="0" w:color="000000"/>
              <w:right w:val="single" w:sz="8" w:space="0" w:color="000000"/>
            </w:tcBorders>
            <w:shd w:val="clear" w:color="000000" w:fill="FFFFFF"/>
            <w:noWrap/>
            <w:vAlign w:val="center"/>
            <w:hideMark/>
          </w:tcPr>
          <w:p w14:paraId="6ECBEA65"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A</w:t>
            </w:r>
          </w:p>
        </w:tc>
        <w:tc>
          <w:tcPr>
            <w:tcW w:w="152" w:type="pct"/>
            <w:tcBorders>
              <w:top w:val="single" w:sz="8" w:space="0" w:color="000000"/>
              <w:left w:val="nil"/>
              <w:bottom w:val="single" w:sz="8" w:space="0" w:color="000000"/>
              <w:right w:val="single" w:sz="8" w:space="0" w:color="000000"/>
            </w:tcBorders>
            <w:shd w:val="clear" w:color="000000" w:fill="FFFFFF"/>
            <w:noWrap/>
            <w:vAlign w:val="center"/>
            <w:hideMark/>
          </w:tcPr>
          <w:p w14:paraId="1FEC078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single" w:sz="8" w:space="0" w:color="000000"/>
              <w:left w:val="nil"/>
              <w:bottom w:val="single" w:sz="8" w:space="0" w:color="000000"/>
              <w:right w:val="single" w:sz="8" w:space="0" w:color="000000"/>
            </w:tcBorders>
            <w:shd w:val="clear" w:color="000000" w:fill="FFFFFF"/>
            <w:noWrap/>
            <w:vAlign w:val="center"/>
            <w:hideMark/>
          </w:tcPr>
          <w:p w14:paraId="3CE969A2"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5</w:t>
            </w:r>
          </w:p>
        </w:tc>
        <w:tc>
          <w:tcPr>
            <w:tcW w:w="184" w:type="pct"/>
            <w:tcBorders>
              <w:top w:val="single" w:sz="8" w:space="0" w:color="000000"/>
              <w:left w:val="nil"/>
              <w:bottom w:val="single" w:sz="8" w:space="0" w:color="000000"/>
              <w:right w:val="single" w:sz="8" w:space="0" w:color="000000"/>
            </w:tcBorders>
            <w:shd w:val="clear" w:color="000000" w:fill="FFFFFF"/>
            <w:noWrap/>
            <w:vAlign w:val="center"/>
            <w:hideMark/>
          </w:tcPr>
          <w:p w14:paraId="6186506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single" w:sz="8" w:space="0" w:color="000000"/>
              <w:left w:val="nil"/>
              <w:bottom w:val="single" w:sz="8" w:space="0" w:color="000000"/>
              <w:right w:val="single" w:sz="8" w:space="0" w:color="000000"/>
            </w:tcBorders>
            <w:shd w:val="clear" w:color="000000" w:fill="FFFFFF"/>
            <w:noWrap/>
            <w:vAlign w:val="center"/>
            <w:hideMark/>
          </w:tcPr>
          <w:p w14:paraId="78C7767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single" w:sz="8" w:space="0" w:color="000000"/>
              <w:left w:val="nil"/>
              <w:bottom w:val="single" w:sz="8" w:space="0" w:color="000000"/>
              <w:right w:val="single" w:sz="8" w:space="0" w:color="000000"/>
            </w:tcBorders>
            <w:shd w:val="clear" w:color="000000" w:fill="FFFFFF"/>
            <w:noWrap/>
            <w:vAlign w:val="center"/>
            <w:hideMark/>
          </w:tcPr>
          <w:p w14:paraId="1719183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single" w:sz="8" w:space="0" w:color="000000"/>
              <w:left w:val="nil"/>
              <w:bottom w:val="single" w:sz="8" w:space="0" w:color="000000"/>
              <w:right w:val="single" w:sz="8" w:space="0" w:color="000000"/>
            </w:tcBorders>
            <w:shd w:val="clear" w:color="000000" w:fill="FFFFFF"/>
            <w:noWrap/>
            <w:vAlign w:val="center"/>
            <w:hideMark/>
          </w:tcPr>
          <w:p w14:paraId="38C2AD0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single" w:sz="8" w:space="0" w:color="000000"/>
              <w:left w:val="nil"/>
              <w:bottom w:val="single" w:sz="8" w:space="0" w:color="000000"/>
              <w:right w:val="single" w:sz="8" w:space="0" w:color="000000"/>
            </w:tcBorders>
            <w:shd w:val="clear" w:color="000000" w:fill="FFFFFF"/>
            <w:noWrap/>
            <w:vAlign w:val="center"/>
            <w:hideMark/>
          </w:tcPr>
          <w:p w14:paraId="1F75B8F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single" w:sz="8" w:space="0" w:color="000000"/>
              <w:left w:val="nil"/>
              <w:bottom w:val="single" w:sz="8" w:space="0" w:color="000000"/>
              <w:right w:val="single" w:sz="8" w:space="0" w:color="000000"/>
            </w:tcBorders>
            <w:shd w:val="clear" w:color="000000" w:fill="FFFFFF"/>
            <w:noWrap/>
            <w:vAlign w:val="center"/>
            <w:hideMark/>
          </w:tcPr>
          <w:p w14:paraId="0245D57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single" w:sz="8" w:space="0" w:color="000000"/>
              <w:left w:val="nil"/>
              <w:bottom w:val="single" w:sz="8" w:space="0" w:color="000000"/>
              <w:right w:val="single" w:sz="8" w:space="0" w:color="000000"/>
            </w:tcBorders>
            <w:shd w:val="clear" w:color="000000" w:fill="FFFFFF"/>
            <w:noWrap/>
            <w:vAlign w:val="center"/>
            <w:hideMark/>
          </w:tcPr>
          <w:p w14:paraId="4C1BFC9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single" w:sz="8" w:space="0" w:color="000000"/>
              <w:left w:val="nil"/>
              <w:bottom w:val="single" w:sz="8" w:space="0" w:color="000000"/>
              <w:right w:val="single" w:sz="8" w:space="0" w:color="000000"/>
            </w:tcBorders>
            <w:shd w:val="clear" w:color="000000" w:fill="FFFFFF"/>
            <w:noWrap/>
            <w:vAlign w:val="center"/>
            <w:hideMark/>
          </w:tcPr>
          <w:p w14:paraId="68B71BE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single" w:sz="8" w:space="0" w:color="000000"/>
              <w:left w:val="nil"/>
              <w:bottom w:val="single" w:sz="8" w:space="0" w:color="000000"/>
              <w:right w:val="single" w:sz="8" w:space="0" w:color="000000"/>
            </w:tcBorders>
            <w:shd w:val="clear" w:color="000000" w:fill="FFFFFF"/>
            <w:noWrap/>
            <w:vAlign w:val="center"/>
            <w:hideMark/>
          </w:tcPr>
          <w:p w14:paraId="53B764D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single" w:sz="8" w:space="0" w:color="000000"/>
              <w:left w:val="nil"/>
              <w:bottom w:val="single" w:sz="8" w:space="0" w:color="000000"/>
              <w:right w:val="single" w:sz="8" w:space="0" w:color="000000"/>
            </w:tcBorders>
            <w:shd w:val="clear" w:color="000000" w:fill="FFFFFF"/>
            <w:noWrap/>
            <w:vAlign w:val="center"/>
            <w:hideMark/>
          </w:tcPr>
          <w:p w14:paraId="3DA4246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single" w:sz="8" w:space="0" w:color="000000"/>
              <w:left w:val="nil"/>
              <w:bottom w:val="single" w:sz="8" w:space="0" w:color="000000"/>
              <w:right w:val="single" w:sz="8" w:space="0" w:color="000000"/>
            </w:tcBorders>
            <w:shd w:val="clear" w:color="000000" w:fill="FFFFFF"/>
            <w:noWrap/>
            <w:vAlign w:val="center"/>
            <w:hideMark/>
          </w:tcPr>
          <w:p w14:paraId="5D1497B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single" w:sz="8" w:space="0" w:color="000000"/>
              <w:left w:val="nil"/>
              <w:bottom w:val="single" w:sz="8" w:space="0" w:color="000000"/>
              <w:right w:val="single" w:sz="8" w:space="0" w:color="000000"/>
            </w:tcBorders>
            <w:shd w:val="clear" w:color="000000" w:fill="FFFFFF"/>
            <w:noWrap/>
            <w:vAlign w:val="center"/>
            <w:hideMark/>
          </w:tcPr>
          <w:p w14:paraId="7A0E538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single" w:sz="8" w:space="0" w:color="000000"/>
              <w:left w:val="nil"/>
              <w:bottom w:val="single" w:sz="8" w:space="0" w:color="000000"/>
              <w:right w:val="single" w:sz="8" w:space="0" w:color="000000"/>
            </w:tcBorders>
            <w:shd w:val="clear" w:color="000000" w:fill="FFFFFF"/>
            <w:noWrap/>
            <w:vAlign w:val="center"/>
            <w:hideMark/>
          </w:tcPr>
          <w:p w14:paraId="12A827E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17" w:type="pct"/>
            <w:tcBorders>
              <w:top w:val="nil"/>
              <w:left w:val="nil"/>
              <w:bottom w:val="nil"/>
              <w:right w:val="nil"/>
            </w:tcBorders>
            <w:shd w:val="clear" w:color="000000" w:fill="FFFFFF"/>
            <w:noWrap/>
            <w:vAlign w:val="center"/>
            <w:hideMark/>
          </w:tcPr>
          <w:p w14:paraId="580FC77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70643EC7"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3D52B743" w14:textId="77777777" w:rsidTr="00A02729">
        <w:trPr>
          <w:trHeight w:val="255"/>
          <w:jc w:val="center"/>
        </w:trPr>
        <w:tc>
          <w:tcPr>
            <w:tcW w:w="135" w:type="pct"/>
            <w:tcBorders>
              <w:top w:val="nil"/>
              <w:left w:val="nil"/>
              <w:bottom w:val="nil"/>
              <w:right w:val="nil"/>
            </w:tcBorders>
            <w:shd w:val="clear" w:color="000000" w:fill="FFFFFF"/>
            <w:noWrap/>
            <w:vAlign w:val="center"/>
            <w:hideMark/>
          </w:tcPr>
          <w:p w14:paraId="539A7CD2"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16" w:type="pct"/>
            <w:tcBorders>
              <w:top w:val="nil"/>
              <w:left w:val="nil"/>
              <w:bottom w:val="nil"/>
              <w:right w:val="nil"/>
            </w:tcBorders>
            <w:shd w:val="clear" w:color="000000" w:fill="FFFFFF"/>
            <w:noWrap/>
            <w:vAlign w:val="center"/>
            <w:hideMark/>
          </w:tcPr>
          <w:p w14:paraId="68B357C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6" w:type="pct"/>
            <w:tcBorders>
              <w:top w:val="nil"/>
              <w:left w:val="nil"/>
              <w:bottom w:val="nil"/>
              <w:right w:val="nil"/>
            </w:tcBorders>
            <w:shd w:val="clear" w:color="000000" w:fill="FFFFFF"/>
            <w:noWrap/>
            <w:vAlign w:val="center"/>
            <w:hideMark/>
          </w:tcPr>
          <w:p w14:paraId="433A94A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46" w:type="pct"/>
            <w:tcBorders>
              <w:top w:val="nil"/>
              <w:left w:val="nil"/>
              <w:bottom w:val="nil"/>
              <w:right w:val="nil"/>
            </w:tcBorders>
            <w:shd w:val="clear" w:color="000000" w:fill="FFFFFF"/>
            <w:noWrap/>
            <w:vAlign w:val="center"/>
            <w:hideMark/>
          </w:tcPr>
          <w:p w14:paraId="3965A91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46" w:type="pct"/>
            <w:tcBorders>
              <w:top w:val="nil"/>
              <w:left w:val="nil"/>
              <w:bottom w:val="nil"/>
              <w:right w:val="nil"/>
            </w:tcBorders>
            <w:shd w:val="clear" w:color="000000" w:fill="FFFFFF"/>
            <w:noWrap/>
            <w:vAlign w:val="center"/>
            <w:hideMark/>
          </w:tcPr>
          <w:p w14:paraId="0C14390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7" w:type="pct"/>
            <w:tcBorders>
              <w:top w:val="nil"/>
              <w:left w:val="nil"/>
              <w:bottom w:val="nil"/>
              <w:right w:val="nil"/>
            </w:tcBorders>
            <w:shd w:val="clear" w:color="000000" w:fill="FFFFFF"/>
            <w:noWrap/>
            <w:vAlign w:val="center"/>
            <w:hideMark/>
          </w:tcPr>
          <w:p w14:paraId="7EDBEC4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56041E8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77133C6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38018A8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2E2BEC4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4" w:type="pct"/>
            <w:tcBorders>
              <w:top w:val="nil"/>
              <w:left w:val="nil"/>
              <w:bottom w:val="nil"/>
              <w:right w:val="nil"/>
            </w:tcBorders>
            <w:shd w:val="clear" w:color="000000" w:fill="FFFFFF"/>
            <w:noWrap/>
            <w:vAlign w:val="center"/>
            <w:hideMark/>
          </w:tcPr>
          <w:p w14:paraId="66134E9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8" w:type="pct"/>
            <w:tcBorders>
              <w:top w:val="nil"/>
              <w:left w:val="nil"/>
              <w:bottom w:val="nil"/>
              <w:right w:val="nil"/>
            </w:tcBorders>
            <w:shd w:val="clear" w:color="000000" w:fill="FFFFFF"/>
            <w:noWrap/>
            <w:vAlign w:val="center"/>
            <w:hideMark/>
          </w:tcPr>
          <w:p w14:paraId="0DBA833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4748D40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4FFC1FA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16586D6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596A6A7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4" w:type="pct"/>
            <w:tcBorders>
              <w:top w:val="nil"/>
              <w:left w:val="nil"/>
              <w:bottom w:val="nil"/>
              <w:right w:val="nil"/>
            </w:tcBorders>
            <w:shd w:val="clear" w:color="000000" w:fill="FFFFFF"/>
            <w:noWrap/>
            <w:vAlign w:val="center"/>
            <w:hideMark/>
          </w:tcPr>
          <w:p w14:paraId="6283A48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nil"/>
              <w:left w:val="nil"/>
              <w:bottom w:val="nil"/>
              <w:right w:val="nil"/>
            </w:tcBorders>
            <w:shd w:val="clear" w:color="000000" w:fill="FFFFFF"/>
            <w:noWrap/>
            <w:vAlign w:val="center"/>
            <w:hideMark/>
          </w:tcPr>
          <w:p w14:paraId="6F4BE9E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4E59C78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6548099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17A3C7C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01332D4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235CC16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38755B2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nil"/>
              <w:left w:val="nil"/>
              <w:bottom w:val="nil"/>
              <w:right w:val="nil"/>
            </w:tcBorders>
            <w:shd w:val="clear" w:color="000000" w:fill="FFFFFF"/>
            <w:noWrap/>
            <w:vAlign w:val="center"/>
            <w:hideMark/>
          </w:tcPr>
          <w:p w14:paraId="0935A88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6A8E8F7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7A23AFC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461C8CA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504C2D8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17" w:type="pct"/>
            <w:tcBorders>
              <w:top w:val="nil"/>
              <w:left w:val="nil"/>
              <w:bottom w:val="nil"/>
              <w:right w:val="nil"/>
            </w:tcBorders>
            <w:shd w:val="clear" w:color="000000" w:fill="FFFFFF"/>
            <w:noWrap/>
            <w:vAlign w:val="center"/>
            <w:hideMark/>
          </w:tcPr>
          <w:p w14:paraId="157C0FA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5371518F"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66206C" w:rsidRPr="00907622" w14:paraId="5388A270" w14:textId="77777777" w:rsidTr="00A7107D">
        <w:trPr>
          <w:trHeight w:val="270"/>
          <w:jc w:val="center"/>
        </w:trPr>
        <w:tc>
          <w:tcPr>
            <w:tcW w:w="135" w:type="pct"/>
            <w:tcBorders>
              <w:top w:val="nil"/>
              <w:left w:val="nil"/>
              <w:bottom w:val="nil"/>
              <w:right w:val="nil"/>
            </w:tcBorders>
            <w:shd w:val="clear" w:color="000000" w:fill="FFFFFF"/>
            <w:noWrap/>
            <w:vAlign w:val="center"/>
            <w:hideMark/>
          </w:tcPr>
          <w:p w14:paraId="294D56CA"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1072" w:type="pct"/>
            <w:gridSpan w:val="5"/>
            <w:tcBorders>
              <w:top w:val="nil"/>
              <w:left w:val="nil"/>
              <w:bottom w:val="single" w:sz="8" w:space="0" w:color="000000"/>
              <w:right w:val="nil"/>
            </w:tcBorders>
            <w:shd w:val="clear" w:color="000000" w:fill="FFFFFF"/>
            <w:noWrap/>
            <w:vAlign w:val="center"/>
            <w:hideMark/>
          </w:tcPr>
          <w:p w14:paraId="170747D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PSČ</w:t>
            </w:r>
          </w:p>
        </w:tc>
        <w:tc>
          <w:tcPr>
            <w:tcW w:w="192" w:type="pct"/>
            <w:tcBorders>
              <w:top w:val="nil"/>
              <w:left w:val="nil"/>
              <w:bottom w:val="nil"/>
              <w:right w:val="nil"/>
            </w:tcBorders>
            <w:shd w:val="clear" w:color="000000" w:fill="FFFFFF"/>
            <w:noWrap/>
            <w:vAlign w:val="center"/>
            <w:hideMark/>
          </w:tcPr>
          <w:p w14:paraId="0D5CEA3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3349" w:type="pct"/>
            <w:gridSpan w:val="22"/>
            <w:tcBorders>
              <w:top w:val="nil"/>
              <w:left w:val="nil"/>
              <w:bottom w:val="single" w:sz="8" w:space="0" w:color="000000"/>
              <w:right w:val="nil"/>
            </w:tcBorders>
            <w:shd w:val="clear" w:color="000000" w:fill="FFFFFF"/>
            <w:vAlign w:val="center"/>
            <w:hideMark/>
          </w:tcPr>
          <w:p w14:paraId="4092F0C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Názov obce</w:t>
            </w:r>
          </w:p>
        </w:tc>
        <w:tc>
          <w:tcPr>
            <w:tcW w:w="117" w:type="pct"/>
            <w:tcBorders>
              <w:top w:val="nil"/>
              <w:left w:val="nil"/>
              <w:bottom w:val="nil"/>
              <w:right w:val="nil"/>
            </w:tcBorders>
            <w:shd w:val="clear" w:color="000000" w:fill="FFFFFF"/>
            <w:noWrap/>
            <w:vAlign w:val="center"/>
            <w:hideMark/>
          </w:tcPr>
          <w:p w14:paraId="602C4BE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1E699512"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4E7246C2" w14:textId="77777777" w:rsidTr="00A02729">
        <w:trPr>
          <w:trHeight w:val="270"/>
          <w:jc w:val="center"/>
        </w:trPr>
        <w:tc>
          <w:tcPr>
            <w:tcW w:w="135" w:type="pct"/>
            <w:tcBorders>
              <w:top w:val="nil"/>
              <w:left w:val="nil"/>
              <w:bottom w:val="nil"/>
              <w:right w:val="nil"/>
            </w:tcBorders>
            <w:shd w:val="clear" w:color="000000" w:fill="FFFFFF"/>
            <w:noWrap/>
            <w:vAlign w:val="center"/>
            <w:hideMark/>
          </w:tcPr>
          <w:p w14:paraId="3BCC86CB"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16" w:type="pct"/>
            <w:tcBorders>
              <w:top w:val="nil"/>
              <w:left w:val="single" w:sz="8" w:space="0" w:color="000000"/>
              <w:bottom w:val="single" w:sz="8" w:space="0" w:color="000000"/>
              <w:right w:val="single" w:sz="8" w:space="0" w:color="000000"/>
            </w:tcBorders>
            <w:shd w:val="clear" w:color="000000" w:fill="FFFFFF"/>
            <w:noWrap/>
            <w:vAlign w:val="center"/>
            <w:hideMark/>
          </w:tcPr>
          <w:p w14:paraId="305BE700"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8</w:t>
            </w:r>
          </w:p>
        </w:tc>
        <w:tc>
          <w:tcPr>
            <w:tcW w:w="176" w:type="pct"/>
            <w:tcBorders>
              <w:top w:val="nil"/>
              <w:left w:val="nil"/>
              <w:bottom w:val="single" w:sz="8" w:space="0" w:color="000000"/>
              <w:right w:val="single" w:sz="8" w:space="0" w:color="000000"/>
            </w:tcBorders>
            <w:shd w:val="clear" w:color="000000" w:fill="FFFFFF"/>
            <w:noWrap/>
            <w:vAlign w:val="center"/>
            <w:hideMark/>
          </w:tcPr>
          <w:p w14:paraId="50B9A8E4"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1</w:t>
            </w:r>
          </w:p>
        </w:tc>
        <w:tc>
          <w:tcPr>
            <w:tcW w:w="246" w:type="pct"/>
            <w:tcBorders>
              <w:top w:val="nil"/>
              <w:left w:val="nil"/>
              <w:bottom w:val="single" w:sz="8" w:space="0" w:color="000000"/>
              <w:right w:val="single" w:sz="8" w:space="0" w:color="000000"/>
            </w:tcBorders>
            <w:shd w:val="clear" w:color="000000" w:fill="FFFFFF"/>
            <w:noWrap/>
            <w:vAlign w:val="center"/>
            <w:hideMark/>
          </w:tcPr>
          <w:p w14:paraId="7D910E03"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7</w:t>
            </w:r>
          </w:p>
        </w:tc>
        <w:tc>
          <w:tcPr>
            <w:tcW w:w="246" w:type="pct"/>
            <w:tcBorders>
              <w:top w:val="nil"/>
              <w:left w:val="nil"/>
              <w:bottom w:val="single" w:sz="8" w:space="0" w:color="000000"/>
              <w:right w:val="single" w:sz="8" w:space="0" w:color="000000"/>
            </w:tcBorders>
            <w:shd w:val="clear" w:color="000000" w:fill="FFFFFF"/>
            <w:noWrap/>
            <w:vAlign w:val="center"/>
            <w:hideMark/>
          </w:tcPr>
          <w:p w14:paraId="40D38B77"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8</w:t>
            </w:r>
          </w:p>
        </w:tc>
        <w:tc>
          <w:tcPr>
            <w:tcW w:w="187" w:type="pct"/>
            <w:tcBorders>
              <w:top w:val="nil"/>
              <w:left w:val="nil"/>
              <w:bottom w:val="single" w:sz="8" w:space="0" w:color="000000"/>
              <w:right w:val="single" w:sz="8" w:space="0" w:color="000000"/>
            </w:tcBorders>
            <w:shd w:val="clear" w:color="000000" w:fill="FFFFFF"/>
            <w:noWrap/>
            <w:vAlign w:val="center"/>
            <w:hideMark/>
          </w:tcPr>
          <w:p w14:paraId="0E9A302C"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2</w:t>
            </w:r>
          </w:p>
        </w:tc>
        <w:tc>
          <w:tcPr>
            <w:tcW w:w="192" w:type="pct"/>
            <w:tcBorders>
              <w:top w:val="nil"/>
              <w:left w:val="nil"/>
              <w:bottom w:val="nil"/>
              <w:right w:val="single" w:sz="8" w:space="0" w:color="000000"/>
            </w:tcBorders>
            <w:shd w:val="clear" w:color="000000" w:fill="FFFFFF"/>
            <w:noWrap/>
            <w:vAlign w:val="center"/>
            <w:hideMark/>
          </w:tcPr>
          <w:p w14:paraId="4C36B69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single" w:sz="8" w:space="0" w:color="000000"/>
              <w:right w:val="single" w:sz="8" w:space="0" w:color="000000"/>
            </w:tcBorders>
            <w:shd w:val="clear" w:color="000000" w:fill="FFFFFF"/>
            <w:noWrap/>
            <w:vAlign w:val="center"/>
            <w:hideMark/>
          </w:tcPr>
          <w:p w14:paraId="6A0797F1"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B</w:t>
            </w:r>
          </w:p>
        </w:tc>
        <w:tc>
          <w:tcPr>
            <w:tcW w:w="155" w:type="pct"/>
            <w:tcBorders>
              <w:top w:val="nil"/>
              <w:left w:val="nil"/>
              <w:bottom w:val="single" w:sz="8" w:space="0" w:color="000000"/>
              <w:right w:val="single" w:sz="8" w:space="0" w:color="000000"/>
            </w:tcBorders>
            <w:shd w:val="clear" w:color="000000" w:fill="FFFFFF"/>
            <w:noWrap/>
            <w:vAlign w:val="center"/>
            <w:hideMark/>
          </w:tcPr>
          <w:p w14:paraId="405CF7A1"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R</w:t>
            </w:r>
          </w:p>
        </w:tc>
        <w:tc>
          <w:tcPr>
            <w:tcW w:w="152" w:type="pct"/>
            <w:tcBorders>
              <w:top w:val="nil"/>
              <w:left w:val="nil"/>
              <w:bottom w:val="single" w:sz="8" w:space="0" w:color="000000"/>
              <w:right w:val="single" w:sz="8" w:space="0" w:color="000000"/>
            </w:tcBorders>
            <w:shd w:val="clear" w:color="000000" w:fill="FFFFFF"/>
            <w:noWrap/>
            <w:vAlign w:val="center"/>
            <w:hideMark/>
          </w:tcPr>
          <w:p w14:paraId="4994B7BA"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A</w:t>
            </w:r>
          </w:p>
        </w:tc>
        <w:tc>
          <w:tcPr>
            <w:tcW w:w="174" w:type="pct"/>
            <w:tcBorders>
              <w:top w:val="nil"/>
              <w:left w:val="nil"/>
              <w:bottom w:val="single" w:sz="8" w:space="0" w:color="000000"/>
              <w:right w:val="single" w:sz="8" w:space="0" w:color="000000"/>
            </w:tcBorders>
            <w:shd w:val="clear" w:color="000000" w:fill="FFFFFF"/>
            <w:noWrap/>
            <w:vAlign w:val="center"/>
            <w:hideMark/>
          </w:tcPr>
          <w:p w14:paraId="6959250C"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T</w:t>
            </w:r>
          </w:p>
        </w:tc>
        <w:tc>
          <w:tcPr>
            <w:tcW w:w="158" w:type="pct"/>
            <w:tcBorders>
              <w:top w:val="nil"/>
              <w:left w:val="nil"/>
              <w:bottom w:val="single" w:sz="8" w:space="0" w:color="000000"/>
              <w:right w:val="single" w:sz="8" w:space="0" w:color="000000"/>
            </w:tcBorders>
            <w:shd w:val="clear" w:color="000000" w:fill="FFFFFF"/>
            <w:noWrap/>
            <w:vAlign w:val="center"/>
            <w:hideMark/>
          </w:tcPr>
          <w:p w14:paraId="1BEF2C55"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I</w:t>
            </w:r>
          </w:p>
        </w:tc>
        <w:tc>
          <w:tcPr>
            <w:tcW w:w="152" w:type="pct"/>
            <w:tcBorders>
              <w:top w:val="nil"/>
              <w:left w:val="nil"/>
              <w:bottom w:val="single" w:sz="8" w:space="0" w:color="000000"/>
              <w:right w:val="single" w:sz="8" w:space="0" w:color="000000"/>
            </w:tcBorders>
            <w:shd w:val="clear" w:color="000000" w:fill="FFFFFF"/>
            <w:noWrap/>
            <w:vAlign w:val="center"/>
            <w:hideMark/>
          </w:tcPr>
          <w:p w14:paraId="41846CBB"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S</w:t>
            </w:r>
          </w:p>
        </w:tc>
        <w:tc>
          <w:tcPr>
            <w:tcW w:w="152" w:type="pct"/>
            <w:tcBorders>
              <w:top w:val="nil"/>
              <w:left w:val="nil"/>
              <w:bottom w:val="single" w:sz="8" w:space="0" w:color="000000"/>
              <w:right w:val="single" w:sz="8" w:space="0" w:color="000000"/>
            </w:tcBorders>
            <w:shd w:val="clear" w:color="000000" w:fill="FFFFFF"/>
            <w:noWrap/>
            <w:vAlign w:val="center"/>
            <w:hideMark/>
          </w:tcPr>
          <w:p w14:paraId="104C1016"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L</w:t>
            </w:r>
          </w:p>
        </w:tc>
        <w:tc>
          <w:tcPr>
            <w:tcW w:w="152" w:type="pct"/>
            <w:tcBorders>
              <w:top w:val="nil"/>
              <w:left w:val="nil"/>
              <w:bottom w:val="single" w:sz="8" w:space="0" w:color="000000"/>
              <w:right w:val="single" w:sz="8" w:space="0" w:color="000000"/>
            </w:tcBorders>
            <w:shd w:val="clear" w:color="000000" w:fill="FFFFFF"/>
            <w:noWrap/>
            <w:vAlign w:val="center"/>
            <w:hideMark/>
          </w:tcPr>
          <w:p w14:paraId="5111E0C7"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A</w:t>
            </w:r>
          </w:p>
        </w:tc>
        <w:tc>
          <w:tcPr>
            <w:tcW w:w="152" w:type="pct"/>
            <w:tcBorders>
              <w:top w:val="nil"/>
              <w:left w:val="nil"/>
              <w:bottom w:val="single" w:sz="8" w:space="0" w:color="000000"/>
              <w:right w:val="single" w:sz="8" w:space="0" w:color="000000"/>
            </w:tcBorders>
            <w:shd w:val="clear" w:color="000000" w:fill="FFFFFF"/>
            <w:noWrap/>
            <w:vAlign w:val="center"/>
            <w:hideMark/>
          </w:tcPr>
          <w:p w14:paraId="35E90264"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V</w:t>
            </w:r>
          </w:p>
        </w:tc>
        <w:tc>
          <w:tcPr>
            <w:tcW w:w="184" w:type="pct"/>
            <w:tcBorders>
              <w:top w:val="nil"/>
              <w:left w:val="nil"/>
              <w:bottom w:val="single" w:sz="8" w:space="0" w:color="000000"/>
              <w:right w:val="single" w:sz="8" w:space="0" w:color="000000"/>
            </w:tcBorders>
            <w:shd w:val="clear" w:color="000000" w:fill="FFFFFF"/>
            <w:noWrap/>
            <w:vAlign w:val="center"/>
            <w:hideMark/>
          </w:tcPr>
          <w:p w14:paraId="470D96D6"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A</w:t>
            </w:r>
          </w:p>
        </w:tc>
        <w:tc>
          <w:tcPr>
            <w:tcW w:w="211" w:type="pct"/>
            <w:tcBorders>
              <w:top w:val="nil"/>
              <w:left w:val="nil"/>
              <w:bottom w:val="single" w:sz="8" w:space="0" w:color="000000"/>
              <w:right w:val="single" w:sz="8" w:space="0" w:color="000000"/>
            </w:tcBorders>
            <w:shd w:val="clear" w:color="000000" w:fill="FFFFFF"/>
            <w:noWrap/>
            <w:vAlign w:val="center"/>
            <w:hideMark/>
          </w:tcPr>
          <w:p w14:paraId="6F6067C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single" w:sz="8" w:space="0" w:color="000000"/>
              <w:right w:val="single" w:sz="8" w:space="0" w:color="000000"/>
            </w:tcBorders>
            <w:shd w:val="clear" w:color="000000" w:fill="FFFFFF"/>
            <w:noWrap/>
            <w:vAlign w:val="center"/>
            <w:hideMark/>
          </w:tcPr>
          <w:p w14:paraId="607A4DE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single" w:sz="8" w:space="0" w:color="000000"/>
              <w:right w:val="single" w:sz="8" w:space="0" w:color="000000"/>
            </w:tcBorders>
            <w:shd w:val="clear" w:color="000000" w:fill="FFFFFF"/>
            <w:noWrap/>
            <w:vAlign w:val="center"/>
            <w:hideMark/>
          </w:tcPr>
          <w:p w14:paraId="4F0B86A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single" w:sz="8" w:space="0" w:color="000000"/>
              <w:right w:val="single" w:sz="8" w:space="0" w:color="000000"/>
            </w:tcBorders>
            <w:shd w:val="clear" w:color="000000" w:fill="FFFFFF"/>
            <w:noWrap/>
            <w:vAlign w:val="center"/>
            <w:hideMark/>
          </w:tcPr>
          <w:p w14:paraId="0838EE6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single" w:sz="8" w:space="0" w:color="000000"/>
              <w:right w:val="single" w:sz="8" w:space="0" w:color="000000"/>
            </w:tcBorders>
            <w:shd w:val="clear" w:color="000000" w:fill="FFFFFF"/>
            <w:noWrap/>
            <w:vAlign w:val="center"/>
            <w:hideMark/>
          </w:tcPr>
          <w:p w14:paraId="0B1E174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single" w:sz="8" w:space="0" w:color="000000"/>
              <w:right w:val="single" w:sz="8" w:space="0" w:color="000000"/>
            </w:tcBorders>
            <w:shd w:val="clear" w:color="000000" w:fill="FFFFFF"/>
            <w:noWrap/>
            <w:vAlign w:val="center"/>
            <w:hideMark/>
          </w:tcPr>
          <w:p w14:paraId="1C6F7A9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single" w:sz="8" w:space="0" w:color="000000"/>
              <w:right w:val="single" w:sz="8" w:space="0" w:color="000000"/>
            </w:tcBorders>
            <w:shd w:val="clear" w:color="000000" w:fill="FFFFFF"/>
            <w:noWrap/>
            <w:vAlign w:val="center"/>
            <w:hideMark/>
          </w:tcPr>
          <w:p w14:paraId="7BBF12D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nil"/>
              <w:left w:val="nil"/>
              <w:bottom w:val="single" w:sz="8" w:space="0" w:color="000000"/>
              <w:right w:val="single" w:sz="8" w:space="0" w:color="000000"/>
            </w:tcBorders>
            <w:shd w:val="clear" w:color="000000" w:fill="FFFFFF"/>
            <w:noWrap/>
            <w:vAlign w:val="center"/>
            <w:hideMark/>
          </w:tcPr>
          <w:p w14:paraId="6C42214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single" w:sz="8" w:space="0" w:color="000000"/>
              <w:right w:val="single" w:sz="8" w:space="0" w:color="000000"/>
            </w:tcBorders>
            <w:shd w:val="clear" w:color="000000" w:fill="FFFFFF"/>
            <w:noWrap/>
            <w:vAlign w:val="center"/>
            <w:hideMark/>
          </w:tcPr>
          <w:p w14:paraId="4003D87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single" w:sz="8" w:space="0" w:color="000000"/>
              <w:right w:val="single" w:sz="8" w:space="0" w:color="000000"/>
            </w:tcBorders>
            <w:shd w:val="clear" w:color="000000" w:fill="FFFFFF"/>
            <w:noWrap/>
            <w:vAlign w:val="center"/>
            <w:hideMark/>
          </w:tcPr>
          <w:p w14:paraId="6E9348A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single" w:sz="8" w:space="0" w:color="000000"/>
              <w:right w:val="single" w:sz="8" w:space="0" w:color="000000"/>
            </w:tcBorders>
            <w:shd w:val="clear" w:color="000000" w:fill="FFFFFF"/>
            <w:noWrap/>
            <w:vAlign w:val="center"/>
            <w:hideMark/>
          </w:tcPr>
          <w:p w14:paraId="23582F0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single" w:sz="8" w:space="0" w:color="000000"/>
              <w:right w:val="single" w:sz="8" w:space="0" w:color="000000"/>
            </w:tcBorders>
            <w:shd w:val="clear" w:color="000000" w:fill="FFFFFF"/>
            <w:noWrap/>
            <w:vAlign w:val="center"/>
            <w:hideMark/>
          </w:tcPr>
          <w:p w14:paraId="0911D8A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17" w:type="pct"/>
            <w:tcBorders>
              <w:top w:val="nil"/>
              <w:left w:val="nil"/>
              <w:bottom w:val="nil"/>
              <w:right w:val="nil"/>
            </w:tcBorders>
            <w:shd w:val="clear" w:color="000000" w:fill="FFFFFF"/>
            <w:noWrap/>
            <w:vAlign w:val="center"/>
            <w:hideMark/>
          </w:tcPr>
          <w:p w14:paraId="0CB1F4E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220C56FF"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127A0C93" w14:textId="77777777" w:rsidTr="00A02729">
        <w:trPr>
          <w:trHeight w:val="255"/>
          <w:jc w:val="center"/>
        </w:trPr>
        <w:tc>
          <w:tcPr>
            <w:tcW w:w="135" w:type="pct"/>
            <w:tcBorders>
              <w:top w:val="nil"/>
              <w:left w:val="nil"/>
              <w:bottom w:val="nil"/>
              <w:right w:val="nil"/>
            </w:tcBorders>
            <w:shd w:val="clear" w:color="000000" w:fill="FFFFFF"/>
            <w:noWrap/>
            <w:vAlign w:val="center"/>
            <w:hideMark/>
          </w:tcPr>
          <w:p w14:paraId="11115D51"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16" w:type="pct"/>
            <w:tcBorders>
              <w:top w:val="nil"/>
              <w:left w:val="nil"/>
              <w:bottom w:val="nil"/>
              <w:right w:val="nil"/>
            </w:tcBorders>
            <w:shd w:val="clear" w:color="000000" w:fill="FFFFFF"/>
            <w:noWrap/>
            <w:vAlign w:val="center"/>
            <w:hideMark/>
          </w:tcPr>
          <w:p w14:paraId="6235A1E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6" w:type="pct"/>
            <w:tcBorders>
              <w:top w:val="nil"/>
              <w:left w:val="nil"/>
              <w:bottom w:val="nil"/>
              <w:right w:val="nil"/>
            </w:tcBorders>
            <w:shd w:val="clear" w:color="000000" w:fill="FFFFFF"/>
            <w:noWrap/>
            <w:vAlign w:val="center"/>
            <w:hideMark/>
          </w:tcPr>
          <w:p w14:paraId="3E91CF1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46" w:type="pct"/>
            <w:tcBorders>
              <w:top w:val="nil"/>
              <w:left w:val="nil"/>
              <w:bottom w:val="nil"/>
              <w:right w:val="nil"/>
            </w:tcBorders>
            <w:shd w:val="clear" w:color="000000" w:fill="FFFFFF"/>
            <w:noWrap/>
            <w:vAlign w:val="center"/>
            <w:hideMark/>
          </w:tcPr>
          <w:p w14:paraId="7AC2CF4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46" w:type="pct"/>
            <w:tcBorders>
              <w:top w:val="nil"/>
              <w:left w:val="nil"/>
              <w:bottom w:val="nil"/>
              <w:right w:val="nil"/>
            </w:tcBorders>
            <w:shd w:val="clear" w:color="000000" w:fill="FFFFFF"/>
            <w:noWrap/>
            <w:vAlign w:val="center"/>
            <w:hideMark/>
          </w:tcPr>
          <w:p w14:paraId="1E97489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7" w:type="pct"/>
            <w:tcBorders>
              <w:top w:val="nil"/>
              <w:left w:val="nil"/>
              <w:bottom w:val="nil"/>
              <w:right w:val="nil"/>
            </w:tcBorders>
            <w:shd w:val="clear" w:color="000000" w:fill="FFFFFF"/>
            <w:noWrap/>
            <w:vAlign w:val="center"/>
            <w:hideMark/>
          </w:tcPr>
          <w:p w14:paraId="2CC8825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233C903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657503D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5522217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196B509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4" w:type="pct"/>
            <w:tcBorders>
              <w:top w:val="nil"/>
              <w:left w:val="nil"/>
              <w:bottom w:val="nil"/>
              <w:right w:val="nil"/>
            </w:tcBorders>
            <w:shd w:val="clear" w:color="000000" w:fill="FFFFFF"/>
            <w:noWrap/>
            <w:vAlign w:val="center"/>
            <w:hideMark/>
          </w:tcPr>
          <w:p w14:paraId="4500643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8" w:type="pct"/>
            <w:tcBorders>
              <w:top w:val="nil"/>
              <w:left w:val="nil"/>
              <w:bottom w:val="nil"/>
              <w:right w:val="nil"/>
            </w:tcBorders>
            <w:shd w:val="clear" w:color="000000" w:fill="FFFFFF"/>
            <w:noWrap/>
            <w:vAlign w:val="center"/>
            <w:hideMark/>
          </w:tcPr>
          <w:p w14:paraId="3B1148E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2126A53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629D7DB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4EEC683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5E66C93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4" w:type="pct"/>
            <w:tcBorders>
              <w:top w:val="nil"/>
              <w:left w:val="nil"/>
              <w:bottom w:val="nil"/>
              <w:right w:val="nil"/>
            </w:tcBorders>
            <w:shd w:val="clear" w:color="000000" w:fill="FFFFFF"/>
            <w:noWrap/>
            <w:vAlign w:val="center"/>
            <w:hideMark/>
          </w:tcPr>
          <w:p w14:paraId="2841340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nil"/>
              <w:left w:val="nil"/>
              <w:bottom w:val="nil"/>
              <w:right w:val="nil"/>
            </w:tcBorders>
            <w:shd w:val="clear" w:color="000000" w:fill="FFFFFF"/>
            <w:noWrap/>
            <w:vAlign w:val="center"/>
            <w:hideMark/>
          </w:tcPr>
          <w:p w14:paraId="687567C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7B1B0D7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57E075B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591074B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675BB4F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443AC2B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1D4DF0C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nil"/>
              <w:left w:val="nil"/>
              <w:bottom w:val="nil"/>
              <w:right w:val="nil"/>
            </w:tcBorders>
            <w:shd w:val="clear" w:color="000000" w:fill="FFFFFF"/>
            <w:noWrap/>
            <w:vAlign w:val="center"/>
            <w:hideMark/>
          </w:tcPr>
          <w:p w14:paraId="5219EE0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47CCB10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12AFF50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035873E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736219C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17" w:type="pct"/>
            <w:tcBorders>
              <w:top w:val="nil"/>
              <w:left w:val="nil"/>
              <w:bottom w:val="nil"/>
              <w:right w:val="nil"/>
            </w:tcBorders>
            <w:shd w:val="clear" w:color="000000" w:fill="FFFFFF"/>
            <w:noWrap/>
            <w:vAlign w:val="center"/>
            <w:hideMark/>
          </w:tcPr>
          <w:p w14:paraId="158423D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095EBCB4"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647C4F57" w14:textId="77777777" w:rsidTr="00A02729">
        <w:trPr>
          <w:trHeight w:val="270"/>
          <w:jc w:val="center"/>
        </w:trPr>
        <w:tc>
          <w:tcPr>
            <w:tcW w:w="135" w:type="pct"/>
            <w:tcBorders>
              <w:top w:val="nil"/>
              <w:left w:val="nil"/>
              <w:bottom w:val="nil"/>
              <w:right w:val="nil"/>
            </w:tcBorders>
            <w:shd w:val="clear" w:color="000000" w:fill="FFFFFF"/>
            <w:noWrap/>
            <w:vAlign w:val="center"/>
            <w:hideMark/>
          </w:tcPr>
          <w:p w14:paraId="6F412C4E"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884" w:type="pct"/>
            <w:gridSpan w:val="4"/>
            <w:tcBorders>
              <w:top w:val="nil"/>
              <w:left w:val="nil"/>
              <w:bottom w:val="single" w:sz="8" w:space="0" w:color="000000"/>
              <w:right w:val="nil"/>
            </w:tcBorders>
            <w:shd w:val="clear" w:color="000000" w:fill="FFFFFF"/>
            <w:noWrap/>
            <w:vAlign w:val="center"/>
            <w:hideMark/>
          </w:tcPr>
          <w:p w14:paraId="324DA26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xml:space="preserve">Telefónne číslo </w:t>
            </w:r>
          </w:p>
        </w:tc>
        <w:tc>
          <w:tcPr>
            <w:tcW w:w="187" w:type="pct"/>
            <w:tcBorders>
              <w:top w:val="nil"/>
              <w:left w:val="nil"/>
              <w:bottom w:val="nil"/>
              <w:right w:val="nil"/>
            </w:tcBorders>
            <w:shd w:val="clear" w:color="000000" w:fill="FFFFFF"/>
            <w:noWrap/>
            <w:vAlign w:val="center"/>
            <w:hideMark/>
          </w:tcPr>
          <w:p w14:paraId="675CED4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73070FF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70FD1EE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39981EA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1BDBA05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4" w:type="pct"/>
            <w:tcBorders>
              <w:top w:val="nil"/>
              <w:left w:val="nil"/>
              <w:bottom w:val="nil"/>
              <w:right w:val="nil"/>
            </w:tcBorders>
            <w:shd w:val="clear" w:color="000000" w:fill="FFFFFF"/>
            <w:noWrap/>
            <w:vAlign w:val="center"/>
            <w:hideMark/>
          </w:tcPr>
          <w:p w14:paraId="53A2F6A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8" w:type="pct"/>
            <w:tcBorders>
              <w:top w:val="nil"/>
              <w:left w:val="nil"/>
              <w:bottom w:val="nil"/>
              <w:right w:val="nil"/>
            </w:tcBorders>
            <w:shd w:val="clear" w:color="000000" w:fill="FFFFFF"/>
            <w:noWrap/>
            <w:vAlign w:val="center"/>
            <w:hideMark/>
          </w:tcPr>
          <w:p w14:paraId="2DDC743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7D62B01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4E09CA2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689D20B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6EFE0C6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4" w:type="pct"/>
            <w:tcBorders>
              <w:top w:val="nil"/>
              <w:left w:val="nil"/>
              <w:bottom w:val="nil"/>
              <w:right w:val="nil"/>
            </w:tcBorders>
            <w:shd w:val="clear" w:color="000000" w:fill="FFFFFF"/>
            <w:noWrap/>
            <w:vAlign w:val="center"/>
            <w:hideMark/>
          </w:tcPr>
          <w:p w14:paraId="232F0DD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nil"/>
              <w:left w:val="nil"/>
              <w:bottom w:val="nil"/>
              <w:right w:val="nil"/>
            </w:tcBorders>
            <w:shd w:val="clear" w:color="000000" w:fill="FFFFFF"/>
            <w:noWrap/>
            <w:vAlign w:val="center"/>
            <w:hideMark/>
          </w:tcPr>
          <w:p w14:paraId="5F33722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719" w:type="pct"/>
            <w:gridSpan w:val="5"/>
            <w:tcBorders>
              <w:top w:val="nil"/>
              <w:left w:val="nil"/>
              <w:bottom w:val="single" w:sz="8" w:space="0" w:color="000000"/>
              <w:right w:val="nil"/>
            </w:tcBorders>
            <w:shd w:val="clear" w:color="000000" w:fill="FFFFFF"/>
            <w:noWrap/>
            <w:vAlign w:val="center"/>
            <w:hideMark/>
          </w:tcPr>
          <w:p w14:paraId="53B056E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xml:space="preserve">Faxové číslo </w:t>
            </w:r>
          </w:p>
        </w:tc>
        <w:tc>
          <w:tcPr>
            <w:tcW w:w="135" w:type="pct"/>
            <w:tcBorders>
              <w:top w:val="nil"/>
              <w:left w:val="nil"/>
              <w:bottom w:val="single" w:sz="8" w:space="0" w:color="000000"/>
              <w:right w:val="nil"/>
            </w:tcBorders>
            <w:shd w:val="clear" w:color="000000" w:fill="FFFFFF"/>
            <w:noWrap/>
            <w:vAlign w:val="center"/>
            <w:hideMark/>
          </w:tcPr>
          <w:p w14:paraId="2F03CAD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nil"/>
              <w:left w:val="nil"/>
              <w:bottom w:val="single" w:sz="8" w:space="0" w:color="000000"/>
              <w:right w:val="nil"/>
            </w:tcBorders>
            <w:shd w:val="clear" w:color="000000" w:fill="FFFFFF"/>
            <w:noWrap/>
            <w:vAlign w:val="center"/>
            <w:hideMark/>
          </w:tcPr>
          <w:p w14:paraId="3F8986E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single" w:sz="8" w:space="0" w:color="000000"/>
              <w:right w:val="nil"/>
            </w:tcBorders>
            <w:shd w:val="clear" w:color="000000" w:fill="FFFFFF"/>
            <w:noWrap/>
            <w:vAlign w:val="center"/>
            <w:hideMark/>
          </w:tcPr>
          <w:p w14:paraId="1A091BD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single" w:sz="8" w:space="0" w:color="000000"/>
              <w:right w:val="nil"/>
            </w:tcBorders>
            <w:shd w:val="clear" w:color="000000" w:fill="FFFFFF"/>
            <w:noWrap/>
            <w:vAlign w:val="center"/>
            <w:hideMark/>
          </w:tcPr>
          <w:p w14:paraId="6A7EE63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single" w:sz="8" w:space="0" w:color="000000"/>
              <w:right w:val="nil"/>
            </w:tcBorders>
            <w:shd w:val="clear" w:color="000000" w:fill="FFFFFF"/>
            <w:noWrap/>
            <w:vAlign w:val="center"/>
            <w:hideMark/>
          </w:tcPr>
          <w:p w14:paraId="2152D2A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single" w:sz="8" w:space="0" w:color="000000"/>
              <w:right w:val="nil"/>
            </w:tcBorders>
            <w:shd w:val="clear" w:color="000000" w:fill="FFFFFF"/>
            <w:noWrap/>
            <w:vAlign w:val="center"/>
            <w:hideMark/>
          </w:tcPr>
          <w:p w14:paraId="01672DA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17" w:type="pct"/>
            <w:tcBorders>
              <w:top w:val="nil"/>
              <w:left w:val="nil"/>
              <w:bottom w:val="nil"/>
              <w:right w:val="nil"/>
            </w:tcBorders>
            <w:shd w:val="clear" w:color="000000" w:fill="FFFFFF"/>
            <w:noWrap/>
            <w:vAlign w:val="center"/>
            <w:hideMark/>
          </w:tcPr>
          <w:p w14:paraId="6E4E235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46AFE1F5"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5AFF2364" w14:textId="77777777" w:rsidTr="00A02729">
        <w:trPr>
          <w:trHeight w:val="270"/>
          <w:jc w:val="center"/>
        </w:trPr>
        <w:tc>
          <w:tcPr>
            <w:tcW w:w="135" w:type="pct"/>
            <w:tcBorders>
              <w:top w:val="nil"/>
              <w:left w:val="nil"/>
              <w:bottom w:val="nil"/>
              <w:right w:val="nil"/>
            </w:tcBorders>
            <w:shd w:val="clear" w:color="000000" w:fill="FFFFFF"/>
            <w:noWrap/>
            <w:vAlign w:val="center"/>
            <w:hideMark/>
          </w:tcPr>
          <w:p w14:paraId="0FFCA68F"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16" w:type="pct"/>
            <w:tcBorders>
              <w:top w:val="nil"/>
              <w:left w:val="single" w:sz="8" w:space="0" w:color="000000"/>
              <w:bottom w:val="single" w:sz="8" w:space="0" w:color="000000"/>
              <w:right w:val="single" w:sz="8" w:space="0" w:color="000000"/>
            </w:tcBorders>
            <w:shd w:val="clear" w:color="000000" w:fill="FFFFFF"/>
            <w:noWrap/>
            <w:vAlign w:val="center"/>
            <w:hideMark/>
          </w:tcPr>
          <w:p w14:paraId="6A8E6947"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0</w:t>
            </w:r>
          </w:p>
        </w:tc>
        <w:tc>
          <w:tcPr>
            <w:tcW w:w="176" w:type="pct"/>
            <w:tcBorders>
              <w:top w:val="nil"/>
              <w:left w:val="nil"/>
              <w:bottom w:val="single" w:sz="8" w:space="0" w:color="000000"/>
              <w:right w:val="single" w:sz="8" w:space="0" w:color="000000"/>
            </w:tcBorders>
            <w:shd w:val="clear" w:color="000000" w:fill="FFFFFF"/>
            <w:noWrap/>
            <w:vAlign w:val="center"/>
            <w:hideMark/>
          </w:tcPr>
          <w:p w14:paraId="7469C4DF"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2</w:t>
            </w:r>
          </w:p>
        </w:tc>
        <w:tc>
          <w:tcPr>
            <w:tcW w:w="246" w:type="pct"/>
            <w:tcBorders>
              <w:top w:val="nil"/>
              <w:left w:val="nil"/>
              <w:bottom w:val="single" w:sz="8" w:space="0" w:color="000000"/>
              <w:right w:val="single" w:sz="8" w:space="0" w:color="000000"/>
            </w:tcBorders>
            <w:shd w:val="clear" w:color="000000" w:fill="FFFFFF"/>
            <w:noWrap/>
            <w:vAlign w:val="center"/>
            <w:hideMark/>
          </w:tcPr>
          <w:p w14:paraId="18B2976D"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w:t>
            </w:r>
          </w:p>
        </w:tc>
        <w:tc>
          <w:tcPr>
            <w:tcW w:w="246" w:type="pct"/>
            <w:tcBorders>
              <w:top w:val="nil"/>
              <w:left w:val="nil"/>
              <w:bottom w:val="single" w:sz="8" w:space="0" w:color="000000"/>
              <w:right w:val="single" w:sz="8" w:space="0" w:color="000000"/>
            </w:tcBorders>
            <w:shd w:val="clear" w:color="000000" w:fill="FFFFFF"/>
            <w:noWrap/>
            <w:vAlign w:val="center"/>
            <w:hideMark/>
          </w:tcPr>
          <w:p w14:paraId="1667E02E"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5</w:t>
            </w:r>
          </w:p>
        </w:tc>
        <w:tc>
          <w:tcPr>
            <w:tcW w:w="187" w:type="pct"/>
            <w:tcBorders>
              <w:top w:val="single" w:sz="8" w:space="0" w:color="000000"/>
              <w:left w:val="nil"/>
              <w:bottom w:val="single" w:sz="8" w:space="0" w:color="000000"/>
              <w:right w:val="single" w:sz="8" w:space="0" w:color="000000"/>
            </w:tcBorders>
            <w:shd w:val="clear" w:color="000000" w:fill="FFFFFF"/>
            <w:noWrap/>
            <w:vAlign w:val="center"/>
            <w:hideMark/>
          </w:tcPr>
          <w:p w14:paraId="2A10054D"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9</w:t>
            </w:r>
          </w:p>
        </w:tc>
        <w:tc>
          <w:tcPr>
            <w:tcW w:w="192" w:type="pct"/>
            <w:tcBorders>
              <w:top w:val="single" w:sz="8" w:space="0" w:color="000000"/>
              <w:left w:val="nil"/>
              <w:bottom w:val="single" w:sz="8" w:space="0" w:color="000000"/>
              <w:right w:val="single" w:sz="8" w:space="0" w:color="000000"/>
            </w:tcBorders>
            <w:shd w:val="clear" w:color="000000" w:fill="FFFFFF"/>
            <w:noWrap/>
            <w:vAlign w:val="center"/>
            <w:hideMark/>
          </w:tcPr>
          <w:p w14:paraId="43A8247A"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5</w:t>
            </w:r>
          </w:p>
        </w:tc>
        <w:tc>
          <w:tcPr>
            <w:tcW w:w="192" w:type="pct"/>
            <w:tcBorders>
              <w:top w:val="single" w:sz="8" w:space="0" w:color="000000"/>
              <w:left w:val="nil"/>
              <w:bottom w:val="single" w:sz="8" w:space="0" w:color="000000"/>
              <w:right w:val="single" w:sz="8" w:space="0" w:color="000000"/>
            </w:tcBorders>
            <w:shd w:val="clear" w:color="000000" w:fill="FFFFFF"/>
            <w:noWrap/>
            <w:vAlign w:val="center"/>
            <w:hideMark/>
          </w:tcPr>
          <w:p w14:paraId="248C3D6E"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8</w:t>
            </w:r>
          </w:p>
        </w:tc>
        <w:tc>
          <w:tcPr>
            <w:tcW w:w="155" w:type="pct"/>
            <w:tcBorders>
              <w:top w:val="single" w:sz="8" w:space="0" w:color="000000"/>
              <w:left w:val="nil"/>
              <w:bottom w:val="single" w:sz="8" w:space="0" w:color="000000"/>
              <w:right w:val="single" w:sz="8" w:space="0" w:color="000000"/>
            </w:tcBorders>
            <w:shd w:val="clear" w:color="000000" w:fill="FFFFFF"/>
            <w:noWrap/>
            <w:vAlign w:val="center"/>
            <w:hideMark/>
          </w:tcPr>
          <w:p w14:paraId="331D6806"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1</w:t>
            </w:r>
          </w:p>
        </w:tc>
        <w:tc>
          <w:tcPr>
            <w:tcW w:w="152" w:type="pct"/>
            <w:tcBorders>
              <w:top w:val="single" w:sz="8" w:space="0" w:color="000000"/>
              <w:left w:val="nil"/>
              <w:bottom w:val="single" w:sz="8" w:space="0" w:color="000000"/>
              <w:right w:val="single" w:sz="8" w:space="0" w:color="000000"/>
            </w:tcBorders>
            <w:shd w:val="clear" w:color="000000" w:fill="FFFFFF"/>
            <w:noWrap/>
            <w:vAlign w:val="center"/>
            <w:hideMark/>
          </w:tcPr>
          <w:p w14:paraId="0A2C7777"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1</w:t>
            </w:r>
          </w:p>
        </w:tc>
        <w:tc>
          <w:tcPr>
            <w:tcW w:w="174" w:type="pct"/>
            <w:tcBorders>
              <w:top w:val="single" w:sz="8" w:space="0" w:color="000000"/>
              <w:left w:val="nil"/>
              <w:bottom w:val="single" w:sz="8" w:space="0" w:color="000000"/>
              <w:right w:val="single" w:sz="8" w:space="0" w:color="000000"/>
            </w:tcBorders>
            <w:shd w:val="clear" w:color="000000" w:fill="FFFFFF"/>
            <w:noWrap/>
            <w:vAlign w:val="center"/>
            <w:hideMark/>
          </w:tcPr>
          <w:p w14:paraId="66EFB611"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1</w:t>
            </w:r>
          </w:p>
        </w:tc>
        <w:tc>
          <w:tcPr>
            <w:tcW w:w="158" w:type="pct"/>
            <w:tcBorders>
              <w:top w:val="single" w:sz="8" w:space="0" w:color="000000"/>
              <w:left w:val="nil"/>
              <w:bottom w:val="single" w:sz="8" w:space="0" w:color="000000"/>
              <w:right w:val="single" w:sz="8" w:space="0" w:color="000000"/>
            </w:tcBorders>
            <w:shd w:val="clear" w:color="000000" w:fill="FFFFFF"/>
            <w:noWrap/>
            <w:vAlign w:val="center"/>
            <w:hideMark/>
          </w:tcPr>
          <w:p w14:paraId="15289FF7"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1</w:t>
            </w:r>
          </w:p>
        </w:tc>
        <w:tc>
          <w:tcPr>
            <w:tcW w:w="152" w:type="pct"/>
            <w:tcBorders>
              <w:top w:val="single" w:sz="8" w:space="0" w:color="000000"/>
              <w:left w:val="nil"/>
              <w:bottom w:val="single" w:sz="8" w:space="0" w:color="000000"/>
              <w:right w:val="single" w:sz="8" w:space="0" w:color="000000"/>
            </w:tcBorders>
            <w:shd w:val="clear" w:color="000000" w:fill="FFFFFF"/>
            <w:noWrap/>
            <w:vAlign w:val="center"/>
            <w:hideMark/>
          </w:tcPr>
          <w:p w14:paraId="528D8EE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single" w:sz="8" w:space="0" w:color="000000"/>
              <w:left w:val="nil"/>
              <w:bottom w:val="single" w:sz="8" w:space="0" w:color="000000"/>
              <w:right w:val="single" w:sz="8" w:space="0" w:color="000000"/>
            </w:tcBorders>
            <w:shd w:val="clear" w:color="000000" w:fill="FFFFFF"/>
            <w:noWrap/>
            <w:vAlign w:val="center"/>
            <w:hideMark/>
          </w:tcPr>
          <w:p w14:paraId="1BAF713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single" w:sz="8" w:space="0" w:color="000000"/>
              <w:left w:val="nil"/>
              <w:bottom w:val="single" w:sz="8" w:space="0" w:color="000000"/>
              <w:right w:val="single" w:sz="8" w:space="0" w:color="000000"/>
            </w:tcBorders>
            <w:shd w:val="clear" w:color="000000" w:fill="FFFFFF"/>
            <w:noWrap/>
            <w:vAlign w:val="center"/>
            <w:hideMark/>
          </w:tcPr>
          <w:p w14:paraId="3497CB5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3E5F7E9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4" w:type="pct"/>
            <w:tcBorders>
              <w:top w:val="nil"/>
              <w:left w:val="nil"/>
              <w:bottom w:val="nil"/>
              <w:right w:val="nil"/>
            </w:tcBorders>
            <w:shd w:val="clear" w:color="000000" w:fill="FFFFFF"/>
            <w:noWrap/>
            <w:vAlign w:val="center"/>
            <w:hideMark/>
          </w:tcPr>
          <w:p w14:paraId="708898C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nil"/>
              <w:left w:val="nil"/>
              <w:bottom w:val="nil"/>
              <w:right w:val="nil"/>
            </w:tcBorders>
            <w:shd w:val="clear" w:color="000000" w:fill="FFFFFF"/>
            <w:noWrap/>
            <w:vAlign w:val="center"/>
            <w:hideMark/>
          </w:tcPr>
          <w:p w14:paraId="435B264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single" w:sz="8" w:space="0" w:color="000000"/>
              <w:bottom w:val="single" w:sz="8" w:space="0" w:color="000000"/>
              <w:right w:val="single" w:sz="8" w:space="0" w:color="000000"/>
            </w:tcBorders>
            <w:shd w:val="clear" w:color="000000" w:fill="FFFFFF"/>
            <w:noWrap/>
            <w:vAlign w:val="center"/>
            <w:hideMark/>
          </w:tcPr>
          <w:p w14:paraId="1AD73234"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0</w:t>
            </w:r>
          </w:p>
        </w:tc>
        <w:tc>
          <w:tcPr>
            <w:tcW w:w="155" w:type="pct"/>
            <w:tcBorders>
              <w:top w:val="nil"/>
              <w:left w:val="nil"/>
              <w:bottom w:val="single" w:sz="8" w:space="0" w:color="000000"/>
              <w:right w:val="single" w:sz="8" w:space="0" w:color="000000"/>
            </w:tcBorders>
            <w:shd w:val="clear" w:color="000000" w:fill="FFFFFF"/>
            <w:noWrap/>
            <w:vAlign w:val="center"/>
            <w:hideMark/>
          </w:tcPr>
          <w:p w14:paraId="4CADBD45"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2</w:t>
            </w:r>
          </w:p>
        </w:tc>
        <w:tc>
          <w:tcPr>
            <w:tcW w:w="155" w:type="pct"/>
            <w:tcBorders>
              <w:top w:val="nil"/>
              <w:left w:val="nil"/>
              <w:bottom w:val="single" w:sz="8" w:space="0" w:color="000000"/>
              <w:right w:val="single" w:sz="8" w:space="0" w:color="000000"/>
            </w:tcBorders>
            <w:shd w:val="clear" w:color="000000" w:fill="FFFFFF"/>
            <w:noWrap/>
            <w:vAlign w:val="center"/>
            <w:hideMark/>
          </w:tcPr>
          <w:p w14:paraId="4042EBBD"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w:t>
            </w:r>
          </w:p>
        </w:tc>
        <w:tc>
          <w:tcPr>
            <w:tcW w:w="128" w:type="pct"/>
            <w:tcBorders>
              <w:top w:val="nil"/>
              <w:left w:val="nil"/>
              <w:bottom w:val="single" w:sz="8" w:space="0" w:color="000000"/>
              <w:right w:val="single" w:sz="8" w:space="0" w:color="000000"/>
            </w:tcBorders>
            <w:shd w:val="clear" w:color="000000" w:fill="FFFFFF"/>
            <w:noWrap/>
            <w:vAlign w:val="center"/>
            <w:hideMark/>
          </w:tcPr>
          <w:p w14:paraId="625A8C2C"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5</w:t>
            </w:r>
          </w:p>
        </w:tc>
        <w:tc>
          <w:tcPr>
            <w:tcW w:w="128" w:type="pct"/>
            <w:tcBorders>
              <w:top w:val="nil"/>
              <w:left w:val="nil"/>
              <w:bottom w:val="single" w:sz="8" w:space="0" w:color="000000"/>
              <w:right w:val="single" w:sz="8" w:space="0" w:color="000000"/>
            </w:tcBorders>
            <w:shd w:val="clear" w:color="000000" w:fill="FFFFFF"/>
            <w:noWrap/>
            <w:vAlign w:val="center"/>
            <w:hideMark/>
          </w:tcPr>
          <w:p w14:paraId="46C05E02"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9</w:t>
            </w:r>
          </w:p>
        </w:tc>
        <w:tc>
          <w:tcPr>
            <w:tcW w:w="135" w:type="pct"/>
            <w:tcBorders>
              <w:top w:val="nil"/>
              <w:left w:val="nil"/>
              <w:bottom w:val="single" w:sz="8" w:space="0" w:color="000000"/>
              <w:right w:val="single" w:sz="8" w:space="0" w:color="000000"/>
            </w:tcBorders>
            <w:shd w:val="clear" w:color="000000" w:fill="FFFFFF"/>
            <w:noWrap/>
            <w:vAlign w:val="center"/>
            <w:hideMark/>
          </w:tcPr>
          <w:p w14:paraId="5CE34D63"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5</w:t>
            </w:r>
          </w:p>
        </w:tc>
        <w:tc>
          <w:tcPr>
            <w:tcW w:w="146" w:type="pct"/>
            <w:tcBorders>
              <w:top w:val="nil"/>
              <w:left w:val="nil"/>
              <w:bottom w:val="single" w:sz="8" w:space="0" w:color="000000"/>
              <w:right w:val="single" w:sz="8" w:space="0" w:color="000000"/>
            </w:tcBorders>
            <w:shd w:val="clear" w:color="000000" w:fill="FFFFFF"/>
            <w:noWrap/>
            <w:vAlign w:val="center"/>
            <w:hideMark/>
          </w:tcPr>
          <w:p w14:paraId="171CC6EE"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8</w:t>
            </w:r>
          </w:p>
        </w:tc>
        <w:tc>
          <w:tcPr>
            <w:tcW w:w="128" w:type="pct"/>
            <w:tcBorders>
              <w:top w:val="nil"/>
              <w:left w:val="nil"/>
              <w:bottom w:val="single" w:sz="8" w:space="0" w:color="000000"/>
              <w:right w:val="single" w:sz="8" w:space="0" w:color="000000"/>
            </w:tcBorders>
            <w:shd w:val="clear" w:color="000000" w:fill="FFFFFF"/>
            <w:noWrap/>
            <w:vAlign w:val="center"/>
            <w:hideMark/>
          </w:tcPr>
          <w:p w14:paraId="46084485"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3</w:t>
            </w:r>
          </w:p>
        </w:tc>
        <w:tc>
          <w:tcPr>
            <w:tcW w:w="128" w:type="pct"/>
            <w:tcBorders>
              <w:top w:val="nil"/>
              <w:left w:val="nil"/>
              <w:bottom w:val="single" w:sz="8" w:space="0" w:color="000000"/>
              <w:right w:val="single" w:sz="8" w:space="0" w:color="000000"/>
            </w:tcBorders>
            <w:shd w:val="clear" w:color="000000" w:fill="FFFFFF"/>
            <w:noWrap/>
            <w:vAlign w:val="center"/>
            <w:hideMark/>
          </w:tcPr>
          <w:p w14:paraId="463974AA"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0</w:t>
            </w:r>
          </w:p>
        </w:tc>
        <w:tc>
          <w:tcPr>
            <w:tcW w:w="128" w:type="pct"/>
            <w:tcBorders>
              <w:top w:val="nil"/>
              <w:left w:val="nil"/>
              <w:bottom w:val="single" w:sz="8" w:space="0" w:color="000000"/>
              <w:right w:val="single" w:sz="8" w:space="0" w:color="000000"/>
            </w:tcBorders>
            <w:shd w:val="clear" w:color="000000" w:fill="FFFFFF"/>
            <w:noWrap/>
            <w:vAlign w:val="center"/>
            <w:hideMark/>
          </w:tcPr>
          <w:p w14:paraId="253D6923"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4</w:t>
            </w:r>
          </w:p>
        </w:tc>
        <w:tc>
          <w:tcPr>
            <w:tcW w:w="128" w:type="pct"/>
            <w:tcBorders>
              <w:top w:val="nil"/>
              <w:left w:val="nil"/>
              <w:bottom w:val="single" w:sz="8" w:space="0" w:color="000000"/>
              <w:right w:val="single" w:sz="8" w:space="0" w:color="000000"/>
            </w:tcBorders>
            <w:shd w:val="clear" w:color="000000" w:fill="FFFFFF"/>
            <w:noWrap/>
            <w:vAlign w:val="center"/>
            <w:hideMark/>
          </w:tcPr>
          <w:p w14:paraId="3FF73337"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8</w:t>
            </w:r>
          </w:p>
        </w:tc>
        <w:tc>
          <w:tcPr>
            <w:tcW w:w="117" w:type="pct"/>
            <w:tcBorders>
              <w:top w:val="nil"/>
              <w:left w:val="nil"/>
              <w:bottom w:val="nil"/>
              <w:right w:val="nil"/>
            </w:tcBorders>
            <w:shd w:val="clear" w:color="000000" w:fill="FFFFFF"/>
            <w:noWrap/>
            <w:vAlign w:val="center"/>
            <w:hideMark/>
          </w:tcPr>
          <w:p w14:paraId="0974941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5862A274"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5FF1B3FD" w14:textId="77777777" w:rsidTr="00A02729">
        <w:trPr>
          <w:trHeight w:val="255"/>
          <w:jc w:val="center"/>
        </w:trPr>
        <w:tc>
          <w:tcPr>
            <w:tcW w:w="135" w:type="pct"/>
            <w:tcBorders>
              <w:top w:val="nil"/>
              <w:left w:val="nil"/>
              <w:bottom w:val="nil"/>
              <w:right w:val="nil"/>
            </w:tcBorders>
            <w:shd w:val="clear" w:color="000000" w:fill="FFFFFF"/>
            <w:noWrap/>
            <w:vAlign w:val="center"/>
            <w:hideMark/>
          </w:tcPr>
          <w:p w14:paraId="08FD98B6"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16" w:type="pct"/>
            <w:tcBorders>
              <w:top w:val="nil"/>
              <w:left w:val="nil"/>
              <w:bottom w:val="nil"/>
              <w:right w:val="nil"/>
            </w:tcBorders>
            <w:shd w:val="clear" w:color="000000" w:fill="FFFFFF"/>
            <w:noWrap/>
            <w:vAlign w:val="center"/>
            <w:hideMark/>
          </w:tcPr>
          <w:p w14:paraId="03D8286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6" w:type="pct"/>
            <w:tcBorders>
              <w:top w:val="nil"/>
              <w:left w:val="nil"/>
              <w:bottom w:val="nil"/>
              <w:right w:val="nil"/>
            </w:tcBorders>
            <w:shd w:val="clear" w:color="000000" w:fill="FFFFFF"/>
            <w:noWrap/>
            <w:vAlign w:val="center"/>
            <w:hideMark/>
          </w:tcPr>
          <w:p w14:paraId="1691D5C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46" w:type="pct"/>
            <w:tcBorders>
              <w:top w:val="nil"/>
              <w:left w:val="nil"/>
              <w:bottom w:val="nil"/>
              <w:right w:val="nil"/>
            </w:tcBorders>
            <w:shd w:val="clear" w:color="000000" w:fill="FFFFFF"/>
            <w:noWrap/>
            <w:vAlign w:val="center"/>
            <w:hideMark/>
          </w:tcPr>
          <w:p w14:paraId="73C3D4A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46" w:type="pct"/>
            <w:tcBorders>
              <w:top w:val="nil"/>
              <w:left w:val="nil"/>
              <w:bottom w:val="nil"/>
              <w:right w:val="nil"/>
            </w:tcBorders>
            <w:shd w:val="clear" w:color="000000" w:fill="FFFFFF"/>
            <w:noWrap/>
            <w:vAlign w:val="center"/>
            <w:hideMark/>
          </w:tcPr>
          <w:p w14:paraId="3AC26AA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7" w:type="pct"/>
            <w:tcBorders>
              <w:top w:val="nil"/>
              <w:left w:val="nil"/>
              <w:bottom w:val="nil"/>
              <w:right w:val="nil"/>
            </w:tcBorders>
            <w:shd w:val="clear" w:color="000000" w:fill="FFFFFF"/>
            <w:noWrap/>
            <w:vAlign w:val="center"/>
            <w:hideMark/>
          </w:tcPr>
          <w:p w14:paraId="4F81797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351E391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638176F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78BE618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3AB0A34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4" w:type="pct"/>
            <w:tcBorders>
              <w:top w:val="nil"/>
              <w:left w:val="nil"/>
              <w:bottom w:val="nil"/>
              <w:right w:val="nil"/>
            </w:tcBorders>
            <w:shd w:val="clear" w:color="000000" w:fill="FFFFFF"/>
            <w:noWrap/>
            <w:vAlign w:val="center"/>
            <w:hideMark/>
          </w:tcPr>
          <w:p w14:paraId="2573D06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8" w:type="pct"/>
            <w:tcBorders>
              <w:top w:val="nil"/>
              <w:left w:val="nil"/>
              <w:bottom w:val="nil"/>
              <w:right w:val="nil"/>
            </w:tcBorders>
            <w:shd w:val="clear" w:color="000000" w:fill="FFFFFF"/>
            <w:noWrap/>
            <w:vAlign w:val="center"/>
            <w:hideMark/>
          </w:tcPr>
          <w:p w14:paraId="670EC67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3CE00B1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7A17092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60C666F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366A120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4" w:type="pct"/>
            <w:tcBorders>
              <w:top w:val="nil"/>
              <w:left w:val="nil"/>
              <w:bottom w:val="nil"/>
              <w:right w:val="nil"/>
            </w:tcBorders>
            <w:shd w:val="clear" w:color="000000" w:fill="FFFFFF"/>
            <w:noWrap/>
            <w:vAlign w:val="center"/>
            <w:hideMark/>
          </w:tcPr>
          <w:p w14:paraId="1E42D57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nil"/>
              <w:left w:val="nil"/>
              <w:bottom w:val="nil"/>
              <w:right w:val="nil"/>
            </w:tcBorders>
            <w:shd w:val="clear" w:color="000000" w:fill="FFFFFF"/>
            <w:noWrap/>
            <w:vAlign w:val="center"/>
            <w:hideMark/>
          </w:tcPr>
          <w:p w14:paraId="0503E2D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0121225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6F2E9F0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6A98617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72E0940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2C9CDE4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19078FE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nil"/>
              <w:left w:val="nil"/>
              <w:bottom w:val="nil"/>
              <w:right w:val="nil"/>
            </w:tcBorders>
            <w:shd w:val="clear" w:color="000000" w:fill="FFFFFF"/>
            <w:noWrap/>
            <w:vAlign w:val="center"/>
            <w:hideMark/>
          </w:tcPr>
          <w:p w14:paraId="52274E8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48FD70A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3DD8ADE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3C94904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2A70867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17" w:type="pct"/>
            <w:tcBorders>
              <w:top w:val="nil"/>
              <w:left w:val="nil"/>
              <w:bottom w:val="nil"/>
              <w:right w:val="nil"/>
            </w:tcBorders>
            <w:shd w:val="clear" w:color="000000" w:fill="FFFFFF"/>
            <w:noWrap/>
            <w:vAlign w:val="center"/>
            <w:hideMark/>
          </w:tcPr>
          <w:p w14:paraId="39E3F27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78DA0B55"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37F19368" w14:textId="77777777" w:rsidTr="00A02729">
        <w:trPr>
          <w:trHeight w:val="270"/>
          <w:jc w:val="center"/>
        </w:trPr>
        <w:tc>
          <w:tcPr>
            <w:tcW w:w="135" w:type="pct"/>
            <w:tcBorders>
              <w:top w:val="nil"/>
              <w:left w:val="nil"/>
              <w:bottom w:val="nil"/>
              <w:right w:val="nil"/>
            </w:tcBorders>
            <w:shd w:val="clear" w:color="000000" w:fill="FFFFFF"/>
            <w:noWrap/>
            <w:vAlign w:val="center"/>
            <w:hideMark/>
          </w:tcPr>
          <w:p w14:paraId="5692D158"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1072" w:type="pct"/>
            <w:gridSpan w:val="5"/>
            <w:tcBorders>
              <w:top w:val="nil"/>
              <w:left w:val="nil"/>
              <w:bottom w:val="single" w:sz="8" w:space="0" w:color="000000"/>
              <w:right w:val="nil"/>
            </w:tcBorders>
            <w:shd w:val="clear" w:color="000000" w:fill="FFFFFF"/>
            <w:noWrap/>
            <w:vAlign w:val="center"/>
            <w:hideMark/>
          </w:tcPr>
          <w:p w14:paraId="5975EE0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E-mailová adresa</w:t>
            </w:r>
          </w:p>
        </w:tc>
        <w:tc>
          <w:tcPr>
            <w:tcW w:w="192" w:type="pct"/>
            <w:tcBorders>
              <w:top w:val="nil"/>
              <w:left w:val="nil"/>
              <w:bottom w:val="nil"/>
              <w:right w:val="nil"/>
            </w:tcBorders>
            <w:shd w:val="clear" w:color="000000" w:fill="FFFFFF"/>
            <w:noWrap/>
            <w:vAlign w:val="center"/>
            <w:hideMark/>
          </w:tcPr>
          <w:p w14:paraId="1C39E40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73ECC33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5D091DE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41CDA89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4" w:type="pct"/>
            <w:tcBorders>
              <w:top w:val="nil"/>
              <w:left w:val="nil"/>
              <w:bottom w:val="nil"/>
              <w:right w:val="nil"/>
            </w:tcBorders>
            <w:shd w:val="clear" w:color="000000" w:fill="FFFFFF"/>
            <w:noWrap/>
            <w:vAlign w:val="center"/>
            <w:hideMark/>
          </w:tcPr>
          <w:p w14:paraId="09C9C27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8" w:type="pct"/>
            <w:tcBorders>
              <w:top w:val="nil"/>
              <w:left w:val="nil"/>
              <w:bottom w:val="nil"/>
              <w:right w:val="nil"/>
            </w:tcBorders>
            <w:shd w:val="clear" w:color="000000" w:fill="FFFFFF"/>
            <w:noWrap/>
            <w:vAlign w:val="center"/>
            <w:hideMark/>
          </w:tcPr>
          <w:p w14:paraId="1C35EA4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5B69959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7C9C75A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19598F0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1BD1155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4" w:type="pct"/>
            <w:tcBorders>
              <w:top w:val="nil"/>
              <w:left w:val="nil"/>
              <w:bottom w:val="nil"/>
              <w:right w:val="nil"/>
            </w:tcBorders>
            <w:shd w:val="clear" w:color="000000" w:fill="FFFFFF"/>
            <w:noWrap/>
            <w:vAlign w:val="center"/>
            <w:hideMark/>
          </w:tcPr>
          <w:p w14:paraId="3F2BEED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nil"/>
              <w:left w:val="nil"/>
              <w:bottom w:val="nil"/>
              <w:right w:val="nil"/>
            </w:tcBorders>
            <w:shd w:val="clear" w:color="000000" w:fill="FFFFFF"/>
            <w:noWrap/>
            <w:vAlign w:val="center"/>
            <w:hideMark/>
          </w:tcPr>
          <w:p w14:paraId="13757D5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1D56ACB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212D3CE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5F8641E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3C9A5E6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0923A2E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372E495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nil"/>
              <w:left w:val="nil"/>
              <w:bottom w:val="nil"/>
              <w:right w:val="nil"/>
            </w:tcBorders>
            <w:shd w:val="clear" w:color="000000" w:fill="FFFFFF"/>
            <w:noWrap/>
            <w:vAlign w:val="center"/>
            <w:hideMark/>
          </w:tcPr>
          <w:p w14:paraId="05BFA5D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244A9EF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5DC0825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3D54B73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7606A07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17" w:type="pct"/>
            <w:tcBorders>
              <w:top w:val="nil"/>
              <w:left w:val="nil"/>
              <w:bottom w:val="nil"/>
              <w:right w:val="nil"/>
            </w:tcBorders>
            <w:shd w:val="clear" w:color="000000" w:fill="FFFFFF"/>
            <w:noWrap/>
            <w:vAlign w:val="center"/>
            <w:hideMark/>
          </w:tcPr>
          <w:p w14:paraId="7747A28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12328A55"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1597DB61" w14:textId="77777777" w:rsidTr="00A02729">
        <w:trPr>
          <w:trHeight w:val="270"/>
          <w:jc w:val="center"/>
        </w:trPr>
        <w:tc>
          <w:tcPr>
            <w:tcW w:w="135" w:type="pct"/>
            <w:tcBorders>
              <w:top w:val="nil"/>
              <w:left w:val="nil"/>
              <w:bottom w:val="nil"/>
              <w:right w:val="nil"/>
            </w:tcBorders>
            <w:shd w:val="clear" w:color="000000" w:fill="FFFFFF"/>
            <w:noWrap/>
            <w:vAlign w:val="center"/>
            <w:hideMark/>
          </w:tcPr>
          <w:p w14:paraId="49B0BCEB"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16" w:type="pct"/>
            <w:tcBorders>
              <w:top w:val="nil"/>
              <w:left w:val="single" w:sz="8" w:space="0" w:color="000000"/>
              <w:bottom w:val="single" w:sz="8" w:space="0" w:color="000000"/>
              <w:right w:val="single" w:sz="8" w:space="0" w:color="000000"/>
            </w:tcBorders>
            <w:shd w:val="clear" w:color="000000" w:fill="FFFFFF"/>
            <w:noWrap/>
            <w:vAlign w:val="center"/>
            <w:hideMark/>
          </w:tcPr>
          <w:p w14:paraId="1C4C6FCB"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p</w:t>
            </w:r>
          </w:p>
        </w:tc>
        <w:tc>
          <w:tcPr>
            <w:tcW w:w="176" w:type="pct"/>
            <w:tcBorders>
              <w:top w:val="nil"/>
              <w:left w:val="nil"/>
              <w:bottom w:val="single" w:sz="8" w:space="0" w:color="000000"/>
              <w:right w:val="single" w:sz="8" w:space="0" w:color="000000"/>
            </w:tcBorders>
            <w:shd w:val="clear" w:color="000000" w:fill="FFFFFF"/>
            <w:noWrap/>
            <w:vAlign w:val="center"/>
            <w:hideMark/>
          </w:tcPr>
          <w:p w14:paraId="3B699238"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o</w:t>
            </w:r>
          </w:p>
        </w:tc>
        <w:tc>
          <w:tcPr>
            <w:tcW w:w="246" w:type="pct"/>
            <w:tcBorders>
              <w:top w:val="nil"/>
              <w:left w:val="nil"/>
              <w:bottom w:val="single" w:sz="8" w:space="0" w:color="000000"/>
              <w:right w:val="single" w:sz="8" w:space="0" w:color="000000"/>
            </w:tcBorders>
            <w:shd w:val="clear" w:color="000000" w:fill="FFFFFF"/>
            <w:noWrap/>
            <w:vAlign w:val="center"/>
            <w:hideMark/>
          </w:tcPr>
          <w:p w14:paraId="5C1B2F28"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d</w:t>
            </w:r>
          </w:p>
        </w:tc>
        <w:tc>
          <w:tcPr>
            <w:tcW w:w="246" w:type="pct"/>
            <w:tcBorders>
              <w:top w:val="nil"/>
              <w:left w:val="nil"/>
              <w:bottom w:val="single" w:sz="8" w:space="0" w:color="000000"/>
              <w:right w:val="single" w:sz="8" w:space="0" w:color="000000"/>
            </w:tcBorders>
            <w:shd w:val="clear" w:color="000000" w:fill="FFFFFF"/>
            <w:noWrap/>
            <w:vAlign w:val="center"/>
            <w:hideMark/>
          </w:tcPr>
          <w:p w14:paraId="19ECEFF2"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a</w:t>
            </w:r>
          </w:p>
        </w:tc>
        <w:tc>
          <w:tcPr>
            <w:tcW w:w="187" w:type="pct"/>
            <w:tcBorders>
              <w:top w:val="nil"/>
              <w:left w:val="nil"/>
              <w:bottom w:val="single" w:sz="8" w:space="0" w:color="000000"/>
              <w:right w:val="single" w:sz="8" w:space="0" w:color="000000"/>
            </w:tcBorders>
            <w:shd w:val="clear" w:color="000000" w:fill="FFFFFF"/>
            <w:noWrap/>
            <w:vAlign w:val="center"/>
            <w:hideMark/>
          </w:tcPr>
          <w:p w14:paraId="31BDC54C"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t</w:t>
            </w:r>
          </w:p>
        </w:tc>
        <w:tc>
          <w:tcPr>
            <w:tcW w:w="192" w:type="pct"/>
            <w:tcBorders>
              <w:top w:val="single" w:sz="8" w:space="0" w:color="000000"/>
              <w:left w:val="nil"/>
              <w:bottom w:val="single" w:sz="8" w:space="0" w:color="000000"/>
              <w:right w:val="single" w:sz="8" w:space="0" w:color="000000"/>
            </w:tcBorders>
            <w:shd w:val="clear" w:color="000000" w:fill="FFFFFF"/>
            <w:noWrap/>
            <w:vAlign w:val="center"/>
            <w:hideMark/>
          </w:tcPr>
          <w:p w14:paraId="5846B8CB"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e</w:t>
            </w:r>
          </w:p>
        </w:tc>
        <w:tc>
          <w:tcPr>
            <w:tcW w:w="192" w:type="pct"/>
            <w:tcBorders>
              <w:top w:val="single" w:sz="8" w:space="0" w:color="000000"/>
              <w:left w:val="nil"/>
              <w:bottom w:val="single" w:sz="8" w:space="0" w:color="000000"/>
              <w:right w:val="single" w:sz="8" w:space="0" w:color="000000"/>
            </w:tcBorders>
            <w:shd w:val="clear" w:color="000000" w:fill="FFFFFF"/>
            <w:noWrap/>
            <w:vAlign w:val="center"/>
            <w:hideMark/>
          </w:tcPr>
          <w:p w14:paraId="2C2C28D3"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l</w:t>
            </w:r>
          </w:p>
        </w:tc>
        <w:tc>
          <w:tcPr>
            <w:tcW w:w="155" w:type="pct"/>
            <w:tcBorders>
              <w:top w:val="single" w:sz="8" w:space="0" w:color="000000"/>
              <w:left w:val="nil"/>
              <w:bottom w:val="single" w:sz="8" w:space="0" w:color="000000"/>
              <w:right w:val="single" w:sz="8" w:space="0" w:color="000000"/>
            </w:tcBorders>
            <w:shd w:val="clear" w:color="000000" w:fill="FFFFFF"/>
            <w:noWrap/>
            <w:vAlign w:val="center"/>
            <w:hideMark/>
          </w:tcPr>
          <w:p w14:paraId="352701C4"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n</w:t>
            </w:r>
          </w:p>
        </w:tc>
        <w:tc>
          <w:tcPr>
            <w:tcW w:w="152" w:type="pct"/>
            <w:tcBorders>
              <w:top w:val="single" w:sz="8" w:space="0" w:color="000000"/>
              <w:left w:val="nil"/>
              <w:bottom w:val="single" w:sz="8" w:space="0" w:color="000000"/>
              <w:right w:val="single" w:sz="8" w:space="0" w:color="000000"/>
            </w:tcBorders>
            <w:shd w:val="clear" w:color="000000" w:fill="FFFFFF"/>
            <w:noWrap/>
            <w:vAlign w:val="center"/>
            <w:hideMark/>
          </w:tcPr>
          <w:p w14:paraId="347B913F"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a</w:t>
            </w:r>
          </w:p>
        </w:tc>
        <w:tc>
          <w:tcPr>
            <w:tcW w:w="174" w:type="pct"/>
            <w:tcBorders>
              <w:top w:val="single" w:sz="8" w:space="0" w:color="000000"/>
              <w:left w:val="nil"/>
              <w:bottom w:val="single" w:sz="8" w:space="0" w:color="000000"/>
              <w:right w:val="single" w:sz="8" w:space="0" w:color="000000"/>
            </w:tcBorders>
            <w:shd w:val="clear" w:color="000000" w:fill="FFFFFF"/>
            <w:noWrap/>
            <w:vAlign w:val="center"/>
            <w:hideMark/>
          </w:tcPr>
          <w:p w14:paraId="037FFDF3"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w:t>
            </w:r>
          </w:p>
        </w:tc>
        <w:tc>
          <w:tcPr>
            <w:tcW w:w="158" w:type="pct"/>
            <w:tcBorders>
              <w:top w:val="single" w:sz="8" w:space="0" w:color="000000"/>
              <w:left w:val="nil"/>
              <w:bottom w:val="single" w:sz="8" w:space="0" w:color="000000"/>
              <w:right w:val="single" w:sz="8" w:space="0" w:color="000000"/>
            </w:tcBorders>
            <w:shd w:val="clear" w:color="000000" w:fill="FFFFFF"/>
            <w:noWrap/>
            <w:vAlign w:val="center"/>
            <w:hideMark/>
          </w:tcPr>
          <w:p w14:paraId="603E0182"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m</w:t>
            </w:r>
          </w:p>
        </w:tc>
        <w:tc>
          <w:tcPr>
            <w:tcW w:w="152" w:type="pct"/>
            <w:tcBorders>
              <w:top w:val="single" w:sz="8" w:space="0" w:color="000000"/>
              <w:left w:val="nil"/>
              <w:bottom w:val="single" w:sz="8" w:space="0" w:color="000000"/>
              <w:right w:val="single" w:sz="8" w:space="0" w:color="000000"/>
            </w:tcBorders>
            <w:shd w:val="clear" w:color="000000" w:fill="FFFFFF"/>
            <w:noWrap/>
            <w:vAlign w:val="center"/>
            <w:hideMark/>
          </w:tcPr>
          <w:p w14:paraId="45CCB4D7"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f</w:t>
            </w:r>
          </w:p>
        </w:tc>
        <w:tc>
          <w:tcPr>
            <w:tcW w:w="152" w:type="pct"/>
            <w:tcBorders>
              <w:top w:val="single" w:sz="8" w:space="0" w:color="000000"/>
              <w:left w:val="nil"/>
              <w:bottom w:val="single" w:sz="8" w:space="0" w:color="000000"/>
              <w:right w:val="single" w:sz="8" w:space="0" w:color="000000"/>
            </w:tcBorders>
            <w:shd w:val="clear" w:color="000000" w:fill="FFFFFF"/>
            <w:noWrap/>
            <w:vAlign w:val="center"/>
            <w:hideMark/>
          </w:tcPr>
          <w:p w14:paraId="59426310"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s</w:t>
            </w:r>
          </w:p>
        </w:tc>
        <w:tc>
          <w:tcPr>
            <w:tcW w:w="152" w:type="pct"/>
            <w:tcBorders>
              <w:top w:val="single" w:sz="8" w:space="0" w:color="000000"/>
              <w:left w:val="nil"/>
              <w:bottom w:val="single" w:sz="8" w:space="0" w:color="000000"/>
              <w:right w:val="single" w:sz="8" w:space="0" w:color="000000"/>
            </w:tcBorders>
            <w:shd w:val="clear" w:color="000000" w:fill="FFFFFF"/>
            <w:noWrap/>
            <w:vAlign w:val="center"/>
            <w:hideMark/>
          </w:tcPr>
          <w:p w14:paraId="62DF372D"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r</w:t>
            </w:r>
          </w:p>
        </w:tc>
        <w:tc>
          <w:tcPr>
            <w:tcW w:w="152" w:type="pct"/>
            <w:tcBorders>
              <w:top w:val="single" w:sz="8" w:space="0" w:color="000000"/>
              <w:left w:val="nil"/>
              <w:bottom w:val="single" w:sz="8" w:space="0" w:color="000000"/>
              <w:right w:val="single" w:sz="8" w:space="0" w:color="000000"/>
            </w:tcBorders>
            <w:shd w:val="clear" w:color="000000" w:fill="FFFFFF"/>
            <w:noWrap/>
            <w:vAlign w:val="center"/>
            <w:hideMark/>
          </w:tcPr>
          <w:p w14:paraId="28549570"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w:t>
            </w:r>
          </w:p>
        </w:tc>
        <w:tc>
          <w:tcPr>
            <w:tcW w:w="184" w:type="pct"/>
            <w:tcBorders>
              <w:top w:val="single" w:sz="8" w:space="0" w:color="000000"/>
              <w:left w:val="nil"/>
              <w:bottom w:val="single" w:sz="8" w:space="0" w:color="000000"/>
              <w:right w:val="single" w:sz="8" w:space="0" w:color="000000"/>
            </w:tcBorders>
            <w:shd w:val="clear" w:color="000000" w:fill="FFFFFF"/>
            <w:noWrap/>
            <w:vAlign w:val="center"/>
            <w:hideMark/>
          </w:tcPr>
          <w:p w14:paraId="4FF5A63B"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s</w:t>
            </w:r>
          </w:p>
        </w:tc>
        <w:tc>
          <w:tcPr>
            <w:tcW w:w="211" w:type="pct"/>
            <w:tcBorders>
              <w:top w:val="single" w:sz="8" w:space="0" w:color="000000"/>
              <w:left w:val="nil"/>
              <w:bottom w:val="single" w:sz="8" w:space="0" w:color="000000"/>
              <w:right w:val="single" w:sz="8" w:space="0" w:color="000000"/>
            </w:tcBorders>
            <w:shd w:val="clear" w:color="000000" w:fill="FFFFFF"/>
            <w:noWrap/>
            <w:vAlign w:val="center"/>
            <w:hideMark/>
          </w:tcPr>
          <w:p w14:paraId="1DF6F649"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k</w:t>
            </w:r>
          </w:p>
        </w:tc>
        <w:tc>
          <w:tcPr>
            <w:tcW w:w="152" w:type="pct"/>
            <w:tcBorders>
              <w:top w:val="single" w:sz="8" w:space="0" w:color="000000"/>
              <w:left w:val="nil"/>
              <w:bottom w:val="single" w:sz="8" w:space="0" w:color="000000"/>
              <w:right w:val="single" w:sz="8" w:space="0" w:color="000000"/>
            </w:tcBorders>
            <w:shd w:val="clear" w:color="000000" w:fill="FFFFFF"/>
            <w:noWrap/>
            <w:vAlign w:val="center"/>
            <w:hideMark/>
          </w:tcPr>
          <w:p w14:paraId="2653019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single" w:sz="8" w:space="0" w:color="000000"/>
              <w:left w:val="nil"/>
              <w:bottom w:val="single" w:sz="8" w:space="0" w:color="000000"/>
              <w:right w:val="single" w:sz="8" w:space="0" w:color="000000"/>
            </w:tcBorders>
            <w:shd w:val="clear" w:color="000000" w:fill="FFFFFF"/>
            <w:noWrap/>
            <w:vAlign w:val="center"/>
            <w:hideMark/>
          </w:tcPr>
          <w:p w14:paraId="597205F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single" w:sz="8" w:space="0" w:color="000000"/>
              <w:left w:val="nil"/>
              <w:bottom w:val="single" w:sz="8" w:space="0" w:color="000000"/>
              <w:right w:val="single" w:sz="8" w:space="0" w:color="000000"/>
            </w:tcBorders>
            <w:shd w:val="clear" w:color="000000" w:fill="FFFFFF"/>
            <w:noWrap/>
            <w:vAlign w:val="center"/>
            <w:hideMark/>
          </w:tcPr>
          <w:p w14:paraId="065B4FA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single" w:sz="8" w:space="0" w:color="000000"/>
              <w:left w:val="nil"/>
              <w:bottom w:val="single" w:sz="8" w:space="0" w:color="000000"/>
              <w:right w:val="single" w:sz="8" w:space="0" w:color="000000"/>
            </w:tcBorders>
            <w:shd w:val="clear" w:color="000000" w:fill="FFFFFF"/>
            <w:noWrap/>
            <w:vAlign w:val="center"/>
            <w:hideMark/>
          </w:tcPr>
          <w:p w14:paraId="780AEC9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single" w:sz="8" w:space="0" w:color="000000"/>
              <w:left w:val="nil"/>
              <w:bottom w:val="single" w:sz="8" w:space="0" w:color="000000"/>
              <w:right w:val="single" w:sz="8" w:space="0" w:color="000000"/>
            </w:tcBorders>
            <w:shd w:val="clear" w:color="000000" w:fill="FFFFFF"/>
            <w:noWrap/>
            <w:vAlign w:val="center"/>
            <w:hideMark/>
          </w:tcPr>
          <w:p w14:paraId="5622540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single" w:sz="8" w:space="0" w:color="000000"/>
              <w:left w:val="nil"/>
              <w:bottom w:val="single" w:sz="8" w:space="0" w:color="000000"/>
              <w:right w:val="single" w:sz="8" w:space="0" w:color="000000"/>
            </w:tcBorders>
            <w:shd w:val="clear" w:color="000000" w:fill="FFFFFF"/>
            <w:noWrap/>
            <w:vAlign w:val="center"/>
            <w:hideMark/>
          </w:tcPr>
          <w:p w14:paraId="7DFEC3B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single" w:sz="8" w:space="0" w:color="000000"/>
              <w:left w:val="nil"/>
              <w:bottom w:val="single" w:sz="8" w:space="0" w:color="000000"/>
              <w:right w:val="single" w:sz="8" w:space="0" w:color="000000"/>
            </w:tcBorders>
            <w:shd w:val="clear" w:color="000000" w:fill="FFFFFF"/>
            <w:noWrap/>
            <w:vAlign w:val="center"/>
            <w:hideMark/>
          </w:tcPr>
          <w:p w14:paraId="31A6691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single" w:sz="8" w:space="0" w:color="000000"/>
              <w:left w:val="nil"/>
              <w:bottom w:val="single" w:sz="8" w:space="0" w:color="000000"/>
              <w:right w:val="single" w:sz="8" w:space="0" w:color="000000"/>
            </w:tcBorders>
            <w:shd w:val="clear" w:color="000000" w:fill="FFFFFF"/>
            <w:noWrap/>
            <w:vAlign w:val="center"/>
            <w:hideMark/>
          </w:tcPr>
          <w:p w14:paraId="581B7BA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single" w:sz="8" w:space="0" w:color="000000"/>
              <w:left w:val="nil"/>
              <w:bottom w:val="single" w:sz="8" w:space="0" w:color="000000"/>
              <w:right w:val="single" w:sz="8" w:space="0" w:color="000000"/>
            </w:tcBorders>
            <w:shd w:val="clear" w:color="000000" w:fill="FFFFFF"/>
            <w:noWrap/>
            <w:vAlign w:val="center"/>
            <w:hideMark/>
          </w:tcPr>
          <w:p w14:paraId="316310F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single" w:sz="8" w:space="0" w:color="000000"/>
              <w:left w:val="nil"/>
              <w:bottom w:val="single" w:sz="8" w:space="0" w:color="000000"/>
              <w:right w:val="single" w:sz="8" w:space="0" w:color="000000"/>
            </w:tcBorders>
            <w:shd w:val="clear" w:color="000000" w:fill="FFFFFF"/>
            <w:noWrap/>
            <w:vAlign w:val="center"/>
            <w:hideMark/>
          </w:tcPr>
          <w:p w14:paraId="408E3A5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single" w:sz="8" w:space="0" w:color="000000"/>
              <w:left w:val="nil"/>
              <w:bottom w:val="single" w:sz="8" w:space="0" w:color="000000"/>
              <w:right w:val="single" w:sz="8" w:space="0" w:color="000000"/>
            </w:tcBorders>
            <w:shd w:val="clear" w:color="000000" w:fill="FFFFFF"/>
            <w:noWrap/>
            <w:vAlign w:val="center"/>
            <w:hideMark/>
          </w:tcPr>
          <w:p w14:paraId="2B60929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17" w:type="pct"/>
            <w:tcBorders>
              <w:top w:val="nil"/>
              <w:left w:val="nil"/>
              <w:bottom w:val="nil"/>
              <w:right w:val="nil"/>
            </w:tcBorders>
            <w:shd w:val="clear" w:color="000000" w:fill="FFFFFF"/>
            <w:noWrap/>
            <w:vAlign w:val="center"/>
            <w:hideMark/>
          </w:tcPr>
          <w:p w14:paraId="32E572A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276CD799"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493D5903" w14:textId="77777777" w:rsidTr="00A02729">
        <w:trPr>
          <w:trHeight w:val="270"/>
          <w:jc w:val="center"/>
        </w:trPr>
        <w:tc>
          <w:tcPr>
            <w:tcW w:w="135" w:type="pct"/>
            <w:tcBorders>
              <w:top w:val="nil"/>
              <w:left w:val="nil"/>
              <w:bottom w:val="nil"/>
              <w:right w:val="nil"/>
            </w:tcBorders>
            <w:shd w:val="clear" w:color="000000" w:fill="FFFFFF"/>
            <w:noWrap/>
            <w:vAlign w:val="center"/>
            <w:hideMark/>
          </w:tcPr>
          <w:p w14:paraId="7DC7E70F"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16" w:type="pct"/>
            <w:tcBorders>
              <w:top w:val="nil"/>
              <w:left w:val="nil"/>
              <w:bottom w:val="nil"/>
              <w:right w:val="nil"/>
            </w:tcBorders>
            <w:shd w:val="clear" w:color="000000" w:fill="FFFFFF"/>
            <w:noWrap/>
            <w:vAlign w:val="center"/>
            <w:hideMark/>
          </w:tcPr>
          <w:p w14:paraId="78F82DF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6" w:type="pct"/>
            <w:tcBorders>
              <w:top w:val="nil"/>
              <w:left w:val="nil"/>
              <w:bottom w:val="nil"/>
              <w:right w:val="nil"/>
            </w:tcBorders>
            <w:shd w:val="clear" w:color="000000" w:fill="FFFFFF"/>
            <w:noWrap/>
            <w:vAlign w:val="center"/>
            <w:hideMark/>
          </w:tcPr>
          <w:p w14:paraId="640794B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46" w:type="pct"/>
            <w:tcBorders>
              <w:top w:val="nil"/>
              <w:left w:val="nil"/>
              <w:bottom w:val="nil"/>
              <w:right w:val="nil"/>
            </w:tcBorders>
            <w:shd w:val="clear" w:color="000000" w:fill="FFFFFF"/>
            <w:noWrap/>
            <w:vAlign w:val="center"/>
            <w:hideMark/>
          </w:tcPr>
          <w:p w14:paraId="11E1682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46" w:type="pct"/>
            <w:tcBorders>
              <w:top w:val="nil"/>
              <w:left w:val="nil"/>
              <w:bottom w:val="nil"/>
              <w:right w:val="nil"/>
            </w:tcBorders>
            <w:shd w:val="clear" w:color="000000" w:fill="FFFFFF"/>
            <w:noWrap/>
            <w:vAlign w:val="center"/>
            <w:hideMark/>
          </w:tcPr>
          <w:p w14:paraId="0F649B8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7" w:type="pct"/>
            <w:tcBorders>
              <w:top w:val="nil"/>
              <w:left w:val="nil"/>
              <w:bottom w:val="nil"/>
              <w:right w:val="nil"/>
            </w:tcBorders>
            <w:shd w:val="clear" w:color="000000" w:fill="FFFFFF"/>
            <w:noWrap/>
            <w:vAlign w:val="center"/>
            <w:hideMark/>
          </w:tcPr>
          <w:p w14:paraId="21B0105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7A70BD1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nil"/>
              <w:right w:val="nil"/>
            </w:tcBorders>
            <w:shd w:val="clear" w:color="000000" w:fill="FFFFFF"/>
            <w:noWrap/>
            <w:vAlign w:val="center"/>
            <w:hideMark/>
          </w:tcPr>
          <w:p w14:paraId="521203A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1821F1D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69484B8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4" w:type="pct"/>
            <w:tcBorders>
              <w:top w:val="nil"/>
              <w:left w:val="nil"/>
              <w:bottom w:val="nil"/>
              <w:right w:val="nil"/>
            </w:tcBorders>
            <w:shd w:val="clear" w:color="000000" w:fill="FFFFFF"/>
            <w:noWrap/>
            <w:vAlign w:val="center"/>
            <w:hideMark/>
          </w:tcPr>
          <w:p w14:paraId="158571C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8" w:type="pct"/>
            <w:tcBorders>
              <w:top w:val="nil"/>
              <w:left w:val="nil"/>
              <w:bottom w:val="nil"/>
              <w:right w:val="nil"/>
            </w:tcBorders>
            <w:shd w:val="clear" w:color="000000" w:fill="FFFFFF"/>
            <w:noWrap/>
            <w:vAlign w:val="center"/>
            <w:hideMark/>
          </w:tcPr>
          <w:p w14:paraId="3B699D1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5DBBE94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0CF1EB1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37D3B89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505CD19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4" w:type="pct"/>
            <w:tcBorders>
              <w:top w:val="nil"/>
              <w:left w:val="nil"/>
              <w:bottom w:val="nil"/>
              <w:right w:val="nil"/>
            </w:tcBorders>
            <w:shd w:val="clear" w:color="000000" w:fill="FFFFFF"/>
            <w:noWrap/>
            <w:vAlign w:val="center"/>
            <w:hideMark/>
          </w:tcPr>
          <w:p w14:paraId="13E1872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nil"/>
              <w:left w:val="nil"/>
              <w:bottom w:val="nil"/>
              <w:right w:val="nil"/>
            </w:tcBorders>
            <w:shd w:val="clear" w:color="000000" w:fill="FFFFFF"/>
            <w:noWrap/>
            <w:vAlign w:val="center"/>
            <w:hideMark/>
          </w:tcPr>
          <w:p w14:paraId="4E0B330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1EB11BB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0B80E73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6B33EBF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41F1718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669C09A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0B2B107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nil"/>
              <w:left w:val="nil"/>
              <w:bottom w:val="nil"/>
              <w:right w:val="nil"/>
            </w:tcBorders>
            <w:shd w:val="clear" w:color="000000" w:fill="FFFFFF"/>
            <w:noWrap/>
            <w:vAlign w:val="center"/>
            <w:hideMark/>
          </w:tcPr>
          <w:p w14:paraId="0E23023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7019BEA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26B47E2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7558D53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6BF8958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17" w:type="pct"/>
            <w:tcBorders>
              <w:top w:val="nil"/>
              <w:left w:val="nil"/>
              <w:bottom w:val="nil"/>
              <w:right w:val="nil"/>
            </w:tcBorders>
            <w:shd w:val="clear" w:color="000000" w:fill="FFFFFF"/>
            <w:noWrap/>
            <w:vAlign w:val="center"/>
            <w:hideMark/>
          </w:tcPr>
          <w:p w14:paraId="3A8CD09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472A9FB2"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3D8F53D9" w14:textId="77777777" w:rsidTr="00A02729">
        <w:trPr>
          <w:trHeight w:val="270"/>
          <w:jc w:val="center"/>
        </w:trPr>
        <w:tc>
          <w:tcPr>
            <w:tcW w:w="135" w:type="pct"/>
            <w:tcBorders>
              <w:top w:val="nil"/>
              <w:left w:val="nil"/>
              <w:bottom w:val="nil"/>
              <w:right w:val="nil"/>
            </w:tcBorders>
            <w:shd w:val="clear" w:color="000000" w:fill="FFFFFF"/>
            <w:noWrap/>
            <w:vAlign w:val="center"/>
            <w:hideMark/>
          </w:tcPr>
          <w:p w14:paraId="518CB0C4"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552" w:type="pct"/>
            <w:gridSpan w:val="14"/>
            <w:tcBorders>
              <w:top w:val="single" w:sz="8" w:space="0" w:color="000000"/>
              <w:left w:val="single" w:sz="8" w:space="0" w:color="000000"/>
              <w:bottom w:val="nil"/>
              <w:right w:val="single" w:sz="8" w:space="0" w:color="000000"/>
            </w:tcBorders>
            <w:shd w:val="clear" w:color="000000" w:fill="FFFFFF"/>
            <w:vAlign w:val="center"/>
            <w:hideMark/>
          </w:tcPr>
          <w:p w14:paraId="1D661F8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single" w:sz="8" w:space="0" w:color="000000"/>
              <w:left w:val="nil"/>
              <w:bottom w:val="nil"/>
              <w:right w:val="nil"/>
            </w:tcBorders>
            <w:shd w:val="clear" w:color="000000" w:fill="FFFFFF"/>
            <w:vAlign w:val="center"/>
            <w:hideMark/>
          </w:tcPr>
          <w:p w14:paraId="71D44D1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4" w:type="pct"/>
            <w:tcBorders>
              <w:top w:val="single" w:sz="8" w:space="0" w:color="000000"/>
              <w:left w:val="nil"/>
              <w:bottom w:val="nil"/>
              <w:right w:val="nil"/>
            </w:tcBorders>
            <w:shd w:val="clear" w:color="000000" w:fill="FFFFFF"/>
            <w:vAlign w:val="center"/>
            <w:hideMark/>
          </w:tcPr>
          <w:p w14:paraId="789E5D6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single" w:sz="8" w:space="0" w:color="000000"/>
              <w:left w:val="nil"/>
              <w:bottom w:val="nil"/>
              <w:right w:val="nil"/>
            </w:tcBorders>
            <w:shd w:val="clear" w:color="000000" w:fill="FFFFFF"/>
            <w:vAlign w:val="center"/>
            <w:hideMark/>
          </w:tcPr>
          <w:p w14:paraId="6E71D73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single" w:sz="8" w:space="0" w:color="000000"/>
              <w:left w:val="nil"/>
              <w:bottom w:val="nil"/>
              <w:right w:val="nil"/>
            </w:tcBorders>
            <w:shd w:val="clear" w:color="000000" w:fill="FFFFFF"/>
            <w:vAlign w:val="center"/>
            <w:hideMark/>
          </w:tcPr>
          <w:p w14:paraId="205A25A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single" w:sz="8" w:space="0" w:color="000000"/>
              <w:left w:val="nil"/>
              <w:bottom w:val="nil"/>
              <w:right w:val="nil"/>
            </w:tcBorders>
            <w:shd w:val="clear" w:color="000000" w:fill="FFFFFF"/>
            <w:vAlign w:val="center"/>
            <w:hideMark/>
          </w:tcPr>
          <w:p w14:paraId="3D628AC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single" w:sz="8" w:space="0" w:color="000000"/>
              <w:left w:val="nil"/>
              <w:bottom w:val="nil"/>
              <w:right w:val="nil"/>
            </w:tcBorders>
            <w:shd w:val="clear" w:color="000000" w:fill="FFFFFF"/>
            <w:vAlign w:val="center"/>
            <w:hideMark/>
          </w:tcPr>
          <w:p w14:paraId="087390E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single" w:sz="8" w:space="0" w:color="000000"/>
              <w:left w:val="nil"/>
              <w:bottom w:val="nil"/>
              <w:right w:val="nil"/>
            </w:tcBorders>
            <w:shd w:val="clear" w:color="000000" w:fill="FFFFFF"/>
            <w:vAlign w:val="center"/>
            <w:hideMark/>
          </w:tcPr>
          <w:p w14:paraId="54898FE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single" w:sz="8" w:space="0" w:color="000000"/>
              <w:left w:val="nil"/>
              <w:bottom w:val="nil"/>
              <w:right w:val="nil"/>
            </w:tcBorders>
            <w:shd w:val="clear" w:color="000000" w:fill="FFFFFF"/>
            <w:vAlign w:val="center"/>
            <w:hideMark/>
          </w:tcPr>
          <w:p w14:paraId="3C62896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single" w:sz="8" w:space="0" w:color="000000"/>
              <w:left w:val="nil"/>
              <w:bottom w:val="nil"/>
              <w:right w:val="nil"/>
            </w:tcBorders>
            <w:shd w:val="clear" w:color="000000" w:fill="FFFFFF"/>
            <w:vAlign w:val="center"/>
            <w:hideMark/>
          </w:tcPr>
          <w:p w14:paraId="2B3E114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single" w:sz="8" w:space="0" w:color="000000"/>
              <w:left w:val="nil"/>
              <w:bottom w:val="nil"/>
              <w:right w:val="nil"/>
            </w:tcBorders>
            <w:shd w:val="clear" w:color="000000" w:fill="FFFFFF"/>
            <w:vAlign w:val="center"/>
            <w:hideMark/>
          </w:tcPr>
          <w:p w14:paraId="0728C67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single" w:sz="8" w:space="0" w:color="000000"/>
              <w:left w:val="nil"/>
              <w:bottom w:val="nil"/>
              <w:right w:val="nil"/>
            </w:tcBorders>
            <w:shd w:val="clear" w:color="000000" w:fill="FFFFFF"/>
            <w:vAlign w:val="center"/>
            <w:hideMark/>
          </w:tcPr>
          <w:p w14:paraId="42530452"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single" w:sz="8" w:space="0" w:color="000000"/>
              <w:left w:val="nil"/>
              <w:bottom w:val="nil"/>
              <w:right w:val="nil"/>
            </w:tcBorders>
            <w:shd w:val="clear" w:color="000000" w:fill="FFFFFF"/>
            <w:vAlign w:val="center"/>
            <w:hideMark/>
          </w:tcPr>
          <w:p w14:paraId="05D99B01"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single" w:sz="8" w:space="0" w:color="000000"/>
              <w:left w:val="nil"/>
              <w:bottom w:val="nil"/>
              <w:right w:val="nil"/>
            </w:tcBorders>
            <w:shd w:val="clear" w:color="000000" w:fill="FFFFFF"/>
            <w:vAlign w:val="center"/>
            <w:hideMark/>
          </w:tcPr>
          <w:p w14:paraId="081C2758"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single" w:sz="8" w:space="0" w:color="000000"/>
              <w:left w:val="nil"/>
              <w:bottom w:val="nil"/>
              <w:right w:val="single" w:sz="8" w:space="0" w:color="000000"/>
            </w:tcBorders>
            <w:shd w:val="clear" w:color="000000" w:fill="FFFFFF"/>
            <w:vAlign w:val="center"/>
            <w:hideMark/>
          </w:tcPr>
          <w:p w14:paraId="3B1E145D"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17" w:type="pct"/>
            <w:tcBorders>
              <w:top w:val="nil"/>
              <w:left w:val="nil"/>
              <w:bottom w:val="nil"/>
              <w:right w:val="nil"/>
            </w:tcBorders>
            <w:shd w:val="clear" w:color="000000" w:fill="FFFFFF"/>
            <w:vAlign w:val="center"/>
            <w:hideMark/>
          </w:tcPr>
          <w:p w14:paraId="0C0012DF"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35" w:type="pct"/>
            <w:tcBorders>
              <w:top w:val="nil"/>
              <w:left w:val="nil"/>
              <w:bottom w:val="nil"/>
              <w:right w:val="nil"/>
            </w:tcBorders>
            <w:shd w:val="clear" w:color="000000" w:fill="FFFFFF"/>
            <w:noWrap/>
            <w:vAlign w:val="center"/>
            <w:hideMark/>
          </w:tcPr>
          <w:p w14:paraId="79E0BBBE"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3D729453" w14:textId="77777777" w:rsidTr="00A02729">
        <w:trPr>
          <w:trHeight w:val="270"/>
          <w:jc w:val="center"/>
        </w:trPr>
        <w:tc>
          <w:tcPr>
            <w:tcW w:w="135" w:type="pct"/>
            <w:tcBorders>
              <w:top w:val="nil"/>
              <w:left w:val="nil"/>
              <w:bottom w:val="nil"/>
              <w:right w:val="nil"/>
            </w:tcBorders>
            <w:shd w:val="clear" w:color="000000" w:fill="FFFFFF"/>
            <w:noWrap/>
            <w:vAlign w:val="center"/>
            <w:hideMark/>
          </w:tcPr>
          <w:p w14:paraId="3E906DFE"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552" w:type="pct"/>
            <w:gridSpan w:val="14"/>
            <w:tcBorders>
              <w:top w:val="nil"/>
              <w:left w:val="single" w:sz="8" w:space="0" w:color="000000"/>
              <w:bottom w:val="nil"/>
              <w:right w:val="single" w:sz="8" w:space="0" w:color="000000"/>
            </w:tcBorders>
            <w:shd w:val="clear" w:color="000000" w:fill="FFFFFF"/>
            <w:vAlign w:val="center"/>
            <w:hideMark/>
          </w:tcPr>
          <w:p w14:paraId="45D8920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xml:space="preserve"> Zostavená dňa: </w:t>
            </w:r>
          </w:p>
        </w:tc>
        <w:tc>
          <w:tcPr>
            <w:tcW w:w="152" w:type="pct"/>
            <w:tcBorders>
              <w:top w:val="nil"/>
              <w:left w:val="nil"/>
              <w:bottom w:val="nil"/>
              <w:right w:val="nil"/>
            </w:tcBorders>
            <w:shd w:val="clear" w:color="000000" w:fill="FFFFFF"/>
            <w:vAlign w:val="center"/>
            <w:hideMark/>
          </w:tcPr>
          <w:p w14:paraId="2066C77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4" w:type="pct"/>
            <w:tcBorders>
              <w:top w:val="nil"/>
              <w:left w:val="nil"/>
              <w:bottom w:val="nil"/>
              <w:right w:val="nil"/>
            </w:tcBorders>
            <w:shd w:val="clear" w:color="000000" w:fill="FFFFFF"/>
            <w:vAlign w:val="center"/>
            <w:hideMark/>
          </w:tcPr>
          <w:p w14:paraId="21FF37E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nil"/>
              <w:left w:val="nil"/>
              <w:bottom w:val="nil"/>
              <w:right w:val="nil"/>
            </w:tcBorders>
            <w:shd w:val="clear" w:color="000000" w:fill="FFFFFF"/>
            <w:vAlign w:val="center"/>
            <w:hideMark/>
          </w:tcPr>
          <w:p w14:paraId="570FCB8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3FF6ECF"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3</w:t>
            </w:r>
          </w:p>
        </w:tc>
        <w:tc>
          <w:tcPr>
            <w:tcW w:w="155" w:type="pct"/>
            <w:tcBorders>
              <w:top w:val="single" w:sz="8" w:space="0" w:color="000000"/>
              <w:left w:val="nil"/>
              <w:bottom w:val="single" w:sz="8" w:space="0" w:color="000000"/>
              <w:right w:val="single" w:sz="8" w:space="0" w:color="000000"/>
            </w:tcBorders>
            <w:shd w:val="clear" w:color="000000" w:fill="FFFFFF"/>
            <w:vAlign w:val="center"/>
            <w:hideMark/>
          </w:tcPr>
          <w:p w14:paraId="494AA53C"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0</w:t>
            </w:r>
          </w:p>
        </w:tc>
        <w:tc>
          <w:tcPr>
            <w:tcW w:w="155" w:type="pct"/>
            <w:tcBorders>
              <w:top w:val="nil"/>
              <w:left w:val="nil"/>
              <w:bottom w:val="nil"/>
              <w:right w:val="nil"/>
            </w:tcBorders>
            <w:shd w:val="clear" w:color="000000" w:fill="FFFFFF"/>
            <w:vAlign w:val="center"/>
            <w:hideMark/>
          </w:tcPr>
          <w:p w14:paraId="4FB1C4D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1D84D7B"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0</w:t>
            </w:r>
          </w:p>
        </w:tc>
        <w:tc>
          <w:tcPr>
            <w:tcW w:w="128" w:type="pct"/>
            <w:tcBorders>
              <w:top w:val="single" w:sz="8" w:space="0" w:color="000000"/>
              <w:left w:val="nil"/>
              <w:bottom w:val="single" w:sz="8" w:space="0" w:color="000000"/>
              <w:right w:val="single" w:sz="8" w:space="0" w:color="000000"/>
            </w:tcBorders>
            <w:shd w:val="clear" w:color="000000" w:fill="FFFFFF"/>
            <w:vAlign w:val="center"/>
            <w:hideMark/>
          </w:tcPr>
          <w:p w14:paraId="1221536F"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9</w:t>
            </w:r>
          </w:p>
        </w:tc>
        <w:tc>
          <w:tcPr>
            <w:tcW w:w="135" w:type="pct"/>
            <w:tcBorders>
              <w:top w:val="nil"/>
              <w:left w:val="nil"/>
              <w:bottom w:val="nil"/>
              <w:right w:val="nil"/>
            </w:tcBorders>
            <w:shd w:val="clear" w:color="000000" w:fill="FFFFFF"/>
            <w:vAlign w:val="center"/>
            <w:hideMark/>
          </w:tcPr>
          <w:p w14:paraId="238A849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40D88B3"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2</w:t>
            </w:r>
          </w:p>
        </w:tc>
        <w:tc>
          <w:tcPr>
            <w:tcW w:w="128" w:type="pct"/>
            <w:tcBorders>
              <w:top w:val="single" w:sz="8" w:space="0" w:color="000000"/>
              <w:left w:val="nil"/>
              <w:bottom w:val="single" w:sz="8" w:space="0" w:color="000000"/>
              <w:right w:val="single" w:sz="8" w:space="0" w:color="000000"/>
            </w:tcBorders>
            <w:shd w:val="clear" w:color="000000" w:fill="FFFFFF"/>
            <w:vAlign w:val="center"/>
            <w:hideMark/>
          </w:tcPr>
          <w:p w14:paraId="6641E775"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0</w:t>
            </w:r>
          </w:p>
        </w:tc>
        <w:tc>
          <w:tcPr>
            <w:tcW w:w="128" w:type="pct"/>
            <w:tcBorders>
              <w:top w:val="single" w:sz="8" w:space="0" w:color="000000"/>
              <w:left w:val="nil"/>
              <w:bottom w:val="single" w:sz="8" w:space="0" w:color="000000"/>
              <w:right w:val="single" w:sz="8" w:space="0" w:color="000000"/>
            </w:tcBorders>
            <w:shd w:val="clear" w:color="000000" w:fill="FFFFFF"/>
            <w:vAlign w:val="center"/>
            <w:hideMark/>
          </w:tcPr>
          <w:p w14:paraId="095968B2" w14:textId="77777777"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2</w:t>
            </w:r>
          </w:p>
        </w:tc>
        <w:tc>
          <w:tcPr>
            <w:tcW w:w="128" w:type="pct"/>
            <w:tcBorders>
              <w:top w:val="single" w:sz="8" w:space="0" w:color="000000"/>
              <w:left w:val="nil"/>
              <w:bottom w:val="single" w:sz="8" w:space="0" w:color="000000"/>
              <w:right w:val="single" w:sz="8" w:space="0" w:color="000000"/>
            </w:tcBorders>
            <w:shd w:val="clear" w:color="000000" w:fill="FFFFFF"/>
            <w:vAlign w:val="center"/>
            <w:hideMark/>
          </w:tcPr>
          <w:p w14:paraId="46122B70" w14:textId="36DF8BA2" w:rsidR="00C97D5C" w:rsidRPr="00907622" w:rsidRDefault="00C97D5C">
            <w:pPr>
              <w:spacing w:after="0" w:line="240" w:lineRule="auto"/>
              <w:jc w:val="center"/>
              <w:rPr>
                <w:rFonts w:ascii="Times New Roman" w:hAnsi="Times New Roman"/>
                <w:sz w:val="20"/>
                <w:szCs w:val="20"/>
                <w:lang w:eastAsia="sk-SK"/>
              </w:rPr>
            </w:pPr>
            <w:r w:rsidRPr="00907622">
              <w:rPr>
                <w:rFonts w:ascii="Times New Roman" w:hAnsi="Times New Roman"/>
                <w:sz w:val="20"/>
                <w:szCs w:val="20"/>
                <w:lang w:eastAsia="sk-SK"/>
              </w:rPr>
              <w:t>5</w:t>
            </w:r>
          </w:p>
        </w:tc>
        <w:tc>
          <w:tcPr>
            <w:tcW w:w="128" w:type="pct"/>
            <w:tcBorders>
              <w:top w:val="nil"/>
              <w:left w:val="nil"/>
              <w:bottom w:val="nil"/>
              <w:right w:val="single" w:sz="8" w:space="0" w:color="000000"/>
            </w:tcBorders>
            <w:shd w:val="clear" w:color="000000" w:fill="FFFFFF"/>
            <w:vAlign w:val="center"/>
            <w:hideMark/>
          </w:tcPr>
          <w:p w14:paraId="4219390F"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17" w:type="pct"/>
            <w:tcBorders>
              <w:top w:val="nil"/>
              <w:left w:val="nil"/>
              <w:bottom w:val="nil"/>
              <w:right w:val="nil"/>
            </w:tcBorders>
            <w:shd w:val="clear" w:color="000000" w:fill="FFFFFF"/>
            <w:vAlign w:val="center"/>
            <w:hideMark/>
          </w:tcPr>
          <w:p w14:paraId="5CAED854"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35" w:type="pct"/>
            <w:tcBorders>
              <w:top w:val="nil"/>
              <w:left w:val="nil"/>
              <w:bottom w:val="nil"/>
              <w:right w:val="nil"/>
            </w:tcBorders>
            <w:shd w:val="clear" w:color="000000" w:fill="FFFFFF"/>
            <w:noWrap/>
            <w:vAlign w:val="center"/>
            <w:hideMark/>
          </w:tcPr>
          <w:p w14:paraId="3AADED3A"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5640154F" w14:textId="77777777" w:rsidTr="00A02729">
        <w:trPr>
          <w:trHeight w:val="270"/>
          <w:jc w:val="center"/>
        </w:trPr>
        <w:tc>
          <w:tcPr>
            <w:tcW w:w="135" w:type="pct"/>
            <w:tcBorders>
              <w:top w:val="nil"/>
              <w:left w:val="nil"/>
              <w:bottom w:val="nil"/>
              <w:right w:val="nil"/>
            </w:tcBorders>
            <w:shd w:val="clear" w:color="000000" w:fill="FFFFFF"/>
            <w:noWrap/>
            <w:vAlign w:val="center"/>
            <w:hideMark/>
          </w:tcPr>
          <w:p w14:paraId="6FB10E37"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16" w:type="pct"/>
            <w:tcBorders>
              <w:top w:val="nil"/>
              <w:left w:val="single" w:sz="8" w:space="0" w:color="000000"/>
              <w:bottom w:val="single" w:sz="8" w:space="0" w:color="000000"/>
              <w:right w:val="nil"/>
            </w:tcBorders>
            <w:shd w:val="clear" w:color="000000" w:fill="FFFFFF"/>
            <w:vAlign w:val="center"/>
            <w:hideMark/>
          </w:tcPr>
          <w:p w14:paraId="767B3A8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6" w:type="pct"/>
            <w:tcBorders>
              <w:top w:val="nil"/>
              <w:left w:val="nil"/>
              <w:bottom w:val="single" w:sz="8" w:space="0" w:color="000000"/>
              <w:right w:val="nil"/>
            </w:tcBorders>
            <w:shd w:val="clear" w:color="000000" w:fill="FFFFFF"/>
            <w:vAlign w:val="center"/>
            <w:hideMark/>
          </w:tcPr>
          <w:p w14:paraId="70824D0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46" w:type="pct"/>
            <w:tcBorders>
              <w:top w:val="nil"/>
              <w:left w:val="nil"/>
              <w:bottom w:val="single" w:sz="8" w:space="0" w:color="000000"/>
              <w:right w:val="nil"/>
            </w:tcBorders>
            <w:shd w:val="clear" w:color="000000" w:fill="FFFFFF"/>
            <w:vAlign w:val="center"/>
            <w:hideMark/>
          </w:tcPr>
          <w:p w14:paraId="51D2C21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46" w:type="pct"/>
            <w:tcBorders>
              <w:top w:val="nil"/>
              <w:left w:val="nil"/>
              <w:bottom w:val="single" w:sz="8" w:space="0" w:color="000000"/>
              <w:right w:val="nil"/>
            </w:tcBorders>
            <w:shd w:val="clear" w:color="000000" w:fill="FFFFFF"/>
            <w:vAlign w:val="center"/>
            <w:hideMark/>
          </w:tcPr>
          <w:p w14:paraId="1D6DBD0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7" w:type="pct"/>
            <w:tcBorders>
              <w:top w:val="nil"/>
              <w:left w:val="nil"/>
              <w:bottom w:val="single" w:sz="8" w:space="0" w:color="000000"/>
              <w:right w:val="nil"/>
            </w:tcBorders>
            <w:shd w:val="clear" w:color="000000" w:fill="FFFFFF"/>
            <w:vAlign w:val="center"/>
            <w:hideMark/>
          </w:tcPr>
          <w:p w14:paraId="15F8D3D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single" w:sz="8" w:space="0" w:color="000000"/>
              <w:right w:val="nil"/>
            </w:tcBorders>
            <w:shd w:val="clear" w:color="000000" w:fill="FFFFFF"/>
            <w:vAlign w:val="center"/>
            <w:hideMark/>
          </w:tcPr>
          <w:p w14:paraId="05E397F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nil"/>
              <w:left w:val="nil"/>
              <w:bottom w:val="single" w:sz="8" w:space="0" w:color="000000"/>
              <w:right w:val="nil"/>
            </w:tcBorders>
            <w:shd w:val="clear" w:color="000000" w:fill="FFFFFF"/>
            <w:vAlign w:val="center"/>
            <w:hideMark/>
          </w:tcPr>
          <w:p w14:paraId="074A267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single" w:sz="8" w:space="0" w:color="000000"/>
              <w:right w:val="nil"/>
            </w:tcBorders>
            <w:shd w:val="clear" w:color="000000" w:fill="FFFFFF"/>
            <w:vAlign w:val="center"/>
            <w:hideMark/>
          </w:tcPr>
          <w:p w14:paraId="42B36CF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single" w:sz="8" w:space="0" w:color="000000"/>
              <w:right w:val="nil"/>
            </w:tcBorders>
            <w:shd w:val="clear" w:color="000000" w:fill="FFFFFF"/>
            <w:vAlign w:val="center"/>
            <w:hideMark/>
          </w:tcPr>
          <w:p w14:paraId="78690F1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4" w:type="pct"/>
            <w:tcBorders>
              <w:top w:val="nil"/>
              <w:left w:val="nil"/>
              <w:bottom w:val="single" w:sz="8" w:space="0" w:color="000000"/>
              <w:right w:val="nil"/>
            </w:tcBorders>
            <w:shd w:val="clear" w:color="000000" w:fill="FFFFFF"/>
            <w:vAlign w:val="center"/>
            <w:hideMark/>
          </w:tcPr>
          <w:p w14:paraId="71757FE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8" w:type="pct"/>
            <w:tcBorders>
              <w:top w:val="nil"/>
              <w:left w:val="nil"/>
              <w:bottom w:val="single" w:sz="8" w:space="0" w:color="000000"/>
              <w:right w:val="nil"/>
            </w:tcBorders>
            <w:shd w:val="clear" w:color="000000" w:fill="FFFFFF"/>
            <w:vAlign w:val="center"/>
            <w:hideMark/>
          </w:tcPr>
          <w:p w14:paraId="43B8E64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single" w:sz="8" w:space="0" w:color="000000"/>
              <w:right w:val="nil"/>
            </w:tcBorders>
            <w:shd w:val="clear" w:color="000000" w:fill="FFFFFF"/>
            <w:vAlign w:val="center"/>
            <w:hideMark/>
          </w:tcPr>
          <w:p w14:paraId="276753D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single" w:sz="8" w:space="0" w:color="000000"/>
              <w:right w:val="nil"/>
            </w:tcBorders>
            <w:shd w:val="clear" w:color="000000" w:fill="FFFFFF"/>
            <w:vAlign w:val="center"/>
            <w:hideMark/>
          </w:tcPr>
          <w:p w14:paraId="42091AD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single" w:sz="8" w:space="0" w:color="000000"/>
              <w:right w:val="single" w:sz="8" w:space="0" w:color="000000"/>
            </w:tcBorders>
            <w:shd w:val="clear" w:color="000000" w:fill="FFFFFF"/>
            <w:vAlign w:val="center"/>
            <w:hideMark/>
          </w:tcPr>
          <w:p w14:paraId="725807AA"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single" w:sz="8" w:space="0" w:color="000000"/>
              <w:right w:val="nil"/>
            </w:tcBorders>
            <w:shd w:val="clear" w:color="000000" w:fill="FFFFFF"/>
            <w:vAlign w:val="center"/>
            <w:hideMark/>
          </w:tcPr>
          <w:p w14:paraId="362B093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4" w:type="pct"/>
            <w:tcBorders>
              <w:top w:val="nil"/>
              <w:left w:val="nil"/>
              <w:bottom w:val="single" w:sz="8" w:space="0" w:color="000000"/>
              <w:right w:val="nil"/>
            </w:tcBorders>
            <w:shd w:val="clear" w:color="000000" w:fill="FFFFFF"/>
            <w:vAlign w:val="center"/>
            <w:hideMark/>
          </w:tcPr>
          <w:p w14:paraId="2C0DFBA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nil"/>
              <w:left w:val="nil"/>
              <w:bottom w:val="single" w:sz="8" w:space="0" w:color="000000"/>
              <w:right w:val="nil"/>
            </w:tcBorders>
            <w:shd w:val="clear" w:color="000000" w:fill="FFFFFF"/>
            <w:vAlign w:val="center"/>
            <w:hideMark/>
          </w:tcPr>
          <w:p w14:paraId="2F7CA3C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single" w:sz="8" w:space="0" w:color="000000"/>
              <w:right w:val="nil"/>
            </w:tcBorders>
            <w:shd w:val="clear" w:color="000000" w:fill="FFFFFF"/>
            <w:vAlign w:val="center"/>
            <w:hideMark/>
          </w:tcPr>
          <w:p w14:paraId="5BA45FF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single" w:sz="8" w:space="0" w:color="000000"/>
              <w:right w:val="nil"/>
            </w:tcBorders>
            <w:shd w:val="clear" w:color="000000" w:fill="FFFFFF"/>
            <w:vAlign w:val="center"/>
            <w:hideMark/>
          </w:tcPr>
          <w:p w14:paraId="4C02499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single" w:sz="8" w:space="0" w:color="000000"/>
              <w:right w:val="nil"/>
            </w:tcBorders>
            <w:shd w:val="clear" w:color="000000" w:fill="FFFFFF"/>
            <w:vAlign w:val="center"/>
            <w:hideMark/>
          </w:tcPr>
          <w:p w14:paraId="0ECD1A6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single" w:sz="8" w:space="0" w:color="000000"/>
              <w:right w:val="nil"/>
            </w:tcBorders>
            <w:shd w:val="clear" w:color="000000" w:fill="FFFFFF"/>
            <w:vAlign w:val="center"/>
            <w:hideMark/>
          </w:tcPr>
          <w:p w14:paraId="6D7B2D1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single" w:sz="8" w:space="0" w:color="000000"/>
              <w:right w:val="nil"/>
            </w:tcBorders>
            <w:shd w:val="clear" w:color="000000" w:fill="FFFFFF"/>
            <w:vAlign w:val="center"/>
            <w:hideMark/>
          </w:tcPr>
          <w:p w14:paraId="297D003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single" w:sz="8" w:space="0" w:color="000000"/>
              <w:right w:val="nil"/>
            </w:tcBorders>
            <w:shd w:val="clear" w:color="000000" w:fill="FFFFFF"/>
            <w:vAlign w:val="center"/>
            <w:hideMark/>
          </w:tcPr>
          <w:p w14:paraId="3B7D9DB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nil"/>
              <w:left w:val="nil"/>
              <w:bottom w:val="single" w:sz="8" w:space="0" w:color="000000"/>
              <w:right w:val="nil"/>
            </w:tcBorders>
            <w:shd w:val="clear" w:color="000000" w:fill="FFFFFF"/>
            <w:vAlign w:val="center"/>
            <w:hideMark/>
          </w:tcPr>
          <w:p w14:paraId="5D1737C3"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single" w:sz="8" w:space="0" w:color="000000"/>
              <w:right w:val="nil"/>
            </w:tcBorders>
            <w:shd w:val="clear" w:color="000000" w:fill="FFFFFF"/>
            <w:vAlign w:val="center"/>
            <w:hideMark/>
          </w:tcPr>
          <w:p w14:paraId="5EC310F9"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single" w:sz="8" w:space="0" w:color="000000"/>
              <w:right w:val="nil"/>
            </w:tcBorders>
            <w:shd w:val="clear" w:color="000000" w:fill="FFFFFF"/>
            <w:vAlign w:val="center"/>
            <w:hideMark/>
          </w:tcPr>
          <w:p w14:paraId="7C6F1830"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single" w:sz="8" w:space="0" w:color="000000"/>
              <w:right w:val="nil"/>
            </w:tcBorders>
            <w:shd w:val="clear" w:color="000000" w:fill="FFFFFF"/>
            <w:vAlign w:val="center"/>
            <w:hideMark/>
          </w:tcPr>
          <w:p w14:paraId="4CFFF3AE"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single" w:sz="8" w:space="0" w:color="000000"/>
              <w:right w:val="single" w:sz="8" w:space="0" w:color="000000"/>
            </w:tcBorders>
            <w:shd w:val="clear" w:color="000000" w:fill="FFFFFF"/>
            <w:vAlign w:val="center"/>
            <w:hideMark/>
          </w:tcPr>
          <w:p w14:paraId="12343900"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17" w:type="pct"/>
            <w:tcBorders>
              <w:top w:val="nil"/>
              <w:left w:val="nil"/>
              <w:bottom w:val="nil"/>
              <w:right w:val="nil"/>
            </w:tcBorders>
            <w:shd w:val="clear" w:color="000000" w:fill="FFFFFF"/>
            <w:vAlign w:val="center"/>
            <w:hideMark/>
          </w:tcPr>
          <w:p w14:paraId="787B5FDB"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35" w:type="pct"/>
            <w:tcBorders>
              <w:top w:val="nil"/>
              <w:left w:val="nil"/>
              <w:bottom w:val="nil"/>
              <w:right w:val="nil"/>
            </w:tcBorders>
            <w:shd w:val="clear" w:color="000000" w:fill="FFFFFF"/>
            <w:noWrap/>
            <w:vAlign w:val="center"/>
            <w:hideMark/>
          </w:tcPr>
          <w:p w14:paraId="301950DE"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38C279BE" w14:textId="77777777" w:rsidTr="00A02729">
        <w:trPr>
          <w:trHeight w:val="255"/>
          <w:jc w:val="center"/>
        </w:trPr>
        <w:tc>
          <w:tcPr>
            <w:tcW w:w="135" w:type="pct"/>
            <w:tcBorders>
              <w:top w:val="nil"/>
              <w:left w:val="nil"/>
              <w:bottom w:val="nil"/>
              <w:right w:val="nil"/>
            </w:tcBorders>
            <w:shd w:val="clear" w:color="000000" w:fill="FFFFFF"/>
            <w:noWrap/>
            <w:vAlign w:val="center"/>
            <w:hideMark/>
          </w:tcPr>
          <w:p w14:paraId="737E6E88"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552" w:type="pct"/>
            <w:gridSpan w:val="14"/>
            <w:vMerge w:val="restart"/>
            <w:tcBorders>
              <w:top w:val="single" w:sz="8" w:space="0" w:color="000000"/>
              <w:left w:val="single" w:sz="8" w:space="0" w:color="000000"/>
              <w:bottom w:val="single" w:sz="4" w:space="0" w:color="auto"/>
              <w:right w:val="single" w:sz="8" w:space="0" w:color="000000"/>
            </w:tcBorders>
            <w:shd w:val="clear" w:color="000000" w:fill="FFFFFF"/>
            <w:vAlign w:val="center"/>
            <w:hideMark/>
          </w:tcPr>
          <w:p w14:paraId="54635AC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Podpisový záznam štatutárneho orgánu alebo člena štatutárneho orgánu účtovnej jednotky:</w:t>
            </w:r>
          </w:p>
        </w:tc>
        <w:tc>
          <w:tcPr>
            <w:tcW w:w="152" w:type="pct"/>
            <w:tcBorders>
              <w:top w:val="nil"/>
              <w:left w:val="nil"/>
              <w:bottom w:val="nil"/>
              <w:right w:val="nil"/>
            </w:tcBorders>
            <w:shd w:val="clear" w:color="000000" w:fill="FFFFFF"/>
            <w:vAlign w:val="center"/>
            <w:hideMark/>
          </w:tcPr>
          <w:p w14:paraId="029D87F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4" w:type="pct"/>
            <w:tcBorders>
              <w:top w:val="nil"/>
              <w:left w:val="nil"/>
              <w:bottom w:val="nil"/>
              <w:right w:val="nil"/>
            </w:tcBorders>
            <w:shd w:val="clear" w:color="000000" w:fill="FFFFFF"/>
            <w:vAlign w:val="center"/>
            <w:hideMark/>
          </w:tcPr>
          <w:p w14:paraId="7076C1A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nil"/>
              <w:left w:val="nil"/>
              <w:bottom w:val="nil"/>
              <w:right w:val="nil"/>
            </w:tcBorders>
            <w:shd w:val="clear" w:color="000000" w:fill="FFFFFF"/>
            <w:vAlign w:val="center"/>
            <w:hideMark/>
          </w:tcPr>
          <w:p w14:paraId="16EF640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vAlign w:val="center"/>
            <w:hideMark/>
          </w:tcPr>
          <w:p w14:paraId="78DE55C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vAlign w:val="center"/>
            <w:hideMark/>
          </w:tcPr>
          <w:p w14:paraId="048CEA2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vAlign w:val="center"/>
            <w:hideMark/>
          </w:tcPr>
          <w:p w14:paraId="2D001C4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vAlign w:val="center"/>
            <w:hideMark/>
          </w:tcPr>
          <w:p w14:paraId="784ACE6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vAlign w:val="center"/>
            <w:hideMark/>
          </w:tcPr>
          <w:p w14:paraId="68DC243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vAlign w:val="center"/>
            <w:hideMark/>
          </w:tcPr>
          <w:p w14:paraId="606769F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nil"/>
              <w:left w:val="nil"/>
              <w:bottom w:val="nil"/>
              <w:right w:val="nil"/>
            </w:tcBorders>
            <w:shd w:val="clear" w:color="000000" w:fill="FFFFFF"/>
            <w:vAlign w:val="center"/>
            <w:hideMark/>
          </w:tcPr>
          <w:p w14:paraId="7A5903D7"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nil"/>
              <w:right w:val="nil"/>
            </w:tcBorders>
            <w:shd w:val="clear" w:color="000000" w:fill="FFFFFF"/>
            <w:vAlign w:val="center"/>
            <w:hideMark/>
          </w:tcPr>
          <w:p w14:paraId="43F54A83"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nil"/>
              <w:right w:val="nil"/>
            </w:tcBorders>
            <w:shd w:val="clear" w:color="000000" w:fill="FFFFFF"/>
            <w:vAlign w:val="center"/>
            <w:hideMark/>
          </w:tcPr>
          <w:p w14:paraId="343863B9"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nil"/>
              <w:right w:val="nil"/>
            </w:tcBorders>
            <w:shd w:val="clear" w:color="000000" w:fill="FFFFFF"/>
            <w:vAlign w:val="center"/>
            <w:hideMark/>
          </w:tcPr>
          <w:p w14:paraId="72568BC4"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nil"/>
              <w:right w:val="single" w:sz="8" w:space="0" w:color="000000"/>
            </w:tcBorders>
            <w:shd w:val="clear" w:color="000000" w:fill="FFFFFF"/>
            <w:vAlign w:val="center"/>
            <w:hideMark/>
          </w:tcPr>
          <w:p w14:paraId="7D3CDD0E"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17" w:type="pct"/>
            <w:tcBorders>
              <w:top w:val="nil"/>
              <w:left w:val="nil"/>
              <w:bottom w:val="nil"/>
              <w:right w:val="nil"/>
            </w:tcBorders>
            <w:shd w:val="clear" w:color="000000" w:fill="FFFFFF"/>
            <w:vAlign w:val="center"/>
            <w:hideMark/>
          </w:tcPr>
          <w:p w14:paraId="22F94FDC"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35" w:type="pct"/>
            <w:tcBorders>
              <w:top w:val="nil"/>
              <w:left w:val="nil"/>
              <w:bottom w:val="nil"/>
              <w:right w:val="nil"/>
            </w:tcBorders>
            <w:shd w:val="clear" w:color="000000" w:fill="FFFFFF"/>
            <w:noWrap/>
            <w:vAlign w:val="center"/>
            <w:hideMark/>
          </w:tcPr>
          <w:p w14:paraId="51796271"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7EA9F491" w14:textId="77777777" w:rsidTr="00A02729">
        <w:trPr>
          <w:trHeight w:val="255"/>
          <w:jc w:val="center"/>
        </w:trPr>
        <w:tc>
          <w:tcPr>
            <w:tcW w:w="135" w:type="pct"/>
            <w:tcBorders>
              <w:top w:val="nil"/>
              <w:left w:val="nil"/>
              <w:bottom w:val="nil"/>
              <w:right w:val="single" w:sz="8" w:space="0" w:color="000000"/>
            </w:tcBorders>
            <w:shd w:val="clear" w:color="000000" w:fill="FFFFFF"/>
            <w:noWrap/>
            <w:vAlign w:val="center"/>
            <w:hideMark/>
          </w:tcPr>
          <w:p w14:paraId="17C54F0F"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552" w:type="pct"/>
            <w:gridSpan w:val="14"/>
            <w:vMerge/>
            <w:tcBorders>
              <w:top w:val="nil"/>
              <w:left w:val="nil"/>
              <w:bottom w:val="single" w:sz="4" w:space="0" w:color="auto"/>
              <w:right w:val="single" w:sz="8" w:space="0" w:color="000000"/>
            </w:tcBorders>
            <w:vAlign w:val="center"/>
            <w:hideMark/>
          </w:tcPr>
          <w:p w14:paraId="0776AE8C" w14:textId="77777777" w:rsidR="00C97D5C" w:rsidRPr="00907622" w:rsidRDefault="00C97D5C">
            <w:pPr>
              <w:spacing w:after="0" w:line="240" w:lineRule="auto"/>
              <w:rPr>
                <w:rFonts w:ascii="Times New Roman" w:hAnsi="Times New Roman"/>
                <w:sz w:val="20"/>
                <w:szCs w:val="20"/>
                <w:lang w:eastAsia="sk-SK"/>
              </w:rPr>
            </w:pPr>
          </w:p>
        </w:tc>
        <w:tc>
          <w:tcPr>
            <w:tcW w:w="152" w:type="pct"/>
            <w:tcBorders>
              <w:top w:val="nil"/>
              <w:left w:val="nil"/>
              <w:bottom w:val="nil"/>
              <w:right w:val="nil"/>
            </w:tcBorders>
            <w:shd w:val="clear" w:color="000000" w:fill="FFFFFF"/>
            <w:vAlign w:val="center"/>
            <w:hideMark/>
          </w:tcPr>
          <w:p w14:paraId="6F12D7E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4" w:type="pct"/>
            <w:tcBorders>
              <w:top w:val="nil"/>
              <w:left w:val="nil"/>
              <w:bottom w:val="nil"/>
              <w:right w:val="nil"/>
            </w:tcBorders>
            <w:shd w:val="clear" w:color="000000" w:fill="FFFFFF"/>
            <w:vAlign w:val="center"/>
            <w:hideMark/>
          </w:tcPr>
          <w:p w14:paraId="40F15E6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nil"/>
              <w:left w:val="nil"/>
              <w:bottom w:val="nil"/>
              <w:right w:val="nil"/>
            </w:tcBorders>
            <w:shd w:val="clear" w:color="000000" w:fill="FFFFFF"/>
            <w:vAlign w:val="center"/>
            <w:hideMark/>
          </w:tcPr>
          <w:p w14:paraId="06BEA88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vAlign w:val="center"/>
            <w:hideMark/>
          </w:tcPr>
          <w:p w14:paraId="5B54DF9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vAlign w:val="center"/>
            <w:hideMark/>
          </w:tcPr>
          <w:p w14:paraId="6213ABA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vAlign w:val="center"/>
            <w:hideMark/>
          </w:tcPr>
          <w:p w14:paraId="27AD1E2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vAlign w:val="center"/>
            <w:hideMark/>
          </w:tcPr>
          <w:p w14:paraId="376A9B0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vAlign w:val="center"/>
            <w:hideMark/>
          </w:tcPr>
          <w:p w14:paraId="0FC9513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vAlign w:val="center"/>
            <w:hideMark/>
          </w:tcPr>
          <w:p w14:paraId="393DEC1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nil"/>
              <w:left w:val="nil"/>
              <w:bottom w:val="nil"/>
              <w:right w:val="nil"/>
            </w:tcBorders>
            <w:shd w:val="clear" w:color="000000" w:fill="FFFFFF"/>
            <w:vAlign w:val="center"/>
            <w:hideMark/>
          </w:tcPr>
          <w:p w14:paraId="17964BC1"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nil"/>
              <w:right w:val="nil"/>
            </w:tcBorders>
            <w:shd w:val="clear" w:color="000000" w:fill="FFFFFF"/>
            <w:vAlign w:val="center"/>
            <w:hideMark/>
          </w:tcPr>
          <w:p w14:paraId="7BE4DD16"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nil"/>
              <w:right w:val="nil"/>
            </w:tcBorders>
            <w:shd w:val="clear" w:color="000000" w:fill="FFFFFF"/>
            <w:vAlign w:val="center"/>
            <w:hideMark/>
          </w:tcPr>
          <w:p w14:paraId="16029B1E"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nil"/>
              <w:right w:val="nil"/>
            </w:tcBorders>
            <w:shd w:val="clear" w:color="000000" w:fill="FFFFFF"/>
            <w:vAlign w:val="center"/>
            <w:hideMark/>
          </w:tcPr>
          <w:p w14:paraId="7D0586C4"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nil"/>
              <w:right w:val="single" w:sz="8" w:space="0" w:color="000000"/>
            </w:tcBorders>
            <w:shd w:val="clear" w:color="000000" w:fill="FFFFFF"/>
            <w:vAlign w:val="center"/>
            <w:hideMark/>
          </w:tcPr>
          <w:p w14:paraId="5810083C"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17" w:type="pct"/>
            <w:tcBorders>
              <w:top w:val="nil"/>
              <w:left w:val="nil"/>
              <w:bottom w:val="nil"/>
              <w:right w:val="nil"/>
            </w:tcBorders>
            <w:shd w:val="clear" w:color="000000" w:fill="FFFFFF"/>
            <w:vAlign w:val="center"/>
            <w:hideMark/>
          </w:tcPr>
          <w:p w14:paraId="7A18C986"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35" w:type="pct"/>
            <w:tcBorders>
              <w:top w:val="nil"/>
              <w:left w:val="nil"/>
              <w:bottom w:val="nil"/>
              <w:right w:val="nil"/>
            </w:tcBorders>
            <w:shd w:val="clear" w:color="000000" w:fill="FFFFFF"/>
            <w:noWrap/>
            <w:vAlign w:val="center"/>
            <w:hideMark/>
          </w:tcPr>
          <w:p w14:paraId="23F810D1"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38E78700" w14:textId="77777777" w:rsidTr="00A02729">
        <w:trPr>
          <w:trHeight w:val="255"/>
          <w:jc w:val="center"/>
        </w:trPr>
        <w:tc>
          <w:tcPr>
            <w:tcW w:w="135" w:type="pct"/>
            <w:tcBorders>
              <w:top w:val="nil"/>
              <w:left w:val="nil"/>
              <w:bottom w:val="nil"/>
              <w:right w:val="single" w:sz="8" w:space="0" w:color="000000"/>
            </w:tcBorders>
            <w:shd w:val="clear" w:color="000000" w:fill="FFFFFF"/>
            <w:noWrap/>
            <w:vAlign w:val="center"/>
            <w:hideMark/>
          </w:tcPr>
          <w:p w14:paraId="59186C4A"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552" w:type="pct"/>
            <w:gridSpan w:val="14"/>
            <w:vMerge/>
            <w:tcBorders>
              <w:top w:val="nil"/>
              <w:left w:val="nil"/>
              <w:bottom w:val="single" w:sz="4" w:space="0" w:color="auto"/>
              <w:right w:val="single" w:sz="8" w:space="0" w:color="000000"/>
            </w:tcBorders>
            <w:vAlign w:val="center"/>
            <w:hideMark/>
          </w:tcPr>
          <w:p w14:paraId="18FF386A" w14:textId="77777777" w:rsidR="00C97D5C" w:rsidRPr="00907622" w:rsidRDefault="00C97D5C">
            <w:pPr>
              <w:spacing w:after="0" w:line="240" w:lineRule="auto"/>
              <w:rPr>
                <w:rFonts w:ascii="Times New Roman" w:hAnsi="Times New Roman"/>
                <w:sz w:val="20"/>
                <w:szCs w:val="20"/>
                <w:lang w:eastAsia="sk-SK"/>
              </w:rPr>
            </w:pPr>
          </w:p>
        </w:tc>
        <w:tc>
          <w:tcPr>
            <w:tcW w:w="152" w:type="pct"/>
            <w:tcBorders>
              <w:top w:val="nil"/>
              <w:left w:val="nil"/>
              <w:bottom w:val="nil"/>
              <w:right w:val="nil"/>
            </w:tcBorders>
            <w:shd w:val="clear" w:color="000000" w:fill="FFFFFF"/>
            <w:vAlign w:val="center"/>
            <w:hideMark/>
          </w:tcPr>
          <w:p w14:paraId="1223F2B5"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4" w:type="pct"/>
            <w:tcBorders>
              <w:top w:val="nil"/>
              <w:left w:val="nil"/>
              <w:bottom w:val="nil"/>
              <w:right w:val="nil"/>
            </w:tcBorders>
            <w:shd w:val="clear" w:color="000000" w:fill="FFFFFF"/>
            <w:vAlign w:val="center"/>
            <w:hideMark/>
          </w:tcPr>
          <w:p w14:paraId="0822C61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nil"/>
              <w:left w:val="nil"/>
              <w:bottom w:val="nil"/>
              <w:right w:val="nil"/>
            </w:tcBorders>
            <w:shd w:val="clear" w:color="000000" w:fill="FFFFFF"/>
            <w:vAlign w:val="center"/>
            <w:hideMark/>
          </w:tcPr>
          <w:p w14:paraId="391582D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vAlign w:val="center"/>
            <w:hideMark/>
          </w:tcPr>
          <w:p w14:paraId="09497E4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vAlign w:val="center"/>
            <w:hideMark/>
          </w:tcPr>
          <w:p w14:paraId="637EFDAD"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vAlign w:val="center"/>
            <w:hideMark/>
          </w:tcPr>
          <w:p w14:paraId="19D6CE6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vAlign w:val="center"/>
            <w:hideMark/>
          </w:tcPr>
          <w:p w14:paraId="60B94F9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vAlign w:val="center"/>
            <w:hideMark/>
          </w:tcPr>
          <w:p w14:paraId="402F053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vAlign w:val="center"/>
            <w:hideMark/>
          </w:tcPr>
          <w:p w14:paraId="66E89D2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nil"/>
              <w:left w:val="nil"/>
              <w:bottom w:val="nil"/>
              <w:right w:val="nil"/>
            </w:tcBorders>
            <w:shd w:val="clear" w:color="000000" w:fill="FFFFFF"/>
            <w:vAlign w:val="center"/>
            <w:hideMark/>
          </w:tcPr>
          <w:p w14:paraId="04E27AAD"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nil"/>
              <w:right w:val="nil"/>
            </w:tcBorders>
            <w:shd w:val="clear" w:color="000000" w:fill="FFFFFF"/>
            <w:vAlign w:val="center"/>
            <w:hideMark/>
          </w:tcPr>
          <w:p w14:paraId="7F890294"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nil"/>
              <w:right w:val="nil"/>
            </w:tcBorders>
            <w:shd w:val="clear" w:color="000000" w:fill="FFFFFF"/>
            <w:vAlign w:val="center"/>
            <w:hideMark/>
          </w:tcPr>
          <w:p w14:paraId="4634EFC3"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nil"/>
              <w:right w:val="nil"/>
            </w:tcBorders>
            <w:shd w:val="clear" w:color="000000" w:fill="FFFFFF"/>
            <w:vAlign w:val="center"/>
            <w:hideMark/>
          </w:tcPr>
          <w:p w14:paraId="77DED963"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nil"/>
              <w:right w:val="single" w:sz="8" w:space="0" w:color="000000"/>
            </w:tcBorders>
            <w:shd w:val="clear" w:color="000000" w:fill="FFFFFF"/>
            <w:vAlign w:val="center"/>
            <w:hideMark/>
          </w:tcPr>
          <w:p w14:paraId="3B46AB18"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17" w:type="pct"/>
            <w:tcBorders>
              <w:top w:val="nil"/>
              <w:left w:val="nil"/>
              <w:bottom w:val="nil"/>
              <w:right w:val="nil"/>
            </w:tcBorders>
            <w:shd w:val="clear" w:color="000000" w:fill="FFFFFF"/>
            <w:vAlign w:val="center"/>
            <w:hideMark/>
          </w:tcPr>
          <w:p w14:paraId="211E8293"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35" w:type="pct"/>
            <w:tcBorders>
              <w:top w:val="nil"/>
              <w:left w:val="nil"/>
              <w:bottom w:val="nil"/>
              <w:right w:val="nil"/>
            </w:tcBorders>
            <w:shd w:val="clear" w:color="000000" w:fill="FFFFFF"/>
            <w:noWrap/>
            <w:vAlign w:val="center"/>
            <w:hideMark/>
          </w:tcPr>
          <w:p w14:paraId="2A84067D"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7065DE8E" w14:textId="77777777" w:rsidTr="00A02729">
        <w:trPr>
          <w:trHeight w:val="270"/>
          <w:jc w:val="center"/>
        </w:trPr>
        <w:tc>
          <w:tcPr>
            <w:tcW w:w="135" w:type="pct"/>
            <w:tcBorders>
              <w:top w:val="nil"/>
              <w:left w:val="nil"/>
              <w:bottom w:val="nil"/>
              <w:right w:val="single" w:sz="8" w:space="0" w:color="000000"/>
            </w:tcBorders>
            <w:shd w:val="clear" w:color="000000" w:fill="FFFFFF"/>
            <w:noWrap/>
            <w:vAlign w:val="center"/>
            <w:hideMark/>
          </w:tcPr>
          <w:p w14:paraId="76BC22D6"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552" w:type="pct"/>
            <w:gridSpan w:val="14"/>
            <w:vMerge/>
            <w:tcBorders>
              <w:top w:val="nil"/>
              <w:left w:val="nil"/>
              <w:bottom w:val="single" w:sz="4" w:space="0" w:color="auto"/>
              <w:right w:val="single" w:sz="8" w:space="0" w:color="000000"/>
            </w:tcBorders>
            <w:vAlign w:val="center"/>
            <w:hideMark/>
          </w:tcPr>
          <w:p w14:paraId="2A916BA5" w14:textId="77777777" w:rsidR="00C97D5C" w:rsidRPr="00907622" w:rsidRDefault="00C97D5C">
            <w:pPr>
              <w:spacing w:after="0" w:line="240" w:lineRule="auto"/>
              <w:rPr>
                <w:rFonts w:ascii="Times New Roman" w:hAnsi="Times New Roman"/>
                <w:sz w:val="20"/>
                <w:szCs w:val="20"/>
                <w:lang w:eastAsia="sk-SK"/>
              </w:rPr>
            </w:pPr>
          </w:p>
        </w:tc>
        <w:tc>
          <w:tcPr>
            <w:tcW w:w="152" w:type="pct"/>
            <w:tcBorders>
              <w:top w:val="nil"/>
              <w:left w:val="nil"/>
              <w:bottom w:val="single" w:sz="8" w:space="0" w:color="000000"/>
              <w:right w:val="nil"/>
            </w:tcBorders>
            <w:shd w:val="clear" w:color="000000" w:fill="FFFFFF"/>
            <w:vAlign w:val="center"/>
            <w:hideMark/>
          </w:tcPr>
          <w:p w14:paraId="27DB752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4" w:type="pct"/>
            <w:tcBorders>
              <w:top w:val="nil"/>
              <w:left w:val="nil"/>
              <w:bottom w:val="single" w:sz="8" w:space="0" w:color="000000"/>
              <w:right w:val="nil"/>
            </w:tcBorders>
            <w:shd w:val="clear" w:color="000000" w:fill="FFFFFF"/>
            <w:vAlign w:val="center"/>
            <w:hideMark/>
          </w:tcPr>
          <w:p w14:paraId="292B303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nil"/>
              <w:left w:val="nil"/>
              <w:bottom w:val="single" w:sz="8" w:space="0" w:color="000000"/>
              <w:right w:val="nil"/>
            </w:tcBorders>
            <w:shd w:val="clear" w:color="000000" w:fill="FFFFFF"/>
            <w:vAlign w:val="center"/>
            <w:hideMark/>
          </w:tcPr>
          <w:p w14:paraId="78E4906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single" w:sz="8" w:space="0" w:color="000000"/>
              <w:right w:val="nil"/>
            </w:tcBorders>
            <w:shd w:val="clear" w:color="000000" w:fill="FFFFFF"/>
            <w:vAlign w:val="center"/>
            <w:hideMark/>
          </w:tcPr>
          <w:p w14:paraId="7384BFF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single" w:sz="8" w:space="0" w:color="000000"/>
              <w:right w:val="nil"/>
            </w:tcBorders>
            <w:shd w:val="clear" w:color="000000" w:fill="FFFFFF"/>
            <w:vAlign w:val="center"/>
            <w:hideMark/>
          </w:tcPr>
          <w:p w14:paraId="46C667C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single" w:sz="8" w:space="0" w:color="000000"/>
              <w:right w:val="nil"/>
            </w:tcBorders>
            <w:shd w:val="clear" w:color="000000" w:fill="FFFFFF"/>
            <w:vAlign w:val="center"/>
            <w:hideMark/>
          </w:tcPr>
          <w:p w14:paraId="4488753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single" w:sz="8" w:space="0" w:color="000000"/>
              <w:right w:val="nil"/>
            </w:tcBorders>
            <w:shd w:val="clear" w:color="000000" w:fill="FFFFFF"/>
            <w:vAlign w:val="center"/>
            <w:hideMark/>
          </w:tcPr>
          <w:p w14:paraId="4206A29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single" w:sz="8" w:space="0" w:color="000000"/>
              <w:right w:val="nil"/>
            </w:tcBorders>
            <w:shd w:val="clear" w:color="000000" w:fill="FFFFFF"/>
            <w:vAlign w:val="center"/>
            <w:hideMark/>
          </w:tcPr>
          <w:p w14:paraId="1398573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single" w:sz="8" w:space="0" w:color="000000"/>
              <w:right w:val="nil"/>
            </w:tcBorders>
            <w:shd w:val="clear" w:color="000000" w:fill="FFFFFF"/>
            <w:vAlign w:val="center"/>
            <w:hideMark/>
          </w:tcPr>
          <w:p w14:paraId="5657BDF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nil"/>
              <w:left w:val="nil"/>
              <w:bottom w:val="single" w:sz="8" w:space="0" w:color="000000"/>
              <w:right w:val="nil"/>
            </w:tcBorders>
            <w:shd w:val="clear" w:color="000000" w:fill="FFFFFF"/>
            <w:vAlign w:val="center"/>
            <w:hideMark/>
          </w:tcPr>
          <w:p w14:paraId="7F1E86E9"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single" w:sz="8" w:space="0" w:color="000000"/>
              <w:right w:val="nil"/>
            </w:tcBorders>
            <w:shd w:val="clear" w:color="000000" w:fill="FFFFFF"/>
            <w:vAlign w:val="center"/>
            <w:hideMark/>
          </w:tcPr>
          <w:p w14:paraId="512A99F8"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single" w:sz="8" w:space="0" w:color="000000"/>
              <w:right w:val="nil"/>
            </w:tcBorders>
            <w:shd w:val="clear" w:color="000000" w:fill="FFFFFF"/>
            <w:vAlign w:val="center"/>
            <w:hideMark/>
          </w:tcPr>
          <w:p w14:paraId="6A61ACB6"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single" w:sz="8" w:space="0" w:color="000000"/>
              <w:right w:val="nil"/>
            </w:tcBorders>
            <w:shd w:val="clear" w:color="000000" w:fill="FFFFFF"/>
            <w:vAlign w:val="center"/>
            <w:hideMark/>
          </w:tcPr>
          <w:p w14:paraId="402BB85B"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28" w:type="pct"/>
            <w:tcBorders>
              <w:top w:val="nil"/>
              <w:left w:val="nil"/>
              <w:bottom w:val="single" w:sz="8" w:space="0" w:color="000000"/>
              <w:right w:val="single" w:sz="8" w:space="0" w:color="000000"/>
            </w:tcBorders>
            <w:shd w:val="clear" w:color="000000" w:fill="FFFFFF"/>
            <w:vAlign w:val="center"/>
            <w:hideMark/>
          </w:tcPr>
          <w:p w14:paraId="684C46A9"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17" w:type="pct"/>
            <w:tcBorders>
              <w:top w:val="nil"/>
              <w:left w:val="nil"/>
              <w:bottom w:val="nil"/>
              <w:right w:val="nil"/>
            </w:tcBorders>
            <w:shd w:val="clear" w:color="000000" w:fill="FFFFFF"/>
            <w:vAlign w:val="center"/>
            <w:hideMark/>
          </w:tcPr>
          <w:p w14:paraId="513FA5CC" w14:textId="77777777" w:rsidR="00C97D5C" w:rsidRPr="00907622" w:rsidRDefault="00C97D5C">
            <w:pPr>
              <w:spacing w:after="0" w:line="240" w:lineRule="auto"/>
              <w:rPr>
                <w:rFonts w:ascii="Times New Roman" w:hAnsi="Times New Roman"/>
                <w:b/>
                <w:bCs/>
                <w:sz w:val="20"/>
                <w:szCs w:val="20"/>
                <w:lang w:eastAsia="sk-SK"/>
              </w:rPr>
            </w:pPr>
            <w:r w:rsidRPr="00907622">
              <w:rPr>
                <w:rFonts w:ascii="Times New Roman" w:hAnsi="Times New Roman"/>
                <w:b/>
                <w:bCs/>
                <w:sz w:val="20"/>
                <w:szCs w:val="20"/>
                <w:lang w:eastAsia="sk-SK"/>
              </w:rPr>
              <w:t> </w:t>
            </w:r>
          </w:p>
        </w:tc>
        <w:tc>
          <w:tcPr>
            <w:tcW w:w="135" w:type="pct"/>
            <w:tcBorders>
              <w:top w:val="nil"/>
              <w:left w:val="nil"/>
              <w:bottom w:val="nil"/>
              <w:right w:val="nil"/>
            </w:tcBorders>
            <w:shd w:val="clear" w:color="000000" w:fill="FFFFFF"/>
            <w:noWrap/>
            <w:vAlign w:val="center"/>
            <w:hideMark/>
          </w:tcPr>
          <w:p w14:paraId="11C86C3D"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r w:rsidR="005C3EFB" w:rsidRPr="00907622" w14:paraId="1DFEDCF0" w14:textId="77777777" w:rsidTr="00A02729">
        <w:trPr>
          <w:trHeight w:val="255"/>
          <w:jc w:val="center"/>
        </w:trPr>
        <w:tc>
          <w:tcPr>
            <w:tcW w:w="135" w:type="pct"/>
            <w:tcBorders>
              <w:top w:val="nil"/>
              <w:left w:val="nil"/>
              <w:bottom w:val="nil"/>
              <w:right w:val="nil"/>
            </w:tcBorders>
            <w:shd w:val="clear" w:color="000000" w:fill="FFFFFF"/>
            <w:noWrap/>
            <w:vAlign w:val="center"/>
            <w:hideMark/>
          </w:tcPr>
          <w:p w14:paraId="312E505D"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c>
          <w:tcPr>
            <w:tcW w:w="216" w:type="pct"/>
            <w:tcBorders>
              <w:top w:val="single" w:sz="4" w:space="0" w:color="auto"/>
              <w:left w:val="nil"/>
              <w:bottom w:val="nil"/>
              <w:right w:val="nil"/>
            </w:tcBorders>
            <w:shd w:val="clear" w:color="000000" w:fill="FFFFFF"/>
            <w:noWrap/>
            <w:vAlign w:val="center"/>
            <w:hideMark/>
          </w:tcPr>
          <w:p w14:paraId="58CDCDB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6" w:type="pct"/>
            <w:tcBorders>
              <w:top w:val="single" w:sz="4" w:space="0" w:color="auto"/>
              <w:left w:val="nil"/>
              <w:bottom w:val="nil"/>
              <w:right w:val="nil"/>
            </w:tcBorders>
            <w:shd w:val="clear" w:color="000000" w:fill="FFFFFF"/>
            <w:noWrap/>
            <w:vAlign w:val="center"/>
            <w:hideMark/>
          </w:tcPr>
          <w:p w14:paraId="6A59955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46" w:type="pct"/>
            <w:tcBorders>
              <w:top w:val="single" w:sz="4" w:space="0" w:color="auto"/>
              <w:left w:val="nil"/>
              <w:bottom w:val="nil"/>
              <w:right w:val="nil"/>
            </w:tcBorders>
            <w:shd w:val="clear" w:color="000000" w:fill="FFFFFF"/>
            <w:noWrap/>
            <w:vAlign w:val="center"/>
            <w:hideMark/>
          </w:tcPr>
          <w:p w14:paraId="09C3C6E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46" w:type="pct"/>
            <w:tcBorders>
              <w:top w:val="single" w:sz="4" w:space="0" w:color="auto"/>
              <w:left w:val="nil"/>
              <w:bottom w:val="nil"/>
              <w:right w:val="nil"/>
            </w:tcBorders>
            <w:shd w:val="clear" w:color="000000" w:fill="FFFFFF"/>
            <w:noWrap/>
            <w:vAlign w:val="center"/>
            <w:hideMark/>
          </w:tcPr>
          <w:p w14:paraId="36B1AB7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7" w:type="pct"/>
            <w:tcBorders>
              <w:top w:val="single" w:sz="4" w:space="0" w:color="auto"/>
              <w:left w:val="nil"/>
              <w:bottom w:val="nil"/>
              <w:right w:val="nil"/>
            </w:tcBorders>
            <w:shd w:val="clear" w:color="000000" w:fill="FFFFFF"/>
            <w:noWrap/>
            <w:vAlign w:val="center"/>
            <w:hideMark/>
          </w:tcPr>
          <w:p w14:paraId="590C96A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single" w:sz="4" w:space="0" w:color="auto"/>
              <w:left w:val="nil"/>
              <w:bottom w:val="nil"/>
              <w:right w:val="nil"/>
            </w:tcBorders>
            <w:shd w:val="clear" w:color="000000" w:fill="FFFFFF"/>
            <w:noWrap/>
            <w:vAlign w:val="center"/>
            <w:hideMark/>
          </w:tcPr>
          <w:p w14:paraId="52FC600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92" w:type="pct"/>
            <w:tcBorders>
              <w:top w:val="single" w:sz="4" w:space="0" w:color="auto"/>
              <w:left w:val="nil"/>
              <w:bottom w:val="nil"/>
              <w:right w:val="nil"/>
            </w:tcBorders>
            <w:shd w:val="clear" w:color="000000" w:fill="FFFFFF"/>
            <w:noWrap/>
            <w:vAlign w:val="center"/>
            <w:hideMark/>
          </w:tcPr>
          <w:p w14:paraId="36FBF050"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single" w:sz="4" w:space="0" w:color="auto"/>
              <w:left w:val="nil"/>
              <w:bottom w:val="nil"/>
              <w:right w:val="nil"/>
            </w:tcBorders>
            <w:shd w:val="clear" w:color="000000" w:fill="FFFFFF"/>
            <w:noWrap/>
            <w:vAlign w:val="center"/>
            <w:hideMark/>
          </w:tcPr>
          <w:p w14:paraId="7A3F00C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single" w:sz="4" w:space="0" w:color="auto"/>
              <w:left w:val="nil"/>
              <w:bottom w:val="nil"/>
              <w:right w:val="nil"/>
            </w:tcBorders>
            <w:shd w:val="clear" w:color="000000" w:fill="FFFFFF"/>
            <w:noWrap/>
            <w:vAlign w:val="center"/>
            <w:hideMark/>
          </w:tcPr>
          <w:p w14:paraId="5E0CE83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74" w:type="pct"/>
            <w:tcBorders>
              <w:top w:val="single" w:sz="4" w:space="0" w:color="auto"/>
              <w:left w:val="nil"/>
              <w:bottom w:val="nil"/>
              <w:right w:val="nil"/>
            </w:tcBorders>
            <w:shd w:val="clear" w:color="000000" w:fill="FFFFFF"/>
            <w:noWrap/>
            <w:vAlign w:val="center"/>
            <w:hideMark/>
          </w:tcPr>
          <w:p w14:paraId="30349836"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8" w:type="pct"/>
            <w:tcBorders>
              <w:top w:val="single" w:sz="4" w:space="0" w:color="auto"/>
              <w:left w:val="nil"/>
              <w:bottom w:val="nil"/>
              <w:right w:val="nil"/>
            </w:tcBorders>
            <w:shd w:val="clear" w:color="000000" w:fill="FFFFFF"/>
            <w:noWrap/>
            <w:vAlign w:val="center"/>
            <w:hideMark/>
          </w:tcPr>
          <w:p w14:paraId="6CC0257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single" w:sz="4" w:space="0" w:color="auto"/>
              <w:left w:val="nil"/>
              <w:bottom w:val="nil"/>
              <w:right w:val="nil"/>
            </w:tcBorders>
            <w:shd w:val="clear" w:color="000000" w:fill="FFFFFF"/>
            <w:noWrap/>
            <w:vAlign w:val="center"/>
            <w:hideMark/>
          </w:tcPr>
          <w:p w14:paraId="226AE60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single" w:sz="4" w:space="0" w:color="auto"/>
              <w:left w:val="nil"/>
              <w:bottom w:val="nil"/>
              <w:right w:val="nil"/>
            </w:tcBorders>
            <w:shd w:val="clear" w:color="000000" w:fill="FFFFFF"/>
            <w:noWrap/>
            <w:vAlign w:val="center"/>
            <w:hideMark/>
          </w:tcPr>
          <w:p w14:paraId="7A078E9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single" w:sz="4" w:space="0" w:color="auto"/>
              <w:left w:val="nil"/>
              <w:bottom w:val="nil"/>
              <w:right w:val="nil"/>
            </w:tcBorders>
            <w:shd w:val="clear" w:color="000000" w:fill="FFFFFF"/>
            <w:noWrap/>
            <w:vAlign w:val="center"/>
            <w:hideMark/>
          </w:tcPr>
          <w:p w14:paraId="0EF6B80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29FE0D8E"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84" w:type="pct"/>
            <w:tcBorders>
              <w:top w:val="nil"/>
              <w:left w:val="nil"/>
              <w:bottom w:val="nil"/>
              <w:right w:val="nil"/>
            </w:tcBorders>
            <w:shd w:val="clear" w:color="000000" w:fill="FFFFFF"/>
            <w:noWrap/>
            <w:vAlign w:val="center"/>
            <w:hideMark/>
          </w:tcPr>
          <w:p w14:paraId="125AB87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211" w:type="pct"/>
            <w:tcBorders>
              <w:top w:val="nil"/>
              <w:left w:val="nil"/>
              <w:bottom w:val="nil"/>
              <w:right w:val="nil"/>
            </w:tcBorders>
            <w:shd w:val="clear" w:color="000000" w:fill="FFFFFF"/>
            <w:noWrap/>
            <w:vAlign w:val="center"/>
            <w:hideMark/>
          </w:tcPr>
          <w:p w14:paraId="3D6433DB"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2" w:type="pct"/>
            <w:tcBorders>
              <w:top w:val="nil"/>
              <w:left w:val="nil"/>
              <w:bottom w:val="nil"/>
              <w:right w:val="nil"/>
            </w:tcBorders>
            <w:shd w:val="clear" w:color="000000" w:fill="FFFFFF"/>
            <w:noWrap/>
            <w:vAlign w:val="center"/>
            <w:hideMark/>
          </w:tcPr>
          <w:p w14:paraId="482624FC"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7A65BBD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55" w:type="pct"/>
            <w:tcBorders>
              <w:top w:val="nil"/>
              <w:left w:val="nil"/>
              <w:bottom w:val="nil"/>
              <w:right w:val="nil"/>
            </w:tcBorders>
            <w:shd w:val="clear" w:color="000000" w:fill="FFFFFF"/>
            <w:noWrap/>
            <w:vAlign w:val="center"/>
            <w:hideMark/>
          </w:tcPr>
          <w:p w14:paraId="2BE56288"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1A01D373"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5319A6A9"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1A1B90F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46" w:type="pct"/>
            <w:tcBorders>
              <w:top w:val="nil"/>
              <w:left w:val="nil"/>
              <w:bottom w:val="nil"/>
              <w:right w:val="nil"/>
            </w:tcBorders>
            <w:shd w:val="clear" w:color="000000" w:fill="FFFFFF"/>
            <w:noWrap/>
            <w:vAlign w:val="center"/>
            <w:hideMark/>
          </w:tcPr>
          <w:p w14:paraId="2E9518F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28EB8F47"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6FE45E92"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270D07B1"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28" w:type="pct"/>
            <w:tcBorders>
              <w:top w:val="nil"/>
              <w:left w:val="nil"/>
              <w:bottom w:val="nil"/>
              <w:right w:val="nil"/>
            </w:tcBorders>
            <w:shd w:val="clear" w:color="000000" w:fill="FFFFFF"/>
            <w:noWrap/>
            <w:vAlign w:val="center"/>
            <w:hideMark/>
          </w:tcPr>
          <w:p w14:paraId="39ECE67F"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17" w:type="pct"/>
            <w:tcBorders>
              <w:top w:val="nil"/>
              <w:left w:val="nil"/>
              <w:bottom w:val="nil"/>
              <w:right w:val="nil"/>
            </w:tcBorders>
            <w:shd w:val="clear" w:color="000000" w:fill="FFFFFF"/>
            <w:noWrap/>
            <w:vAlign w:val="center"/>
            <w:hideMark/>
          </w:tcPr>
          <w:p w14:paraId="50535DC4" w14:textId="77777777" w:rsidR="00C97D5C" w:rsidRPr="00907622" w:rsidRDefault="00C97D5C">
            <w:pPr>
              <w:spacing w:after="0" w:line="240" w:lineRule="auto"/>
              <w:rPr>
                <w:rFonts w:ascii="Times New Roman" w:hAnsi="Times New Roman"/>
                <w:sz w:val="20"/>
                <w:szCs w:val="20"/>
                <w:lang w:eastAsia="sk-SK"/>
              </w:rPr>
            </w:pPr>
            <w:r w:rsidRPr="00907622">
              <w:rPr>
                <w:rFonts w:ascii="Times New Roman" w:hAnsi="Times New Roman"/>
                <w:sz w:val="20"/>
                <w:szCs w:val="20"/>
                <w:lang w:eastAsia="sk-SK"/>
              </w:rPr>
              <w:t> </w:t>
            </w:r>
          </w:p>
        </w:tc>
        <w:tc>
          <w:tcPr>
            <w:tcW w:w="135" w:type="pct"/>
            <w:tcBorders>
              <w:top w:val="nil"/>
              <w:left w:val="nil"/>
              <w:bottom w:val="nil"/>
              <w:right w:val="nil"/>
            </w:tcBorders>
            <w:shd w:val="clear" w:color="000000" w:fill="FFFFFF"/>
            <w:noWrap/>
            <w:vAlign w:val="center"/>
            <w:hideMark/>
          </w:tcPr>
          <w:p w14:paraId="29411AEC" w14:textId="77777777" w:rsidR="00C97D5C" w:rsidRPr="00907622" w:rsidRDefault="00C97D5C">
            <w:pPr>
              <w:spacing w:after="0" w:line="240" w:lineRule="auto"/>
              <w:rPr>
                <w:rFonts w:ascii="Times New Roman" w:hAnsi="Times New Roman"/>
                <w:color w:val="FF0000"/>
                <w:sz w:val="20"/>
                <w:szCs w:val="20"/>
                <w:lang w:eastAsia="sk-SK"/>
              </w:rPr>
            </w:pPr>
            <w:r w:rsidRPr="00907622">
              <w:rPr>
                <w:rFonts w:ascii="Times New Roman" w:hAnsi="Times New Roman"/>
                <w:color w:val="FF0000"/>
                <w:sz w:val="20"/>
                <w:szCs w:val="20"/>
                <w:lang w:eastAsia="sk-SK"/>
              </w:rPr>
              <w:t> </w:t>
            </w:r>
          </w:p>
        </w:tc>
      </w:tr>
    </w:tbl>
    <w:p w14:paraId="029C4FE9" w14:textId="77777777" w:rsidR="00647542" w:rsidRPr="00907622" w:rsidRDefault="00647542" w:rsidP="00647542">
      <w:pPr>
        <w:spacing w:line="240" w:lineRule="auto"/>
        <w:rPr>
          <w:rFonts w:ascii="Times New Roman" w:hAnsi="Times New Roman"/>
          <w:color w:val="FF0000"/>
          <w:highlight w:val="yellow"/>
        </w:rPr>
        <w:sectPr w:rsidR="00647542" w:rsidRPr="00907622" w:rsidSect="00647542">
          <w:headerReference w:type="default" r:id="rId11"/>
          <w:footerReference w:type="even" r:id="rId12"/>
          <w:footerReference w:type="default" r:id="rId13"/>
          <w:footerReference w:type="first" r:id="rId14"/>
          <w:pgSz w:w="11906" w:h="16838"/>
          <w:pgMar w:top="1418" w:right="1134" w:bottom="1418" w:left="1134" w:header="709" w:footer="709" w:gutter="567"/>
          <w:pgNumType w:start="1"/>
          <w:cols w:space="708"/>
          <w:titlePg/>
          <w:docGrid w:linePitch="360"/>
        </w:sectPr>
      </w:pPr>
    </w:p>
    <w:p w14:paraId="20678BFC" w14:textId="77777777" w:rsidR="0082217B" w:rsidRPr="007A6DD8" w:rsidRDefault="0082217B" w:rsidP="00615E48">
      <w:pPr>
        <w:spacing w:after="0" w:line="240" w:lineRule="auto"/>
        <w:rPr>
          <w:rFonts w:ascii="Times New Roman" w:hAnsi="Times New Roman"/>
          <w:color w:val="FF0000"/>
          <w:szCs w:val="22"/>
          <w:highlight w:val="yellow"/>
        </w:rPr>
      </w:pPr>
    </w:p>
    <w:tbl>
      <w:tblPr>
        <w:tblW w:w="9356" w:type="dxa"/>
        <w:jc w:val="center"/>
        <w:tblCellMar>
          <w:left w:w="70" w:type="dxa"/>
          <w:right w:w="70" w:type="dxa"/>
        </w:tblCellMar>
        <w:tblLook w:val="04A0" w:firstRow="1" w:lastRow="0" w:firstColumn="1" w:lastColumn="0" w:noHBand="0" w:noVBand="1"/>
      </w:tblPr>
      <w:tblGrid>
        <w:gridCol w:w="618"/>
        <w:gridCol w:w="602"/>
        <w:gridCol w:w="5913"/>
        <w:gridCol w:w="1111"/>
        <w:gridCol w:w="1112"/>
      </w:tblGrid>
      <w:tr w:rsidR="00C84741" w:rsidRPr="00C84741" w14:paraId="1AE4616A" w14:textId="77777777" w:rsidTr="0085799C">
        <w:trPr>
          <w:trHeight w:val="284"/>
          <w:jc w:val="center"/>
        </w:trPr>
        <w:tc>
          <w:tcPr>
            <w:tcW w:w="5000" w:type="pct"/>
            <w:gridSpan w:val="5"/>
            <w:tcBorders>
              <w:top w:val="single" w:sz="8" w:space="0" w:color="auto"/>
              <w:left w:val="nil"/>
              <w:bottom w:val="nil"/>
              <w:right w:val="nil"/>
            </w:tcBorders>
            <w:shd w:val="clear" w:color="000000" w:fill="F4B084"/>
            <w:noWrap/>
            <w:vAlign w:val="center"/>
            <w:hideMark/>
          </w:tcPr>
          <w:p w14:paraId="2C7EE358" w14:textId="3A2081DB" w:rsidR="00C84741" w:rsidRPr="00C84741" w:rsidRDefault="00C84741" w:rsidP="00C84741">
            <w:pPr>
              <w:spacing w:after="0" w:line="240" w:lineRule="auto"/>
              <w:jc w:val="center"/>
              <w:rPr>
                <w:rFonts w:ascii="Times New Roman" w:hAnsi="Times New Roman"/>
                <w:b/>
                <w:bCs/>
                <w:color w:val="000000"/>
                <w:sz w:val="24"/>
                <w:szCs w:val="24"/>
                <w:lang w:eastAsia="sk-SK"/>
              </w:rPr>
            </w:pPr>
            <w:r w:rsidRPr="00C84741">
              <w:rPr>
                <w:rFonts w:ascii="Times New Roman" w:hAnsi="Times New Roman"/>
                <w:b/>
                <w:bCs/>
                <w:color w:val="000000"/>
                <w:sz w:val="24"/>
                <w:szCs w:val="24"/>
                <w:lang w:eastAsia="sk-SK"/>
              </w:rPr>
              <w:t xml:space="preserve">SÚVAHA K </w:t>
            </w:r>
            <w:r w:rsidR="00F418A2">
              <w:rPr>
                <w:rFonts w:ascii="Times New Roman" w:hAnsi="Times New Roman"/>
                <w:b/>
                <w:bCs/>
                <w:color w:val="000000"/>
                <w:sz w:val="24"/>
                <w:szCs w:val="24"/>
                <w:lang w:eastAsia="sk-SK"/>
              </w:rPr>
              <w:t>31.</w:t>
            </w:r>
            <w:r w:rsidR="00CE5A24">
              <w:rPr>
                <w:rFonts w:ascii="Times New Roman" w:hAnsi="Times New Roman"/>
                <w:b/>
                <w:bCs/>
                <w:color w:val="000000"/>
                <w:sz w:val="24"/>
                <w:szCs w:val="24"/>
                <w:lang w:eastAsia="sk-SK"/>
              </w:rPr>
              <w:t xml:space="preserve"> </w:t>
            </w:r>
            <w:r w:rsidR="00F418A2">
              <w:rPr>
                <w:rFonts w:ascii="Times New Roman" w:hAnsi="Times New Roman"/>
                <w:b/>
                <w:bCs/>
                <w:color w:val="000000"/>
                <w:sz w:val="24"/>
                <w:szCs w:val="24"/>
                <w:lang w:eastAsia="sk-SK"/>
              </w:rPr>
              <w:t>12.</w:t>
            </w:r>
            <w:r w:rsidR="00CE5A24">
              <w:rPr>
                <w:rFonts w:ascii="Times New Roman" w:hAnsi="Times New Roman"/>
                <w:b/>
                <w:bCs/>
                <w:color w:val="000000"/>
                <w:sz w:val="24"/>
                <w:szCs w:val="24"/>
                <w:lang w:eastAsia="sk-SK"/>
              </w:rPr>
              <w:t xml:space="preserve"> </w:t>
            </w:r>
            <w:r w:rsidR="00F418A2">
              <w:rPr>
                <w:rFonts w:ascii="Times New Roman" w:hAnsi="Times New Roman"/>
                <w:b/>
                <w:bCs/>
                <w:color w:val="000000"/>
                <w:sz w:val="24"/>
                <w:szCs w:val="24"/>
                <w:lang w:eastAsia="sk-SK"/>
              </w:rPr>
              <w:t>2024</w:t>
            </w:r>
          </w:p>
        </w:tc>
      </w:tr>
      <w:tr w:rsidR="00C84741" w:rsidRPr="00C84741" w14:paraId="4E883236" w14:textId="77777777" w:rsidTr="0085799C">
        <w:trPr>
          <w:trHeight w:val="284"/>
          <w:jc w:val="center"/>
        </w:trPr>
        <w:tc>
          <w:tcPr>
            <w:tcW w:w="5000" w:type="pct"/>
            <w:gridSpan w:val="5"/>
            <w:tcBorders>
              <w:top w:val="nil"/>
              <w:left w:val="nil"/>
              <w:bottom w:val="single" w:sz="8" w:space="0" w:color="auto"/>
              <w:right w:val="nil"/>
            </w:tcBorders>
            <w:shd w:val="clear" w:color="000000" w:fill="F4B084"/>
            <w:noWrap/>
            <w:vAlign w:val="center"/>
            <w:hideMark/>
          </w:tcPr>
          <w:p w14:paraId="4679ED0F" w14:textId="77777777" w:rsidR="00C84741" w:rsidRPr="00C84741" w:rsidRDefault="00C84741" w:rsidP="00C84741">
            <w:pPr>
              <w:spacing w:after="0" w:line="240" w:lineRule="auto"/>
              <w:jc w:val="center"/>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(v tis. eur)</w:t>
            </w:r>
          </w:p>
        </w:tc>
      </w:tr>
      <w:tr w:rsidR="00C84741" w:rsidRPr="00C84741" w14:paraId="1D595152" w14:textId="77777777" w:rsidTr="00C84741">
        <w:trPr>
          <w:trHeight w:val="284"/>
          <w:jc w:val="center"/>
        </w:trPr>
        <w:tc>
          <w:tcPr>
            <w:tcW w:w="327" w:type="pct"/>
            <w:tcBorders>
              <w:top w:val="nil"/>
              <w:left w:val="nil"/>
              <w:bottom w:val="single" w:sz="8" w:space="0" w:color="auto"/>
              <w:right w:val="nil"/>
            </w:tcBorders>
            <w:shd w:val="clear" w:color="000000" w:fill="BDD7EE"/>
            <w:noWrap/>
            <w:vAlign w:val="center"/>
            <w:hideMark/>
          </w:tcPr>
          <w:p w14:paraId="59FB32AF" w14:textId="77777777" w:rsidR="00C84741" w:rsidRPr="00C84741" w:rsidRDefault="00C84741" w:rsidP="00C84741">
            <w:pPr>
              <w:spacing w:after="0" w:line="240" w:lineRule="auto"/>
              <w:rPr>
                <w:rFonts w:ascii="Times New Roman" w:hAnsi="Times New Roman"/>
                <w:b/>
                <w:bCs/>
                <w:color w:val="FF0000"/>
                <w:sz w:val="20"/>
                <w:szCs w:val="20"/>
                <w:lang w:eastAsia="sk-SK"/>
              </w:rPr>
            </w:pPr>
            <w:r w:rsidRPr="00C84741">
              <w:rPr>
                <w:rFonts w:ascii="Times New Roman" w:hAnsi="Times New Roman"/>
                <w:b/>
                <w:bCs/>
                <w:color w:val="FF0000"/>
                <w:sz w:val="20"/>
                <w:szCs w:val="20"/>
                <w:lang w:eastAsia="sk-SK"/>
              </w:rPr>
              <w:t> </w:t>
            </w:r>
          </w:p>
        </w:tc>
        <w:tc>
          <w:tcPr>
            <w:tcW w:w="316" w:type="pct"/>
            <w:tcBorders>
              <w:top w:val="nil"/>
              <w:left w:val="nil"/>
              <w:bottom w:val="single" w:sz="8" w:space="0" w:color="auto"/>
              <w:right w:val="nil"/>
            </w:tcBorders>
            <w:shd w:val="clear" w:color="000000" w:fill="BDD7EE"/>
            <w:noWrap/>
            <w:vAlign w:val="center"/>
            <w:hideMark/>
          </w:tcPr>
          <w:p w14:paraId="14D44116" w14:textId="77777777" w:rsidR="00C84741" w:rsidRPr="00C84741" w:rsidRDefault="00C84741" w:rsidP="00C84741">
            <w:pPr>
              <w:spacing w:after="0" w:line="240" w:lineRule="auto"/>
              <w:rPr>
                <w:rFonts w:ascii="Times New Roman" w:hAnsi="Times New Roman"/>
                <w:b/>
                <w:bCs/>
                <w:color w:val="FF0000"/>
                <w:sz w:val="20"/>
                <w:szCs w:val="20"/>
                <w:lang w:eastAsia="sk-SK"/>
              </w:rPr>
            </w:pPr>
            <w:r w:rsidRPr="00C84741">
              <w:rPr>
                <w:rFonts w:ascii="Times New Roman" w:hAnsi="Times New Roman"/>
                <w:b/>
                <w:bCs/>
                <w:color w:val="FF0000"/>
                <w:sz w:val="20"/>
                <w:szCs w:val="20"/>
                <w:lang w:eastAsia="sk-SK"/>
              </w:rPr>
              <w:t> </w:t>
            </w:r>
          </w:p>
        </w:tc>
        <w:tc>
          <w:tcPr>
            <w:tcW w:w="3163" w:type="pct"/>
            <w:tcBorders>
              <w:top w:val="nil"/>
              <w:left w:val="nil"/>
              <w:bottom w:val="single" w:sz="8" w:space="0" w:color="auto"/>
              <w:right w:val="nil"/>
            </w:tcBorders>
            <w:shd w:val="clear" w:color="000000" w:fill="BDD7EE"/>
            <w:noWrap/>
            <w:vAlign w:val="center"/>
            <w:hideMark/>
          </w:tcPr>
          <w:p w14:paraId="2DD1B6D8" w14:textId="77777777" w:rsidR="00C84741" w:rsidRPr="00C84741" w:rsidRDefault="00C84741" w:rsidP="00C84741">
            <w:pPr>
              <w:spacing w:after="0" w:line="240" w:lineRule="auto"/>
              <w:jc w:val="center"/>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AKTÍVA</w:t>
            </w:r>
          </w:p>
        </w:tc>
        <w:tc>
          <w:tcPr>
            <w:tcW w:w="597" w:type="pct"/>
            <w:tcBorders>
              <w:top w:val="nil"/>
              <w:left w:val="nil"/>
              <w:bottom w:val="single" w:sz="8" w:space="0" w:color="auto"/>
              <w:right w:val="nil"/>
            </w:tcBorders>
            <w:shd w:val="clear" w:color="000000" w:fill="BDD7EE"/>
            <w:noWrap/>
            <w:vAlign w:val="center"/>
            <w:hideMark/>
          </w:tcPr>
          <w:p w14:paraId="61604BBE" w14:textId="77777777" w:rsidR="00C84741" w:rsidRPr="00C84741" w:rsidRDefault="00C84741" w:rsidP="00C84741">
            <w:pPr>
              <w:spacing w:after="0" w:line="240" w:lineRule="auto"/>
              <w:jc w:val="center"/>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2024</w:t>
            </w:r>
          </w:p>
        </w:tc>
        <w:tc>
          <w:tcPr>
            <w:tcW w:w="597" w:type="pct"/>
            <w:tcBorders>
              <w:top w:val="nil"/>
              <w:left w:val="nil"/>
              <w:bottom w:val="single" w:sz="8" w:space="0" w:color="auto"/>
              <w:right w:val="nil"/>
            </w:tcBorders>
            <w:shd w:val="clear" w:color="000000" w:fill="BDD7EE"/>
            <w:noWrap/>
            <w:vAlign w:val="center"/>
            <w:hideMark/>
          </w:tcPr>
          <w:p w14:paraId="4646989B" w14:textId="77777777" w:rsidR="00C84741" w:rsidRPr="00C84741" w:rsidRDefault="00C84741" w:rsidP="00C84741">
            <w:pPr>
              <w:spacing w:after="0" w:line="240" w:lineRule="auto"/>
              <w:jc w:val="center"/>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2023</w:t>
            </w:r>
          </w:p>
        </w:tc>
      </w:tr>
      <w:tr w:rsidR="00C84741" w:rsidRPr="00C84741" w14:paraId="74F8D02E" w14:textId="77777777" w:rsidTr="0085799C">
        <w:trPr>
          <w:trHeight w:val="284"/>
          <w:jc w:val="center"/>
        </w:trPr>
        <w:tc>
          <w:tcPr>
            <w:tcW w:w="3805" w:type="pct"/>
            <w:gridSpan w:val="3"/>
            <w:tcBorders>
              <w:top w:val="single" w:sz="8" w:space="0" w:color="auto"/>
              <w:left w:val="nil"/>
              <w:bottom w:val="nil"/>
              <w:right w:val="nil"/>
            </w:tcBorders>
            <w:noWrap/>
            <w:vAlign w:val="center"/>
            <w:hideMark/>
          </w:tcPr>
          <w:p w14:paraId="0691768F" w14:textId="77777777" w:rsidR="00C84741" w:rsidRPr="00C84741" w:rsidRDefault="00C84741" w:rsidP="00C84741">
            <w:pPr>
              <w:spacing w:after="0" w:line="240" w:lineRule="auto"/>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MAJETOK SPOLU (A+B+C)</w:t>
            </w:r>
          </w:p>
        </w:tc>
        <w:tc>
          <w:tcPr>
            <w:tcW w:w="597" w:type="pct"/>
            <w:tcBorders>
              <w:top w:val="nil"/>
              <w:left w:val="nil"/>
              <w:bottom w:val="nil"/>
              <w:right w:val="nil"/>
            </w:tcBorders>
            <w:noWrap/>
            <w:vAlign w:val="center"/>
            <w:hideMark/>
          </w:tcPr>
          <w:p w14:paraId="157DEF2B"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94 706 512</w:t>
            </w:r>
          </w:p>
        </w:tc>
        <w:tc>
          <w:tcPr>
            <w:tcW w:w="597" w:type="pct"/>
            <w:tcBorders>
              <w:top w:val="nil"/>
              <w:left w:val="nil"/>
              <w:bottom w:val="nil"/>
              <w:right w:val="nil"/>
            </w:tcBorders>
            <w:noWrap/>
            <w:vAlign w:val="center"/>
            <w:hideMark/>
          </w:tcPr>
          <w:p w14:paraId="1B4D0656"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89 831 258</w:t>
            </w:r>
          </w:p>
        </w:tc>
      </w:tr>
      <w:tr w:rsidR="00C84741" w:rsidRPr="00C84741" w14:paraId="21936D38" w14:textId="77777777" w:rsidTr="00C84741">
        <w:trPr>
          <w:trHeight w:val="284"/>
          <w:jc w:val="center"/>
        </w:trPr>
        <w:tc>
          <w:tcPr>
            <w:tcW w:w="327" w:type="pct"/>
            <w:tcBorders>
              <w:top w:val="nil"/>
              <w:left w:val="nil"/>
              <w:bottom w:val="nil"/>
              <w:right w:val="nil"/>
            </w:tcBorders>
            <w:noWrap/>
            <w:vAlign w:val="center"/>
            <w:hideMark/>
          </w:tcPr>
          <w:p w14:paraId="085764BC" w14:textId="77777777" w:rsidR="00C84741" w:rsidRPr="00C84741" w:rsidRDefault="00C84741" w:rsidP="00C84741">
            <w:pPr>
              <w:spacing w:after="0" w:line="240" w:lineRule="auto"/>
              <w:jc w:val="center"/>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A.</w:t>
            </w:r>
          </w:p>
        </w:tc>
        <w:tc>
          <w:tcPr>
            <w:tcW w:w="316" w:type="pct"/>
            <w:tcBorders>
              <w:top w:val="nil"/>
              <w:left w:val="nil"/>
              <w:bottom w:val="nil"/>
              <w:right w:val="nil"/>
            </w:tcBorders>
            <w:noWrap/>
            <w:vAlign w:val="center"/>
            <w:hideMark/>
          </w:tcPr>
          <w:p w14:paraId="1BC022B1" w14:textId="77777777" w:rsidR="00C84741" w:rsidRPr="00C84741" w:rsidRDefault="00C84741" w:rsidP="00C84741">
            <w:pPr>
              <w:spacing w:after="0" w:line="240" w:lineRule="auto"/>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pozn.</w:t>
            </w:r>
          </w:p>
        </w:tc>
        <w:tc>
          <w:tcPr>
            <w:tcW w:w="3163" w:type="pct"/>
            <w:tcBorders>
              <w:top w:val="nil"/>
              <w:left w:val="nil"/>
              <w:bottom w:val="nil"/>
              <w:right w:val="nil"/>
            </w:tcBorders>
            <w:noWrap/>
            <w:vAlign w:val="center"/>
            <w:hideMark/>
          </w:tcPr>
          <w:p w14:paraId="34FFA217" w14:textId="77777777" w:rsidR="00C84741" w:rsidRPr="00C84741" w:rsidRDefault="00C84741" w:rsidP="00C84741">
            <w:pPr>
              <w:spacing w:after="0" w:line="240" w:lineRule="auto"/>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Dlhodobý majetok (A.I. až A.IV.)</w:t>
            </w:r>
          </w:p>
        </w:tc>
        <w:tc>
          <w:tcPr>
            <w:tcW w:w="597" w:type="pct"/>
            <w:tcBorders>
              <w:top w:val="nil"/>
              <w:left w:val="nil"/>
              <w:bottom w:val="nil"/>
              <w:right w:val="nil"/>
            </w:tcBorders>
            <w:noWrap/>
            <w:vAlign w:val="center"/>
            <w:hideMark/>
          </w:tcPr>
          <w:p w14:paraId="4DFA1243"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71 820 908</w:t>
            </w:r>
          </w:p>
        </w:tc>
        <w:tc>
          <w:tcPr>
            <w:tcW w:w="597" w:type="pct"/>
            <w:tcBorders>
              <w:top w:val="nil"/>
              <w:left w:val="nil"/>
              <w:bottom w:val="nil"/>
              <w:right w:val="nil"/>
            </w:tcBorders>
            <w:noWrap/>
            <w:vAlign w:val="center"/>
            <w:hideMark/>
          </w:tcPr>
          <w:p w14:paraId="0D9B803D"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68 884 016</w:t>
            </w:r>
          </w:p>
        </w:tc>
      </w:tr>
      <w:tr w:rsidR="00C84741" w:rsidRPr="00C84741" w14:paraId="0D7233A7" w14:textId="77777777" w:rsidTr="00C84741">
        <w:trPr>
          <w:trHeight w:val="284"/>
          <w:jc w:val="center"/>
        </w:trPr>
        <w:tc>
          <w:tcPr>
            <w:tcW w:w="327" w:type="pct"/>
            <w:tcBorders>
              <w:top w:val="nil"/>
              <w:left w:val="nil"/>
              <w:bottom w:val="nil"/>
              <w:right w:val="nil"/>
            </w:tcBorders>
            <w:noWrap/>
            <w:vAlign w:val="center"/>
            <w:hideMark/>
          </w:tcPr>
          <w:p w14:paraId="2FD1B4A4"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A.I.</w:t>
            </w:r>
          </w:p>
        </w:tc>
        <w:tc>
          <w:tcPr>
            <w:tcW w:w="316" w:type="pct"/>
            <w:tcBorders>
              <w:top w:val="nil"/>
              <w:left w:val="nil"/>
              <w:bottom w:val="nil"/>
              <w:right w:val="nil"/>
            </w:tcBorders>
            <w:noWrap/>
            <w:vAlign w:val="center"/>
            <w:hideMark/>
          </w:tcPr>
          <w:p w14:paraId="1B0BD35E"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p>
        </w:tc>
        <w:tc>
          <w:tcPr>
            <w:tcW w:w="3163" w:type="pct"/>
            <w:tcBorders>
              <w:top w:val="nil"/>
              <w:left w:val="nil"/>
              <w:bottom w:val="nil"/>
              <w:right w:val="nil"/>
            </w:tcBorders>
            <w:noWrap/>
            <w:vAlign w:val="center"/>
            <w:hideMark/>
          </w:tcPr>
          <w:p w14:paraId="2FB8842F" w14:textId="77777777" w:rsidR="00C84741" w:rsidRPr="00C84741" w:rsidRDefault="00C84741" w:rsidP="00C84741">
            <w:pPr>
              <w:spacing w:after="0" w:line="240" w:lineRule="auto"/>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Nehmotný majetok</w:t>
            </w:r>
          </w:p>
        </w:tc>
        <w:tc>
          <w:tcPr>
            <w:tcW w:w="597" w:type="pct"/>
            <w:tcBorders>
              <w:top w:val="nil"/>
              <w:left w:val="nil"/>
              <w:bottom w:val="nil"/>
              <w:right w:val="nil"/>
            </w:tcBorders>
            <w:noWrap/>
            <w:vAlign w:val="center"/>
            <w:hideMark/>
          </w:tcPr>
          <w:p w14:paraId="54B3BA0B"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761 899</w:t>
            </w:r>
          </w:p>
        </w:tc>
        <w:tc>
          <w:tcPr>
            <w:tcW w:w="597" w:type="pct"/>
            <w:tcBorders>
              <w:top w:val="nil"/>
              <w:left w:val="nil"/>
              <w:bottom w:val="nil"/>
              <w:right w:val="nil"/>
            </w:tcBorders>
            <w:noWrap/>
            <w:vAlign w:val="center"/>
            <w:hideMark/>
          </w:tcPr>
          <w:p w14:paraId="0DF50FF7"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772 091</w:t>
            </w:r>
          </w:p>
        </w:tc>
      </w:tr>
      <w:tr w:rsidR="00C84741" w:rsidRPr="00C84741" w14:paraId="6D9684F9" w14:textId="77777777" w:rsidTr="00C84741">
        <w:trPr>
          <w:trHeight w:val="284"/>
          <w:jc w:val="center"/>
        </w:trPr>
        <w:tc>
          <w:tcPr>
            <w:tcW w:w="327" w:type="pct"/>
            <w:tcBorders>
              <w:top w:val="nil"/>
              <w:left w:val="nil"/>
              <w:bottom w:val="nil"/>
              <w:right w:val="nil"/>
            </w:tcBorders>
            <w:noWrap/>
            <w:vAlign w:val="center"/>
            <w:hideMark/>
          </w:tcPr>
          <w:p w14:paraId="713434A1"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p>
        </w:tc>
        <w:tc>
          <w:tcPr>
            <w:tcW w:w="316" w:type="pct"/>
            <w:tcBorders>
              <w:top w:val="nil"/>
              <w:left w:val="nil"/>
              <w:bottom w:val="nil"/>
              <w:right w:val="nil"/>
            </w:tcBorders>
            <w:noWrap/>
            <w:vAlign w:val="center"/>
            <w:hideMark/>
          </w:tcPr>
          <w:p w14:paraId="7AD3EFB5" w14:textId="59807A5D" w:rsidR="00C84741" w:rsidRPr="00C84741" w:rsidRDefault="00E760C1" w:rsidP="00C84741">
            <w:pPr>
              <w:spacing w:after="0" w:line="240" w:lineRule="auto"/>
              <w:jc w:val="center"/>
              <w:rPr>
                <w:rFonts w:ascii="Times New Roman" w:hAnsi="Times New Roman"/>
                <w:i/>
                <w:iCs/>
                <w:color w:val="000000"/>
                <w:sz w:val="19"/>
                <w:szCs w:val="19"/>
                <w:lang w:eastAsia="sk-SK"/>
              </w:rPr>
            </w:pPr>
            <w:hyperlink w:anchor="_Softvér" w:history="1">
              <w:r w:rsidRPr="00E760C1">
                <w:rPr>
                  <w:rStyle w:val="Hypertextovprepojenie"/>
                  <w:rFonts w:ascii="Times New Roman" w:hAnsi="Times New Roman"/>
                  <w:i/>
                  <w:iCs/>
                  <w:sz w:val="19"/>
                  <w:szCs w:val="19"/>
                  <w:lang w:eastAsia="sk-SK"/>
                </w:rPr>
                <w:t>1</w:t>
              </w:r>
            </w:hyperlink>
          </w:p>
        </w:tc>
        <w:tc>
          <w:tcPr>
            <w:tcW w:w="3163" w:type="pct"/>
            <w:tcBorders>
              <w:top w:val="nil"/>
              <w:left w:val="nil"/>
              <w:bottom w:val="nil"/>
              <w:right w:val="nil"/>
            </w:tcBorders>
            <w:noWrap/>
            <w:vAlign w:val="center"/>
            <w:hideMark/>
          </w:tcPr>
          <w:p w14:paraId="2F9FF043"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v tom   softvér</w:t>
            </w:r>
          </w:p>
        </w:tc>
        <w:tc>
          <w:tcPr>
            <w:tcW w:w="597" w:type="pct"/>
            <w:tcBorders>
              <w:top w:val="nil"/>
              <w:left w:val="nil"/>
              <w:bottom w:val="nil"/>
              <w:right w:val="nil"/>
            </w:tcBorders>
            <w:noWrap/>
            <w:vAlign w:val="center"/>
            <w:hideMark/>
          </w:tcPr>
          <w:p w14:paraId="25D0F769"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570 281</w:t>
            </w:r>
          </w:p>
        </w:tc>
        <w:tc>
          <w:tcPr>
            <w:tcW w:w="597" w:type="pct"/>
            <w:tcBorders>
              <w:top w:val="nil"/>
              <w:left w:val="nil"/>
              <w:bottom w:val="nil"/>
              <w:right w:val="nil"/>
            </w:tcBorders>
            <w:noWrap/>
            <w:vAlign w:val="center"/>
            <w:hideMark/>
          </w:tcPr>
          <w:p w14:paraId="5CB02C0B"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525 484</w:t>
            </w:r>
          </w:p>
        </w:tc>
      </w:tr>
      <w:tr w:rsidR="00C84741" w:rsidRPr="00C84741" w14:paraId="2A3492FD" w14:textId="77777777" w:rsidTr="00C84741">
        <w:trPr>
          <w:trHeight w:val="284"/>
          <w:jc w:val="center"/>
        </w:trPr>
        <w:tc>
          <w:tcPr>
            <w:tcW w:w="327" w:type="pct"/>
            <w:tcBorders>
              <w:top w:val="nil"/>
              <w:left w:val="nil"/>
              <w:bottom w:val="nil"/>
              <w:right w:val="nil"/>
            </w:tcBorders>
            <w:noWrap/>
            <w:vAlign w:val="center"/>
            <w:hideMark/>
          </w:tcPr>
          <w:p w14:paraId="427842A3"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p>
        </w:tc>
        <w:tc>
          <w:tcPr>
            <w:tcW w:w="316" w:type="pct"/>
            <w:tcBorders>
              <w:top w:val="nil"/>
              <w:left w:val="nil"/>
              <w:bottom w:val="nil"/>
              <w:right w:val="nil"/>
            </w:tcBorders>
            <w:noWrap/>
            <w:vAlign w:val="center"/>
            <w:hideMark/>
          </w:tcPr>
          <w:p w14:paraId="1AA13C90" w14:textId="1425C0CC"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Oceniteľné_práva" w:history="1">
              <w:r w:rsidRPr="00E760C1">
                <w:rPr>
                  <w:rStyle w:val="Hypertextovprepojenie"/>
                  <w:rFonts w:ascii="Times New Roman" w:hAnsi="Times New Roman"/>
                  <w:i/>
                  <w:iCs/>
                  <w:sz w:val="19"/>
                  <w:szCs w:val="19"/>
                  <w:lang w:eastAsia="sk-SK"/>
                </w:rPr>
                <w:t>2</w:t>
              </w:r>
            </w:hyperlink>
          </w:p>
        </w:tc>
        <w:tc>
          <w:tcPr>
            <w:tcW w:w="3163" w:type="pct"/>
            <w:tcBorders>
              <w:top w:val="nil"/>
              <w:left w:val="nil"/>
              <w:bottom w:val="nil"/>
              <w:right w:val="nil"/>
            </w:tcBorders>
            <w:noWrap/>
            <w:vAlign w:val="center"/>
            <w:hideMark/>
          </w:tcPr>
          <w:p w14:paraId="369D0F85"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 xml:space="preserve">            oceniteľné práva</w:t>
            </w:r>
          </w:p>
        </w:tc>
        <w:tc>
          <w:tcPr>
            <w:tcW w:w="597" w:type="pct"/>
            <w:tcBorders>
              <w:top w:val="nil"/>
              <w:left w:val="nil"/>
              <w:bottom w:val="nil"/>
              <w:right w:val="nil"/>
            </w:tcBorders>
            <w:noWrap/>
            <w:vAlign w:val="center"/>
            <w:hideMark/>
          </w:tcPr>
          <w:p w14:paraId="4269256D"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35 005</w:t>
            </w:r>
          </w:p>
        </w:tc>
        <w:tc>
          <w:tcPr>
            <w:tcW w:w="597" w:type="pct"/>
            <w:tcBorders>
              <w:top w:val="nil"/>
              <w:left w:val="nil"/>
              <w:bottom w:val="nil"/>
              <w:right w:val="nil"/>
            </w:tcBorders>
            <w:noWrap/>
            <w:vAlign w:val="center"/>
            <w:hideMark/>
          </w:tcPr>
          <w:p w14:paraId="56CDA4B5"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34 486</w:t>
            </w:r>
          </w:p>
        </w:tc>
      </w:tr>
      <w:tr w:rsidR="00C84741" w:rsidRPr="00C84741" w14:paraId="4BD14715" w14:textId="77777777" w:rsidTr="00C84741">
        <w:trPr>
          <w:trHeight w:val="284"/>
          <w:jc w:val="center"/>
        </w:trPr>
        <w:tc>
          <w:tcPr>
            <w:tcW w:w="327" w:type="pct"/>
            <w:tcBorders>
              <w:top w:val="nil"/>
              <w:left w:val="nil"/>
              <w:bottom w:val="nil"/>
              <w:right w:val="nil"/>
            </w:tcBorders>
            <w:noWrap/>
            <w:vAlign w:val="center"/>
            <w:hideMark/>
          </w:tcPr>
          <w:p w14:paraId="3DF7C894"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p>
        </w:tc>
        <w:tc>
          <w:tcPr>
            <w:tcW w:w="316" w:type="pct"/>
            <w:tcBorders>
              <w:top w:val="nil"/>
              <w:left w:val="nil"/>
              <w:bottom w:val="nil"/>
              <w:right w:val="nil"/>
            </w:tcBorders>
            <w:noWrap/>
            <w:vAlign w:val="center"/>
            <w:hideMark/>
          </w:tcPr>
          <w:p w14:paraId="65D6B958" w14:textId="26BF9386"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Obstaranie_nehmotného_majteku" w:history="1">
              <w:r w:rsidRPr="00E760C1">
                <w:rPr>
                  <w:rStyle w:val="Hypertextovprepojenie"/>
                  <w:rFonts w:ascii="Times New Roman" w:hAnsi="Times New Roman"/>
                  <w:i/>
                  <w:iCs/>
                  <w:sz w:val="19"/>
                  <w:szCs w:val="19"/>
                  <w:lang w:eastAsia="sk-SK"/>
                </w:rPr>
                <w:t>3</w:t>
              </w:r>
            </w:hyperlink>
          </w:p>
        </w:tc>
        <w:tc>
          <w:tcPr>
            <w:tcW w:w="3163" w:type="pct"/>
            <w:tcBorders>
              <w:top w:val="nil"/>
              <w:left w:val="nil"/>
              <w:bottom w:val="nil"/>
              <w:right w:val="nil"/>
            </w:tcBorders>
            <w:noWrap/>
            <w:vAlign w:val="center"/>
            <w:hideMark/>
          </w:tcPr>
          <w:p w14:paraId="79914E2A"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 xml:space="preserve">            obstaranie nehmotného majetku</w:t>
            </w:r>
          </w:p>
        </w:tc>
        <w:tc>
          <w:tcPr>
            <w:tcW w:w="597" w:type="pct"/>
            <w:tcBorders>
              <w:top w:val="nil"/>
              <w:left w:val="nil"/>
              <w:bottom w:val="nil"/>
              <w:right w:val="nil"/>
            </w:tcBorders>
            <w:noWrap/>
            <w:vAlign w:val="center"/>
            <w:hideMark/>
          </w:tcPr>
          <w:p w14:paraId="5670A25C"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106 556</w:t>
            </w:r>
          </w:p>
        </w:tc>
        <w:tc>
          <w:tcPr>
            <w:tcW w:w="597" w:type="pct"/>
            <w:tcBorders>
              <w:top w:val="nil"/>
              <w:left w:val="nil"/>
              <w:bottom w:val="nil"/>
              <w:right w:val="nil"/>
            </w:tcBorders>
            <w:noWrap/>
            <w:vAlign w:val="center"/>
            <w:hideMark/>
          </w:tcPr>
          <w:p w14:paraId="3A117C10"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159 583</w:t>
            </w:r>
          </w:p>
        </w:tc>
      </w:tr>
      <w:tr w:rsidR="00C84741" w:rsidRPr="00C84741" w14:paraId="2E8C5222" w14:textId="77777777" w:rsidTr="00C84741">
        <w:trPr>
          <w:trHeight w:val="284"/>
          <w:jc w:val="center"/>
        </w:trPr>
        <w:tc>
          <w:tcPr>
            <w:tcW w:w="327" w:type="pct"/>
            <w:tcBorders>
              <w:top w:val="nil"/>
              <w:left w:val="nil"/>
              <w:bottom w:val="nil"/>
              <w:right w:val="nil"/>
            </w:tcBorders>
            <w:noWrap/>
            <w:vAlign w:val="center"/>
            <w:hideMark/>
          </w:tcPr>
          <w:p w14:paraId="36A0BF3B"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p>
        </w:tc>
        <w:tc>
          <w:tcPr>
            <w:tcW w:w="316" w:type="pct"/>
            <w:tcBorders>
              <w:top w:val="nil"/>
              <w:left w:val="nil"/>
              <w:bottom w:val="nil"/>
              <w:right w:val="nil"/>
            </w:tcBorders>
            <w:noWrap/>
            <w:vAlign w:val="center"/>
            <w:hideMark/>
          </w:tcPr>
          <w:p w14:paraId="4FD502AA" w14:textId="4D1F2A57"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Ostatný_nehmotný_majetok" w:history="1">
              <w:r w:rsidRPr="00E760C1">
                <w:rPr>
                  <w:rStyle w:val="Hypertextovprepojenie"/>
                  <w:rFonts w:ascii="Times New Roman" w:hAnsi="Times New Roman"/>
                  <w:i/>
                  <w:iCs/>
                  <w:sz w:val="19"/>
                  <w:szCs w:val="19"/>
                  <w:lang w:eastAsia="sk-SK"/>
                </w:rPr>
                <w:t>4</w:t>
              </w:r>
            </w:hyperlink>
          </w:p>
        </w:tc>
        <w:tc>
          <w:tcPr>
            <w:tcW w:w="3163" w:type="pct"/>
            <w:tcBorders>
              <w:top w:val="nil"/>
              <w:left w:val="nil"/>
              <w:bottom w:val="nil"/>
              <w:right w:val="nil"/>
            </w:tcBorders>
            <w:noWrap/>
            <w:vAlign w:val="center"/>
            <w:hideMark/>
          </w:tcPr>
          <w:p w14:paraId="39D4117E"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 xml:space="preserve">            ostatný nehmotný majetok</w:t>
            </w:r>
          </w:p>
        </w:tc>
        <w:tc>
          <w:tcPr>
            <w:tcW w:w="597" w:type="pct"/>
            <w:tcBorders>
              <w:top w:val="nil"/>
              <w:left w:val="nil"/>
              <w:bottom w:val="nil"/>
              <w:right w:val="nil"/>
            </w:tcBorders>
            <w:noWrap/>
            <w:vAlign w:val="center"/>
            <w:hideMark/>
          </w:tcPr>
          <w:p w14:paraId="17AFF188"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50 057</w:t>
            </w:r>
          </w:p>
        </w:tc>
        <w:tc>
          <w:tcPr>
            <w:tcW w:w="597" w:type="pct"/>
            <w:tcBorders>
              <w:top w:val="nil"/>
              <w:left w:val="nil"/>
              <w:bottom w:val="nil"/>
              <w:right w:val="nil"/>
            </w:tcBorders>
            <w:noWrap/>
            <w:vAlign w:val="center"/>
            <w:hideMark/>
          </w:tcPr>
          <w:p w14:paraId="53D1B151"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52 538</w:t>
            </w:r>
          </w:p>
        </w:tc>
      </w:tr>
      <w:tr w:rsidR="00C84741" w:rsidRPr="00C84741" w14:paraId="62FAC2FE" w14:textId="77777777" w:rsidTr="00C84741">
        <w:trPr>
          <w:trHeight w:val="284"/>
          <w:jc w:val="center"/>
        </w:trPr>
        <w:tc>
          <w:tcPr>
            <w:tcW w:w="327" w:type="pct"/>
            <w:tcBorders>
              <w:top w:val="nil"/>
              <w:left w:val="nil"/>
              <w:bottom w:val="nil"/>
              <w:right w:val="nil"/>
            </w:tcBorders>
            <w:noWrap/>
            <w:vAlign w:val="center"/>
            <w:hideMark/>
          </w:tcPr>
          <w:p w14:paraId="5837B6CB"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A.II.</w:t>
            </w:r>
          </w:p>
        </w:tc>
        <w:tc>
          <w:tcPr>
            <w:tcW w:w="316" w:type="pct"/>
            <w:tcBorders>
              <w:top w:val="nil"/>
              <w:left w:val="nil"/>
              <w:bottom w:val="nil"/>
              <w:right w:val="nil"/>
            </w:tcBorders>
            <w:noWrap/>
            <w:vAlign w:val="center"/>
            <w:hideMark/>
          </w:tcPr>
          <w:p w14:paraId="6C6C7EC8"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p>
        </w:tc>
        <w:tc>
          <w:tcPr>
            <w:tcW w:w="3163" w:type="pct"/>
            <w:tcBorders>
              <w:top w:val="nil"/>
              <w:left w:val="nil"/>
              <w:bottom w:val="nil"/>
              <w:right w:val="nil"/>
            </w:tcBorders>
            <w:noWrap/>
            <w:vAlign w:val="center"/>
            <w:hideMark/>
          </w:tcPr>
          <w:p w14:paraId="1948B439" w14:textId="77777777" w:rsidR="00C84741" w:rsidRPr="00C84741" w:rsidRDefault="00C84741" w:rsidP="00C84741">
            <w:pPr>
              <w:spacing w:after="0" w:line="240" w:lineRule="auto"/>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Hmotný majetok</w:t>
            </w:r>
          </w:p>
        </w:tc>
        <w:tc>
          <w:tcPr>
            <w:tcW w:w="597" w:type="pct"/>
            <w:tcBorders>
              <w:top w:val="nil"/>
              <w:left w:val="nil"/>
              <w:bottom w:val="nil"/>
              <w:right w:val="nil"/>
            </w:tcBorders>
            <w:noWrap/>
            <w:vAlign w:val="center"/>
            <w:hideMark/>
          </w:tcPr>
          <w:p w14:paraId="1536A209"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60 980 349</w:t>
            </w:r>
          </w:p>
        </w:tc>
        <w:tc>
          <w:tcPr>
            <w:tcW w:w="597" w:type="pct"/>
            <w:tcBorders>
              <w:top w:val="nil"/>
              <w:left w:val="nil"/>
              <w:bottom w:val="nil"/>
              <w:right w:val="nil"/>
            </w:tcBorders>
            <w:noWrap/>
            <w:vAlign w:val="center"/>
            <w:hideMark/>
          </w:tcPr>
          <w:p w14:paraId="6BF2F701"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58 586 446</w:t>
            </w:r>
          </w:p>
        </w:tc>
      </w:tr>
      <w:tr w:rsidR="00C84741" w:rsidRPr="00C84741" w14:paraId="0941E34C" w14:textId="77777777" w:rsidTr="00C84741">
        <w:trPr>
          <w:trHeight w:val="284"/>
          <w:jc w:val="center"/>
        </w:trPr>
        <w:tc>
          <w:tcPr>
            <w:tcW w:w="327" w:type="pct"/>
            <w:tcBorders>
              <w:top w:val="nil"/>
              <w:left w:val="nil"/>
              <w:bottom w:val="nil"/>
              <w:right w:val="nil"/>
            </w:tcBorders>
            <w:noWrap/>
            <w:vAlign w:val="center"/>
            <w:hideMark/>
          </w:tcPr>
          <w:p w14:paraId="49177E30"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p>
        </w:tc>
        <w:tc>
          <w:tcPr>
            <w:tcW w:w="316" w:type="pct"/>
            <w:tcBorders>
              <w:top w:val="nil"/>
              <w:left w:val="nil"/>
              <w:bottom w:val="nil"/>
              <w:right w:val="nil"/>
            </w:tcBorders>
            <w:noWrap/>
            <w:vAlign w:val="center"/>
            <w:hideMark/>
          </w:tcPr>
          <w:p w14:paraId="2550D134" w14:textId="3EDB0E7C"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Stavby" w:history="1">
              <w:r w:rsidRPr="00E760C1">
                <w:rPr>
                  <w:rStyle w:val="Hypertextovprepojenie"/>
                  <w:rFonts w:ascii="Times New Roman" w:hAnsi="Times New Roman"/>
                  <w:i/>
                  <w:iCs/>
                  <w:sz w:val="19"/>
                  <w:szCs w:val="19"/>
                  <w:lang w:eastAsia="sk-SK"/>
                </w:rPr>
                <w:t>5</w:t>
              </w:r>
            </w:hyperlink>
          </w:p>
        </w:tc>
        <w:tc>
          <w:tcPr>
            <w:tcW w:w="3163" w:type="pct"/>
            <w:tcBorders>
              <w:top w:val="nil"/>
              <w:left w:val="nil"/>
              <w:bottom w:val="nil"/>
              <w:right w:val="nil"/>
            </w:tcBorders>
            <w:noWrap/>
            <w:vAlign w:val="center"/>
            <w:hideMark/>
          </w:tcPr>
          <w:p w14:paraId="28768299"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v tom    stavby</w:t>
            </w:r>
          </w:p>
        </w:tc>
        <w:tc>
          <w:tcPr>
            <w:tcW w:w="597" w:type="pct"/>
            <w:tcBorders>
              <w:top w:val="nil"/>
              <w:left w:val="nil"/>
              <w:bottom w:val="nil"/>
              <w:right w:val="nil"/>
            </w:tcBorders>
            <w:noWrap/>
            <w:vAlign w:val="center"/>
            <w:hideMark/>
          </w:tcPr>
          <w:p w14:paraId="657CDEBA"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33 949 584</w:t>
            </w:r>
          </w:p>
        </w:tc>
        <w:tc>
          <w:tcPr>
            <w:tcW w:w="597" w:type="pct"/>
            <w:tcBorders>
              <w:top w:val="nil"/>
              <w:left w:val="nil"/>
              <w:bottom w:val="nil"/>
              <w:right w:val="nil"/>
            </w:tcBorders>
            <w:noWrap/>
            <w:vAlign w:val="center"/>
            <w:hideMark/>
          </w:tcPr>
          <w:p w14:paraId="027979CA"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32 866 132</w:t>
            </w:r>
          </w:p>
        </w:tc>
      </w:tr>
      <w:tr w:rsidR="00C84741" w:rsidRPr="00C84741" w14:paraId="5E35BA3C" w14:textId="77777777" w:rsidTr="00C84741">
        <w:trPr>
          <w:trHeight w:val="284"/>
          <w:jc w:val="center"/>
        </w:trPr>
        <w:tc>
          <w:tcPr>
            <w:tcW w:w="327" w:type="pct"/>
            <w:tcBorders>
              <w:top w:val="nil"/>
              <w:left w:val="nil"/>
              <w:bottom w:val="nil"/>
              <w:right w:val="nil"/>
            </w:tcBorders>
            <w:noWrap/>
            <w:vAlign w:val="center"/>
            <w:hideMark/>
          </w:tcPr>
          <w:p w14:paraId="3FB994D5"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p>
        </w:tc>
        <w:tc>
          <w:tcPr>
            <w:tcW w:w="316" w:type="pct"/>
            <w:tcBorders>
              <w:top w:val="nil"/>
              <w:left w:val="nil"/>
              <w:bottom w:val="nil"/>
              <w:right w:val="nil"/>
            </w:tcBorders>
            <w:noWrap/>
            <w:vAlign w:val="center"/>
            <w:hideMark/>
          </w:tcPr>
          <w:p w14:paraId="4D8F7F05" w14:textId="1A6048BA"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Pozemky" w:history="1">
              <w:r w:rsidRPr="00E760C1">
                <w:rPr>
                  <w:rStyle w:val="Hypertextovprepojenie"/>
                  <w:rFonts w:ascii="Times New Roman" w:hAnsi="Times New Roman"/>
                  <w:i/>
                  <w:iCs/>
                  <w:sz w:val="19"/>
                  <w:szCs w:val="19"/>
                  <w:lang w:eastAsia="sk-SK"/>
                </w:rPr>
                <w:t>6</w:t>
              </w:r>
            </w:hyperlink>
          </w:p>
        </w:tc>
        <w:tc>
          <w:tcPr>
            <w:tcW w:w="3163" w:type="pct"/>
            <w:tcBorders>
              <w:top w:val="nil"/>
              <w:left w:val="nil"/>
              <w:bottom w:val="nil"/>
              <w:right w:val="nil"/>
            </w:tcBorders>
            <w:noWrap/>
            <w:vAlign w:val="center"/>
            <w:hideMark/>
          </w:tcPr>
          <w:p w14:paraId="1508B098"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 xml:space="preserve">            pozemky</w:t>
            </w:r>
          </w:p>
        </w:tc>
        <w:tc>
          <w:tcPr>
            <w:tcW w:w="597" w:type="pct"/>
            <w:tcBorders>
              <w:top w:val="nil"/>
              <w:left w:val="nil"/>
              <w:bottom w:val="nil"/>
              <w:right w:val="nil"/>
            </w:tcBorders>
            <w:noWrap/>
            <w:vAlign w:val="center"/>
            <w:hideMark/>
          </w:tcPr>
          <w:p w14:paraId="096B7F87"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10 375 122</w:t>
            </w:r>
          </w:p>
        </w:tc>
        <w:tc>
          <w:tcPr>
            <w:tcW w:w="597" w:type="pct"/>
            <w:tcBorders>
              <w:top w:val="nil"/>
              <w:left w:val="nil"/>
              <w:bottom w:val="nil"/>
              <w:right w:val="nil"/>
            </w:tcBorders>
            <w:noWrap/>
            <w:vAlign w:val="center"/>
            <w:hideMark/>
          </w:tcPr>
          <w:p w14:paraId="7C081C61"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10 335 651</w:t>
            </w:r>
          </w:p>
        </w:tc>
      </w:tr>
      <w:tr w:rsidR="00C84741" w:rsidRPr="00C84741" w14:paraId="5FC8DD12" w14:textId="77777777" w:rsidTr="00C84741">
        <w:trPr>
          <w:trHeight w:val="284"/>
          <w:jc w:val="center"/>
        </w:trPr>
        <w:tc>
          <w:tcPr>
            <w:tcW w:w="327" w:type="pct"/>
            <w:tcBorders>
              <w:top w:val="nil"/>
              <w:left w:val="nil"/>
              <w:bottom w:val="nil"/>
              <w:right w:val="nil"/>
            </w:tcBorders>
            <w:noWrap/>
            <w:vAlign w:val="center"/>
            <w:hideMark/>
          </w:tcPr>
          <w:p w14:paraId="4E367985"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p>
        </w:tc>
        <w:tc>
          <w:tcPr>
            <w:tcW w:w="316" w:type="pct"/>
            <w:tcBorders>
              <w:top w:val="nil"/>
              <w:left w:val="nil"/>
              <w:bottom w:val="nil"/>
              <w:right w:val="nil"/>
            </w:tcBorders>
            <w:noWrap/>
            <w:vAlign w:val="center"/>
            <w:hideMark/>
          </w:tcPr>
          <w:p w14:paraId="1AE0C879" w14:textId="698C8E0E"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Samostatné_hnuteľné_veci" w:history="1">
              <w:r w:rsidRPr="00E760C1">
                <w:rPr>
                  <w:rStyle w:val="Hypertextovprepojenie"/>
                  <w:rFonts w:ascii="Times New Roman" w:hAnsi="Times New Roman"/>
                  <w:i/>
                  <w:iCs/>
                  <w:sz w:val="19"/>
                  <w:szCs w:val="19"/>
                  <w:lang w:eastAsia="sk-SK"/>
                </w:rPr>
                <w:t>7</w:t>
              </w:r>
            </w:hyperlink>
          </w:p>
        </w:tc>
        <w:tc>
          <w:tcPr>
            <w:tcW w:w="3163" w:type="pct"/>
            <w:tcBorders>
              <w:top w:val="nil"/>
              <w:left w:val="nil"/>
              <w:bottom w:val="nil"/>
              <w:right w:val="nil"/>
            </w:tcBorders>
            <w:noWrap/>
            <w:vAlign w:val="center"/>
            <w:hideMark/>
          </w:tcPr>
          <w:p w14:paraId="3C7785AD"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 xml:space="preserve">            samostatné hnuteľné veci a súbory hnuteľných vecí</w:t>
            </w:r>
          </w:p>
        </w:tc>
        <w:tc>
          <w:tcPr>
            <w:tcW w:w="597" w:type="pct"/>
            <w:tcBorders>
              <w:top w:val="nil"/>
              <w:left w:val="nil"/>
              <w:bottom w:val="nil"/>
              <w:right w:val="nil"/>
            </w:tcBorders>
            <w:noWrap/>
            <w:vAlign w:val="center"/>
            <w:hideMark/>
          </w:tcPr>
          <w:p w14:paraId="50500EC5"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3 814 256</w:t>
            </w:r>
          </w:p>
        </w:tc>
        <w:tc>
          <w:tcPr>
            <w:tcW w:w="597" w:type="pct"/>
            <w:tcBorders>
              <w:top w:val="nil"/>
              <w:left w:val="nil"/>
              <w:bottom w:val="nil"/>
              <w:right w:val="nil"/>
            </w:tcBorders>
            <w:noWrap/>
            <w:vAlign w:val="center"/>
            <w:hideMark/>
          </w:tcPr>
          <w:p w14:paraId="2A537C00"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3 384 613</w:t>
            </w:r>
          </w:p>
        </w:tc>
      </w:tr>
      <w:tr w:rsidR="00C84741" w:rsidRPr="00C84741" w14:paraId="3D67583F" w14:textId="77777777" w:rsidTr="00C84741">
        <w:trPr>
          <w:trHeight w:val="284"/>
          <w:jc w:val="center"/>
        </w:trPr>
        <w:tc>
          <w:tcPr>
            <w:tcW w:w="327" w:type="pct"/>
            <w:tcBorders>
              <w:top w:val="nil"/>
              <w:left w:val="nil"/>
              <w:bottom w:val="nil"/>
              <w:right w:val="nil"/>
            </w:tcBorders>
            <w:noWrap/>
            <w:vAlign w:val="center"/>
            <w:hideMark/>
          </w:tcPr>
          <w:p w14:paraId="37D5E9E9"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p>
        </w:tc>
        <w:tc>
          <w:tcPr>
            <w:tcW w:w="316" w:type="pct"/>
            <w:tcBorders>
              <w:top w:val="nil"/>
              <w:left w:val="nil"/>
              <w:bottom w:val="nil"/>
              <w:right w:val="nil"/>
            </w:tcBorders>
            <w:noWrap/>
            <w:vAlign w:val="center"/>
            <w:hideMark/>
          </w:tcPr>
          <w:p w14:paraId="247B587A" w14:textId="5BC561FE"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Dopravné_prostriedky" w:history="1">
              <w:r w:rsidRPr="00E760C1">
                <w:rPr>
                  <w:rStyle w:val="Hypertextovprepojenie"/>
                  <w:rFonts w:ascii="Times New Roman" w:hAnsi="Times New Roman"/>
                  <w:i/>
                  <w:iCs/>
                  <w:sz w:val="19"/>
                  <w:szCs w:val="19"/>
                  <w:lang w:eastAsia="sk-SK"/>
                </w:rPr>
                <w:t>8</w:t>
              </w:r>
            </w:hyperlink>
          </w:p>
        </w:tc>
        <w:tc>
          <w:tcPr>
            <w:tcW w:w="3163" w:type="pct"/>
            <w:tcBorders>
              <w:top w:val="nil"/>
              <w:left w:val="nil"/>
              <w:bottom w:val="nil"/>
              <w:right w:val="nil"/>
            </w:tcBorders>
            <w:noWrap/>
            <w:vAlign w:val="center"/>
            <w:hideMark/>
          </w:tcPr>
          <w:p w14:paraId="2AFE0914"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 xml:space="preserve">            dopravné prostriedky</w:t>
            </w:r>
          </w:p>
        </w:tc>
        <w:tc>
          <w:tcPr>
            <w:tcW w:w="597" w:type="pct"/>
            <w:tcBorders>
              <w:top w:val="nil"/>
              <w:left w:val="nil"/>
              <w:bottom w:val="nil"/>
              <w:right w:val="nil"/>
            </w:tcBorders>
            <w:noWrap/>
            <w:vAlign w:val="center"/>
            <w:hideMark/>
          </w:tcPr>
          <w:p w14:paraId="6EAF060D"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2 381 538</w:t>
            </w:r>
          </w:p>
        </w:tc>
        <w:tc>
          <w:tcPr>
            <w:tcW w:w="597" w:type="pct"/>
            <w:tcBorders>
              <w:top w:val="nil"/>
              <w:left w:val="nil"/>
              <w:bottom w:val="nil"/>
              <w:right w:val="nil"/>
            </w:tcBorders>
            <w:noWrap/>
            <w:vAlign w:val="center"/>
            <w:hideMark/>
          </w:tcPr>
          <w:p w14:paraId="4B880CFE"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2 263 615</w:t>
            </w:r>
          </w:p>
        </w:tc>
      </w:tr>
      <w:tr w:rsidR="00C84741" w:rsidRPr="00C84741" w14:paraId="7691F653" w14:textId="77777777" w:rsidTr="00C84741">
        <w:trPr>
          <w:trHeight w:val="284"/>
          <w:jc w:val="center"/>
        </w:trPr>
        <w:tc>
          <w:tcPr>
            <w:tcW w:w="327" w:type="pct"/>
            <w:tcBorders>
              <w:top w:val="nil"/>
              <w:left w:val="nil"/>
              <w:bottom w:val="nil"/>
              <w:right w:val="nil"/>
            </w:tcBorders>
            <w:noWrap/>
            <w:vAlign w:val="center"/>
            <w:hideMark/>
          </w:tcPr>
          <w:p w14:paraId="40B138E9"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p>
        </w:tc>
        <w:tc>
          <w:tcPr>
            <w:tcW w:w="316" w:type="pct"/>
            <w:tcBorders>
              <w:top w:val="nil"/>
              <w:left w:val="nil"/>
              <w:bottom w:val="nil"/>
              <w:right w:val="nil"/>
            </w:tcBorders>
            <w:noWrap/>
            <w:vAlign w:val="center"/>
            <w:hideMark/>
          </w:tcPr>
          <w:p w14:paraId="69E11C2E" w14:textId="4A21A948"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Poskytnuté_preddavky" w:history="1">
              <w:r w:rsidRPr="00E760C1">
                <w:rPr>
                  <w:rStyle w:val="Hypertextovprepojenie"/>
                  <w:rFonts w:ascii="Times New Roman" w:hAnsi="Times New Roman"/>
                  <w:i/>
                  <w:iCs/>
                  <w:sz w:val="19"/>
                  <w:szCs w:val="19"/>
                  <w:lang w:eastAsia="sk-SK"/>
                </w:rPr>
                <w:t>9</w:t>
              </w:r>
            </w:hyperlink>
          </w:p>
        </w:tc>
        <w:tc>
          <w:tcPr>
            <w:tcW w:w="3163" w:type="pct"/>
            <w:tcBorders>
              <w:top w:val="nil"/>
              <w:left w:val="nil"/>
              <w:bottom w:val="nil"/>
              <w:right w:val="nil"/>
            </w:tcBorders>
            <w:noWrap/>
            <w:vAlign w:val="center"/>
            <w:hideMark/>
          </w:tcPr>
          <w:p w14:paraId="7C03133C"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 xml:space="preserve">            poskytnuté preddavky</w:t>
            </w:r>
          </w:p>
        </w:tc>
        <w:tc>
          <w:tcPr>
            <w:tcW w:w="597" w:type="pct"/>
            <w:tcBorders>
              <w:top w:val="nil"/>
              <w:left w:val="nil"/>
              <w:bottom w:val="nil"/>
              <w:right w:val="nil"/>
            </w:tcBorders>
            <w:noWrap/>
            <w:vAlign w:val="center"/>
            <w:hideMark/>
          </w:tcPr>
          <w:p w14:paraId="1D05CEAC"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2 877 680</w:t>
            </w:r>
          </w:p>
        </w:tc>
        <w:tc>
          <w:tcPr>
            <w:tcW w:w="597" w:type="pct"/>
            <w:tcBorders>
              <w:top w:val="nil"/>
              <w:left w:val="nil"/>
              <w:bottom w:val="nil"/>
              <w:right w:val="nil"/>
            </w:tcBorders>
            <w:noWrap/>
            <w:vAlign w:val="center"/>
            <w:hideMark/>
          </w:tcPr>
          <w:p w14:paraId="02D6694A"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2 611 138</w:t>
            </w:r>
          </w:p>
        </w:tc>
      </w:tr>
      <w:tr w:rsidR="00C84741" w:rsidRPr="00C84741" w14:paraId="26C91CC0" w14:textId="77777777" w:rsidTr="00C84741">
        <w:trPr>
          <w:trHeight w:val="284"/>
          <w:jc w:val="center"/>
        </w:trPr>
        <w:tc>
          <w:tcPr>
            <w:tcW w:w="327" w:type="pct"/>
            <w:tcBorders>
              <w:top w:val="nil"/>
              <w:left w:val="nil"/>
              <w:bottom w:val="nil"/>
              <w:right w:val="nil"/>
            </w:tcBorders>
            <w:noWrap/>
            <w:vAlign w:val="center"/>
            <w:hideMark/>
          </w:tcPr>
          <w:p w14:paraId="58A3C211"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p>
        </w:tc>
        <w:tc>
          <w:tcPr>
            <w:tcW w:w="316" w:type="pct"/>
            <w:tcBorders>
              <w:top w:val="nil"/>
              <w:left w:val="nil"/>
              <w:bottom w:val="nil"/>
              <w:right w:val="nil"/>
            </w:tcBorders>
            <w:noWrap/>
            <w:vAlign w:val="center"/>
            <w:hideMark/>
          </w:tcPr>
          <w:p w14:paraId="1D58F6F2" w14:textId="520BA2B6"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Obstaranie_hmotného_majetku" w:history="1">
              <w:r w:rsidRPr="00E760C1">
                <w:rPr>
                  <w:rStyle w:val="Hypertextovprepojenie"/>
                  <w:rFonts w:ascii="Times New Roman" w:hAnsi="Times New Roman"/>
                  <w:i/>
                  <w:iCs/>
                  <w:sz w:val="19"/>
                  <w:szCs w:val="19"/>
                  <w:lang w:eastAsia="sk-SK"/>
                </w:rPr>
                <w:t>10</w:t>
              </w:r>
            </w:hyperlink>
          </w:p>
        </w:tc>
        <w:tc>
          <w:tcPr>
            <w:tcW w:w="3163" w:type="pct"/>
            <w:tcBorders>
              <w:top w:val="nil"/>
              <w:left w:val="nil"/>
              <w:bottom w:val="nil"/>
              <w:right w:val="nil"/>
            </w:tcBorders>
            <w:noWrap/>
            <w:vAlign w:val="center"/>
            <w:hideMark/>
          </w:tcPr>
          <w:p w14:paraId="7906638C"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 xml:space="preserve">           obstaranie hmotného majetku</w:t>
            </w:r>
          </w:p>
        </w:tc>
        <w:tc>
          <w:tcPr>
            <w:tcW w:w="597" w:type="pct"/>
            <w:tcBorders>
              <w:top w:val="nil"/>
              <w:left w:val="nil"/>
              <w:bottom w:val="nil"/>
              <w:right w:val="nil"/>
            </w:tcBorders>
            <w:noWrap/>
            <w:vAlign w:val="center"/>
            <w:hideMark/>
          </w:tcPr>
          <w:p w14:paraId="0525F690"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6 792 729</w:t>
            </w:r>
          </w:p>
        </w:tc>
        <w:tc>
          <w:tcPr>
            <w:tcW w:w="597" w:type="pct"/>
            <w:tcBorders>
              <w:top w:val="nil"/>
              <w:left w:val="nil"/>
              <w:bottom w:val="nil"/>
              <w:right w:val="nil"/>
            </w:tcBorders>
            <w:noWrap/>
            <w:vAlign w:val="center"/>
            <w:hideMark/>
          </w:tcPr>
          <w:p w14:paraId="1C7099CD"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6 359 835</w:t>
            </w:r>
          </w:p>
        </w:tc>
      </w:tr>
      <w:tr w:rsidR="00C84741" w:rsidRPr="00C84741" w14:paraId="35D1732C" w14:textId="77777777" w:rsidTr="00C84741">
        <w:trPr>
          <w:trHeight w:val="284"/>
          <w:jc w:val="center"/>
        </w:trPr>
        <w:tc>
          <w:tcPr>
            <w:tcW w:w="327" w:type="pct"/>
            <w:tcBorders>
              <w:top w:val="nil"/>
              <w:left w:val="nil"/>
              <w:bottom w:val="nil"/>
              <w:right w:val="nil"/>
            </w:tcBorders>
            <w:noWrap/>
            <w:vAlign w:val="center"/>
            <w:hideMark/>
          </w:tcPr>
          <w:p w14:paraId="0C60ABF9"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p>
        </w:tc>
        <w:tc>
          <w:tcPr>
            <w:tcW w:w="316" w:type="pct"/>
            <w:tcBorders>
              <w:top w:val="nil"/>
              <w:left w:val="nil"/>
              <w:bottom w:val="nil"/>
              <w:right w:val="nil"/>
            </w:tcBorders>
            <w:noWrap/>
            <w:vAlign w:val="center"/>
            <w:hideMark/>
          </w:tcPr>
          <w:p w14:paraId="73B2281A" w14:textId="49145E14"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Ostatný_hmotný_majetok" w:history="1">
              <w:r w:rsidRPr="00E760C1">
                <w:rPr>
                  <w:rStyle w:val="Hypertextovprepojenie"/>
                  <w:rFonts w:ascii="Times New Roman" w:hAnsi="Times New Roman"/>
                  <w:i/>
                  <w:iCs/>
                  <w:sz w:val="19"/>
                  <w:szCs w:val="19"/>
                  <w:lang w:eastAsia="sk-SK"/>
                </w:rPr>
                <w:t>11</w:t>
              </w:r>
            </w:hyperlink>
          </w:p>
        </w:tc>
        <w:tc>
          <w:tcPr>
            <w:tcW w:w="3163" w:type="pct"/>
            <w:tcBorders>
              <w:top w:val="nil"/>
              <w:left w:val="nil"/>
              <w:bottom w:val="nil"/>
              <w:right w:val="nil"/>
            </w:tcBorders>
            <w:noWrap/>
            <w:vAlign w:val="center"/>
            <w:hideMark/>
          </w:tcPr>
          <w:p w14:paraId="14B95393"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 xml:space="preserve">           ostatný hmotný majetok</w:t>
            </w:r>
          </w:p>
        </w:tc>
        <w:tc>
          <w:tcPr>
            <w:tcW w:w="597" w:type="pct"/>
            <w:tcBorders>
              <w:top w:val="nil"/>
              <w:left w:val="nil"/>
              <w:bottom w:val="nil"/>
              <w:right w:val="nil"/>
            </w:tcBorders>
            <w:noWrap/>
            <w:vAlign w:val="center"/>
            <w:hideMark/>
          </w:tcPr>
          <w:p w14:paraId="24C7F80F"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789 440</w:t>
            </w:r>
          </w:p>
        </w:tc>
        <w:tc>
          <w:tcPr>
            <w:tcW w:w="597" w:type="pct"/>
            <w:tcBorders>
              <w:top w:val="nil"/>
              <w:left w:val="nil"/>
              <w:bottom w:val="nil"/>
              <w:right w:val="nil"/>
            </w:tcBorders>
            <w:noWrap/>
            <w:vAlign w:val="center"/>
            <w:hideMark/>
          </w:tcPr>
          <w:p w14:paraId="26842022"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765 462</w:t>
            </w:r>
          </w:p>
        </w:tc>
      </w:tr>
      <w:tr w:rsidR="00C84741" w:rsidRPr="00C84741" w14:paraId="2B6AD762" w14:textId="77777777" w:rsidTr="00C84741">
        <w:trPr>
          <w:trHeight w:val="284"/>
          <w:jc w:val="center"/>
        </w:trPr>
        <w:tc>
          <w:tcPr>
            <w:tcW w:w="327" w:type="pct"/>
            <w:tcBorders>
              <w:top w:val="nil"/>
              <w:left w:val="nil"/>
              <w:bottom w:val="nil"/>
              <w:right w:val="nil"/>
            </w:tcBorders>
            <w:noWrap/>
            <w:vAlign w:val="center"/>
            <w:hideMark/>
          </w:tcPr>
          <w:p w14:paraId="3F3C2904"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A.III.</w:t>
            </w:r>
          </w:p>
        </w:tc>
        <w:tc>
          <w:tcPr>
            <w:tcW w:w="316" w:type="pct"/>
            <w:tcBorders>
              <w:top w:val="nil"/>
              <w:left w:val="nil"/>
              <w:bottom w:val="nil"/>
              <w:right w:val="nil"/>
            </w:tcBorders>
            <w:noWrap/>
            <w:vAlign w:val="center"/>
            <w:hideMark/>
          </w:tcPr>
          <w:p w14:paraId="01FE439E"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p>
        </w:tc>
        <w:tc>
          <w:tcPr>
            <w:tcW w:w="3163" w:type="pct"/>
            <w:tcBorders>
              <w:top w:val="nil"/>
              <w:left w:val="nil"/>
              <w:bottom w:val="nil"/>
              <w:right w:val="nil"/>
            </w:tcBorders>
            <w:noWrap/>
            <w:vAlign w:val="center"/>
            <w:hideMark/>
          </w:tcPr>
          <w:p w14:paraId="1274AA9D" w14:textId="77777777" w:rsidR="00C84741" w:rsidRPr="00C84741" w:rsidRDefault="00C84741" w:rsidP="00C84741">
            <w:pPr>
              <w:spacing w:after="0" w:line="240" w:lineRule="auto"/>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Finančný majetok</w:t>
            </w:r>
          </w:p>
        </w:tc>
        <w:tc>
          <w:tcPr>
            <w:tcW w:w="597" w:type="pct"/>
            <w:tcBorders>
              <w:top w:val="nil"/>
              <w:left w:val="nil"/>
              <w:bottom w:val="nil"/>
              <w:right w:val="nil"/>
            </w:tcBorders>
            <w:noWrap/>
            <w:vAlign w:val="center"/>
            <w:hideMark/>
          </w:tcPr>
          <w:p w14:paraId="20C214F1"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9 065 645</w:t>
            </w:r>
          </w:p>
        </w:tc>
        <w:tc>
          <w:tcPr>
            <w:tcW w:w="597" w:type="pct"/>
            <w:tcBorders>
              <w:top w:val="nil"/>
              <w:left w:val="nil"/>
              <w:bottom w:val="nil"/>
              <w:right w:val="nil"/>
            </w:tcBorders>
            <w:noWrap/>
            <w:vAlign w:val="center"/>
            <w:hideMark/>
          </w:tcPr>
          <w:p w14:paraId="50AA2C1B"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8 644 848</w:t>
            </w:r>
          </w:p>
        </w:tc>
      </w:tr>
      <w:tr w:rsidR="00C84741" w:rsidRPr="00C84741" w14:paraId="65BD1C4B" w14:textId="77777777" w:rsidTr="00C84741">
        <w:trPr>
          <w:trHeight w:val="284"/>
          <w:jc w:val="center"/>
        </w:trPr>
        <w:tc>
          <w:tcPr>
            <w:tcW w:w="327" w:type="pct"/>
            <w:tcBorders>
              <w:top w:val="nil"/>
              <w:left w:val="nil"/>
              <w:bottom w:val="nil"/>
              <w:right w:val="nil"/>
            </w:tcBorders>
            <w:noWrap/>
            <w:vAlign w:val="center"/>
            <w:hideMark/>
          </w:tcPr>
          <w:p w14:paraId="3CD5A0B2"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p>
        </w:tc>
        <w:tc>
          <w:tcPr>
            <w:tcW w:w="316" w:type="pct"/>
            <w:tcBorders>
              <w:top w:val="nil"/>
              <w:left w:val="nil"/>
              <w:bottom w:val="nil"/>
              <w:right w:val="nil"/>
            </w:tcBorders>
            <w:noWrap/>
            <w:vAlign w:val="center"/>
            <w:hideMark/>
          </w:tcPr>
          <w:p w14:paraId="6A829B30" w14:textId="73754BD6"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Cenné_papiere_a" w:history="1">
              <w:r w:rsidRPr="00E760C1">
                <w:rPr>
                  <w:rStyle w:val="Hypertextovprepojenie"/>
                  <w:rFonts w:ascii="Times New Roman" w:hAnsi="Times New Roman"/>
                  <w:i/>
                  <w:iCs/>
                  <w:sz w:val="19"/>
                  <w:szCs w:val="19"/>
                  <w:lang w:eastAsia="sk-SK"/>
                </w:rPr>
                <w:t>12</w:t>
              </w:r>
            </w:hyperlink>
          </w:p>
        </w:tc>
        <w:tc>
          <w:tcPr>
            <w:tcW w:w="3163" w:type="pct"/>
            <w:tcBorders>
              <w:top w:val="nil"/>
              <w:left w:val="nil"/>
              <w:bottom w:val="nil"/>
              <w:right w:val="nil"/>
            </w:tcBorders>
            <w:noWrap/>
            <w:vAlign w:val="center"/>
            <w:hideMark/>
          </w:tcPr>
          <w:p w14:paraId="2F886811"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 xml:space="preserve">v tom   cenné papiere a podiely </w:t>
            </w:r>
          </w:p>
        </w:tc>
        <w:tc>
          <w:tcPr>
            <w:tcW w:w="597" w:type="pct"/>
            <w:tcBorders>
              <w:top w:val="nil"/>
              <w:left w:val="nil"/>
              <w:bottom w:val="nil"/>
              <w:right w:val="nil"/>
            </w:tcBorders>
            <w:noWrap/>
            <w:vAlign w:val="center"/>
            <w:hideMark/>
          </w:tcPr>
          <w:p w14:paraId="1F0D0FAC"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6 130 599</w:t>
            </w:r>
          </w:p>
        </w:tc>
        <w:tc>
          <w:tcPr>
            <w:tcW w:w="597" w:type="pct"/>
            <w:tcBorders>
              <w:top w:val="nil"/>
              <w:left w:val="nil"/>
              <w:bottom w:val="nil"/>
              <w:right w:val="nil"/>
            </w:tcBorders>
            <w:noWrap/>
            <w:vAlign w:val="center"/>
            <w:hideMark/>
          </w:tcPr>
          <w:p w14:paraId="531EF580"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5 804 144</w:t>
            </w:r>
          </w:p>
        </w:tc>
      </w:tr>
      <w:tr w:rsidR="00C84741" w:rsidRPr="00C84741" w14:paraId="72DAF2B5" w14:textId="77777777" w:rsidTr="00C84741">
        <w:trPr>
          <w:trHeight w:val="284"/>
          <w:jc w:val="center"/>
        </w:trPr>
        <w:tc>
          <w:tcPr>
            <w:tcW w:w="327" w:type="pct"/>
            <w:tcBorders>
              <w:top w:val="nil"/>
              <w:left w:val="nil"/>
              <w:bottom w:val="nil"/>
              <w:right w:val="nil"/>
            </w:tcBorders>
            <w:noWrap/>
            <w:vAlign w:val="center"/>
            <w:hideMark/>
          </w:tcPr>
          <w:p w14:paraId="22F35F8F"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p>
        </w:tc>
        <w:tc>
          <w:tcPr>
            <w:tcW w:w="316" w:type="pct"/>
            <w:tcBorders>
              <w:top w:val="nil"/>
              <w:left w:val="nil"/>
              <w:bottom w:val="nil"/>
              <w:right w:val="nil"/>
            </w:tcBorders>
            <w:noWrap/>
            <w:vAlign w:val="center"/>
            <w:hideMark/>
          </w:tcPr>
          <w:p w14:paraId="6DA5C385" w14:textId="20DF57D3"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Dlhodobé_pôžičky" w:history="1">
              <w:r w:rsidRPr="00E760C1">
                <w:rPr>
                  <w:rStyle w:val="Hypertextovprepojenie"/>
                  <w:rFonts w:ascii="Times New Roman" w:hAnsi="Times New Roman"/>
                  <w:i/>
                  <w:iCs/>
                  <w:sz w:val="19"/>
                  <w:szCs w:val="19"/>
                  <w:lang w:eastAsia="sk-SK"/>
                </w:rPr>
                <w:t>13</w:t>
              </w:r>
            </w:hyperlink>
          </w:p>
        </w:tc>
        <w:tc>
          <w:tcPr>
            <w:tcW w:w="3163" w:type="pct"/>
            <w:tcBorders>
              <w:top w:val="nil"/>
              <w:left w:val="nil"/>
              <w:bottom w:val="nil"/>
              <w:right w:val="nil"/>
            </w:tcBorders>
            <w:noWrap/>
            <w:vAlign w:val="center"/>
            <w:hideMark/>
          </w:tcPr>
          <w:p w14:paraId="0B4AA59A"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 xml:space="preserve">            dlhodobé pôžičky</w:t>
            </w:r>
          </w:p>
        </w:tc>
        <w:tc>
          <w:tcPr>
            <w:tcW w:w="597" w:type="pct"/>
            <w:tcBorders>
              <w:top w:val="nil"/>
              <w:left w:val="nil"/>
              <w:bottom w:val="nil"/>
              <w:right w:val="nil"/>
            </w:tcBorders>
            <w:noWrap/>
            <w:vAlign w:val="center"/>
            <w:hideMark/>
          </w:tcPr>
          <w:p w14:paraId="49BFC828"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1 603 227</w:t>
            </w:r>
          </w:p>
        </w:tc>
        <w:tc>
          <w:tcPr>
            <w:tcW w:w="597" w:type="pct"/>
            <w:tcBorders>
              <w:top w:val="nil"/>
              <w:left w:val="nil"/>
              <w:bottom w:val="nil"/>
              <w:right w:val="nil"/>
            </w:tcBorders>
            <w:noWrap/>
            <w:vAlign w:val="center"/>
            <w:hideMark/>
          </w:tcPr>
          <w:p w14:paraId="5D6E7DBF"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1 501 298</w:t>
            </w:r>
          </w:p>
        </w:tc>
      </w:tr>
      <w:tr w:rsidR="00C84741" w:rsidRPr="00C84741" w14:paraId="4E3B10A1" w14:textId="77777777" w:rsidTr="00C84741">
        <w:trPr>
          <w:trHeight w:val="284"/>
          <w:jc w:val="center"/>
        </w:trPr>
        <w:tc>
          <w:tcPr>
            <w:tcW w:w="327" w:type="pct"/>
            <w:tcBorders>
              <w:top w:val="nil"/>
              <w:left w:val="nil"/>
              <w:bottom w:val="nil"/>
              <w:right w:val="nil"/>
            </w:tcBorders>
            <w:noWrap/>
            <w:vAlign w:val="center"/>
            <w:hideMark/>
          </w:tcPr>
          <w:p w14:paraId="549E004A"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p>
        </w:tc>
        <w:tc>
          <w:tcPr>
            <w:tcW w:w="316" w:type="pct"/>
            <w:tcBorders>
              <w:top w:val="nil"/>
              <w:left w:val="nil"/>
              <w:bottom w:val="nil"/>
              <w:right w:val="nil"/>
            </w:tcBorders>
            <w:noWrap/>
            <w:vAlign w:val="center"/>
            <w:hideMark/>
          </w:tcPr>
          <w:p w14:paraId="4C7DFE82" w14:textId="60AD3C56"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Termínované_účty_v" w:history="1">
              <w:r w:rsidRPr="00E760C1">
                <w:rPr>
                  <w:rStyle w:val="Hypertextovprepojenie"/>
                  <w:rFonts w:ascii="Times New Roman" w:hAnsi="Times New Roman"/>
                  <w:i/>
                  <w:iCs/>
                  <w:sz w:val="19"/>
                  <w:szCs w:val="19"/>
                  <w:lang w:eastAsia="sk-SK"/>
                </w:rPr>
                <w:t>14</w:t>
              </w:r>
            </w:hyperlink>
          </w:p>
        </w:tc>
        <w:tc>
          <w:tcPr>
            <w:tcW w:w="3163" w:type="pct"/>
            <w:tcBorders>
              <w:top w:val="nil"/>
              <w:left w:val="nil"/>
              <w:bottom w:val="nil"/>
              <w:right w:val="nil"/>
            </w:tcBorders>
            <w:noWrap/>
            <w:vAlign w:val="center"/>
            <w:hideMark/>
          </w:tcPr>
          <w:p w14:paraId="1899A316"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 xml:space="preserve">            termínované účty v bankách</w:t>
            </w:r>
          </w:p>
        </w:tc>
        <w:tc>
          <w:tcPr>
            <w:tcW w:w="597" w:type="pct"/>
            <w:tcBorders>
              <w:top w:val="nil"/>
              <w:left w:val="nil"/>
              <w:bottom w:val="nil"/>
              <w:right w:val="nil"/>
            </w:tcBorders>
            <w:noWrap/>
            <w:vAlign w:val="center"/>
            <w:hideMark/>
          </w:tcPr>
          <w:p w14:paraId="59123F02"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31 716</w:t>
            </w:r>
          </w:p>
        </w:tc>
        <w:tc>
          <w:tcPr>
            <w:tcW w:w="597" w:type="pct"/>
            <w:tcBorders>
              <w:top w:val="nil"/>
              <w:left w:val="nil"/>
              <w:bottom w:val="nil"/>
              <w:right w:val="nil"/>
            </w:tcBorders>
            <w:noWrap/>
            <w:vAlign w:val="center"/>
            <w:hideMark/>
          </w:tcPr>
          <w:p w14:paraId="2C081C86"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25 768</w:t>
            </w:r>
          </w:p>
        </w:tc>
      </w:tr>
      <w:tr w:rsidR="00C84741" w:rsidRPr="00C84741" w14:paraId="218D7AB8" w14:textId="77777777" w:rsidTr="00C84741">
        <w:trPr>
          <w:trHeight w:val="284"/>
          <w:jc w:val="center"/>
        </w:trPr>
        <w:tc>
          <w:tcPr>
            <w:tcW w:w="327" w:type="pct"/>
            <w:tcBorders>
              <w:top w:val="nil"/>
              <w:left w:val="nil"/>
              <w:bottom w:val="nil"/>
              <w:right w:val="nil"/>
            </w:tcBorders>
            <w:noWrap/>
            <w:vAlign w:val="center"/>
            <w:hideMark/>
          </w:tcPr>
          <w:p w14:paraId="4AF9C30F"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p>
        </w:tc>
        <w:tc>
          <w:tcPr>
            <w:tcW w:w="316" w:type="pct"/>
            <w:tcBorders>
              <w:top w:val="nil"/>
              <w:left w:val="nil"/>
              <w:bottom w:val="nil"/>
              <w:right w:val="nil"/>
            </w:tcBorders>
            <w:noWrap/>
            <w:vAlign w:val="center"/>
            <w:hideMark/>
          </w:tcPr>
          <w:p w14:paraId="6ABCF6BB" w14:textId="6742F176"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Ostatný_dlhodobý_finančný" w:history="1">
              <w:r w:rsidRPr="00E760C1">
                <w:rPr>
                  <w:rStyle w:val="Hypertextovprepojenie"/>
                  <w:rFonts w:ascii="Times New Roman" w:hAnsi="Times New Roman"/>
                  <w:i/>
                  <w:iCs/>
                  <w:sz w:val="19"/>
                  <w:szCs w:val="19"/>
                  <w:lang w:eastAsia="sk-SK"/>
                </w:rPr>
                <w:t>15</w:t>
              </w:r>
            </w:hyperlink>
          </w:p>
        </w:tc>
        <w:tc>
          <w:tcPr>
            <w:tcW w:w="3163" w:type="pct"/>
            <w:tcBorders>
              <w:top w:val="nil"/>
              <w:left w:val="nil"/>
              <w:bottom w:val="nil"/>
              <w:right w:val="nil"/>
            </w:tcBorders>
            <w:noWrap/>
            <w:vAlign w:val="center"/>
            <w:hideMark/>
          </w:tcPr>
          <w:p w14:paraId="6E524D6E"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 xml:space="preserve">            ostatný dlhodobý finančný majetok</w:t>
            </w:r>
          </w:p>
        </w:tc>
        <w:tc>
          <w:tcPr>
            <w:tcW w:w="597" w:type="pct"/>
            <w:tcBorders>
              <w:top w:val="nil"/>
              <w:left w:val="nil"/>
              <w:bottom w:val="nil"/>
              <w:right w:val="nil"/>
            </w:tcBorders>
            <w:noWrap/>
            <w:vAlign w:val="center"/>
            <w:hideMark/>
          </w:tcPr>
          <w:p w14:paraId="66716B92"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1 300 103</w:t>
            </w:r>
          </w:p>
        </w:tc>
        <w:tc>
          <w:tcPr>
            <w:tcW w:w="597" w:type="pct"/>
            <w:tcBorders>
              <w:top w:val="nil"/>
              <w:left w:val="nil"/>
              <w:bottom w:val="nil"/>
              <w:right w:val="nil"/>
            </w:tcBorders>
            <w:noWrap/>
            <w:vAlign w:val="center"/>
            <w:hideMark/>
          </w:tcPr>
          <w:p w14:paraId="2838AE8F"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1 313 638</w:t>
            </w:r>
          </w:p>
        </w:tc>
      </w:tr>
      <w:tr w:rsidR="00C84741" w:rsidRPr="00C84741" w14:paraId="0477AAB8" w14:textId="77777777" w:rsidTr="00C84741">
        <w:trPr>
          <w:trHeight w:val="284"/>
          <w:jc w:val="center"/>
        </w:trPr>
        <w:tc>
          <w:tcPr>
            <w:tcW w:w="327" w:type="pct"/>
            <w:tcBorders>
              <w:top w:val="nil"/>
              <w:left w:val="nil"/>
              <w:bottom w:val="nil"/>
              <w:right w:val="nil"/>
            </w:tcBorders>
            <w:noWrap/>
            <w:vAlign w:val="center"/>
            <w:hideMark/>
          </w:tcPr>
          <w:p w14:paraId="4BA9A55B"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A.IV.</w:t>
            </w:r>
          </w:p>
        </w:tc>
        <w:tc>
          <w:tcPr>
            <w:tcW w:w="316" w:type="pct"/>
            <w:tcBorders>
              <w:top w:val="nil"/>
              <w:left w:val="nil"/>
              <w:bottom w:val="nil"/>
              <w:right w:val="nil"/>
            </w:tcBorders>
            <w:noWrap/>
            <w:vAlign w:val="center"/>
            <w:hideMark/>
          </w:tcPr>
          <w:p w14:paraId="46397CF5"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p>
        </w:tc>
        <w:tc>
          <w:tcPr>
            <w:tcW w:w="3163" w:type="pct"/>
            <w:tcBorders>
              <w:top w:val="nil"/>
              <w:left w:val="nil"/>
              <w:bottom w:val="nil"/>
              <w:right w:val="nil"/>
            </w:tcBorders>
            <w:noWrap/>
            <w:vAlign w:val="center"/>
            <w:hideMark/>
          </w:tcPr>
          <w:p w14:paraId="267BA83C" w14:textId="77777777" w:rsidR="00C84741" w:rsidRPr="00C84741" w:rsidRDefault="00C84741" w:rsidP="00C84741">
            <w:pPr>
              <w:spacing w:after="0" w:line="240" w:lineRule="auto"/>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Pohľadávky</w:t>
            </w:r>
          </w:p>
        </w:tc>
        <w:tc>
          <w:tcPr>
            <w:tcW w:w="597" w:type="pct"/>
            <w:tcBorders>
              <w:top w:val="nil"/>
              <w:left w:val="nil"/>
              <w:bottom w:val="nil"/>
              <w:right w:val="nil"/>
            </w:tcBorders>
            <w:noWrap/>
            <w:vAlign w:val="center"/>
            <w:hideMark/>
          </w:tcPr>
          <w:p w14:paraId="70F1C87B"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1 013 015</w:t>
            </w:r>
          </w:p>
        </w:tc>
        <w:tc>
          <w:tcPr>
            <w:tcW w:w="597" w:type="pct"/>
            <w:tcBorders>
              <w:top w:val="nil"/>
              <w:left w:val="nil"/>
              <w:bottom w:val="nil"/>
              <w:right w:val="nil"/>
            </w:tcBorders>
            <w:noWrap/>
            <w:vAlign w:val="center"/>
            <w:hideMark/>
          </w:tcPr>
          <w:p w14:paraId="06A509DA"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880 631</w:t>
            </w:r>
          </w:p>
        </w:tc>
      </w:tr>
      <w:tr w:rsidR="00C84741" w:rsidRPr="00C84741" w14:paraId="1DC4A2C4" w14:textId="77777777" w:rsidTr="00C84741">
        <w:trPr>
          <w:trHeight w:val="284"/>
          <w:jc w:val="center"/>
        </w:trPr>
        <w:tc>
          <w:tcPr>
            <w:tcW w:w="327" w:type="pct"/>
            <w:tcBorders>
              <w:top w:val="nil"/>
              <w:left w:val="nil"/>
              <w:bottom w:val="nil"/>
              <w:right w:val="nil"/>
            </w:tcBorders>
            <w:noWrap/>
            <w:vAlign w:val="center"/>
            <w:hideMark/>
          </w:tcPr>
          <w:p w14:paraId="7DDD02FF" w14:textId="77777777" w:rsidR="00C84741" w:rsidRPr="00C84741" w:rsidRDefault="00C84741" w:rsidP="00C84741">
            <w:pPr>
              <w:spacing w:after="0" w:line="240" w:lineRule="auto"/>
              <w:jc w:val="center"/>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B.</w:t>
            </w:r>
          </w:p>
        </w:tc>
        <w:tc>
          <w:tcPr>
            <w:tcW w:w="316" w:type="pct"/>
            <w:tcBorders>
              <w:top w:val="nil"/>
              <w:left w:val="nil"/>
              <w:bottom w:val="nil"/>
              <w:right w:val="nil"/>
            </w:tcBorders>
            <w:noWrap/>
            <w:vAlign w:val="center"/>
            <w:hideMark/>
          </w:tcPr>
          <w:p w14:paraId="22C8ECA5" w14:textId="77777777" w:rsidR="00C84741" w:rsidRPr="00C84741" w:rsidRDefault="00C84741" w:rsidP="00C84741">
            <w:pPr>
              <w:spacing w:after="0" w:line="240" w:lineRule="auto"/>
              <w:jc w:val="center"/>
              <w:rPr>
                <w:rFonts w:ascii="Times New Roman" w:hAnsi="Times New Roman"/>
                <w:b/>
                <w:bCs/>
                <w:color w:val="000000"/>
                <w:sz w:val="20"/>
                <w:szCs w:val="20"/>
                <w:lang w:eastAsia="sk-SK"/>
              </w:rPr>
            </w:pPr>
          </w:p>
        </w:tc>
        <w:tc>
          <w:tcPr>
            <w:tcW w:w="3163" w:type="pct"/>
            <w:tcBorders>
              <w:top w:val="nil"/>
              <w:left w:val="nil"/>
              <w:bottom w:val="nil"/>
              <w:right w:val="nil"/>
            </w:tcBorders>
            <w:noWrap/>
            <w:vAlign w:val="center"/>
            <w:hideMark/>
          </w:tcPr>
          <w:p w14:paraId="112B4119" w14:textId="77777777" w:rsidR="00C84741" w:rsidRPr="00C84741" w:rsidRDefault="00C84741" w:rsidP="00C84741">
            <w:pPr>
              <w:spacing w:after="0" w:line="240" w:lineRule="auto"/>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Krátkodobý majetok (B.I. až B.III.)</w:t>
            </w:r>
          </w:p>
        </w:tc>
        <w:tc>
          <w:tcPr>
            <w:tcW w:w="597" w:type="pct"/>
            <w:tcBorders>
              <w:top w:val="nil"/>
              <w:left w:val="nil"/>
              <w:bottom w:val="nil"/>
              <w:right w:val="nil"/>
            </w:tcBorders>
            <w:noWrap/>
            <w:vAlign w:val="center"/>
            <w:hideMark/>
          </w:tcPr>
          <w:p w14:paraId="436D16AD"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20 984 264</w:t>
            </w:r>
          </w:p>
        </w:tc>
        <w:tc>
          <w:tcPr>
            <w:tcW w:w="597" w:type="pct"/>
            <w:tcBorders>
              <w:top w:val="nil"/>
              <w:left w:val="nil"/>
              <w:bottom w:val="nil"/>
              <w:right w:val="nil"/>
            </w:tcBorders>
            <w:noWrap/>
            <w:vAlign w:val="center"/>
            <w:hideMark/>
          </w:tcPr>
          <w:p w14:paraId="4B0BC656"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19 687 541</w:t>
            </w:r>
          </w:p>
        </w:tc>
      </w:tr>
      <w:tr w:rsidR="00C84741" w:rsidRPr="00C84741" w14:paraId="1EF27C27" w14:textId="77777777" w:rsidTr="00C84741">
        <w:trPr>
          <w:trHeight w:val="284"/>
          <w:jc w:val="center"/>
        </w:trPr>
        <w:tc>
          <w:tcPr>
            <w:tcW w:w="327" w:type="pct"/>
            <w:tcBorders>
              <w:top w:val="nil"/>
              <w:left w:val="nil"/>
              <w:bottom w:val="nil"/>
              <w:right w:val="nil"/>
            </w:tcBorders>
            <w:noWrap/>
            <w:vAlign w:val="center"/>
            <w:hideMark/>
          </w:tcPr>
          <w:p w14:paraId="1BA504A9"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B.I.</w:t>
            </w:r>
          </w:p>
        </w:tc>
        <w:tc>
          <w:tcPr>
            <w:tcW w:w="316" w:type="pct"/>
            <w:tcBorders>
              <w:top w:val="nil"/>
              <w:left w:val="nil"/>
              <w:bottom w:val="nil"/>
              <w:right w:val="nil"/>
            </w:tcBorders>
            <w:noWrap/>
            <w:vAlign w:val="center"/>
            <w:hideMark/>
          </w:tcPr>
          <w:p w14:paraId="24B07780"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p>
        </w:tc>
        <w:tc>
          <w:tcPr>
            <w:tcW w:w="3163" w:type="pct"/>
            <w:tcBorders>
              <w:top w:val="nil"/>
              <w:left w:val="nil"/>
              <w:bottom w:val="nil"/>
              <w:right w:val="nil"/>
            </w:tcBorders>
            <w:noWrap/>
            <w:vAlign w:val="center"/>
            <w:hideMark/>
          </w:tcPr>
          <w:p w14:paraId="20E53481" w14:textId="77777777" w:rsidR="00C84741" w:rsidRPr="00C84741" w:rsidRDefault="00C84741" w:rsidP="00C84741">
            <w:pPr>
              <w:spacing w:after="0" w:line="240" w:lineRule="auto"/>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Zásoby</w:t>
            </w:r>
          </w:p>
        </w:tc>
        <w:tc>
          <w:tcPr>
            <w:tcW w:w="597" w:type="pct"/>
            <w:tcBorders>
              <w:top w:val="nil"/>
              <w:left w:val="nil"/>
              <w:bottom w:val="nil"/>
              <w:right w:val="nil"/>
            </w:tcBorders>
            <w:noWrap/>
            <w:vAlign w:val="center"/>
            <w:hideMark/>
          </w:tcPr>
          <w:p w14:paraId="141C0BE3"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2 026 017</w:t>
            </w:r>
          </w:p>
        </w:tc>
        <w:tc>
          <w:tcPr>
            <w:tcW w:w="597" w:type="pct"/>
            <w:tcBorders>
              <w:top w:val="nil"/>
              <w:left w:val="nil"/>
              <w:bottom w:val="nil"/>
              <w:right w:val="nil"/>
            </w:tcBorders>
            <w:noWrap/>
            <w:vAlign w:val="center"/>
            <w:hideMark/>
          </w:tcPr>
          <w:p w14:paraId="1300C0D6"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2 162 815</w:t>
            </w:r>
          </w:p>
        </w:tc>
      </w:tr>
      <w:tr w:rsidR="00C84741" w:rsidRPr="00C84741" w14:paraId="6708B806" w14:textId="77777777" w:rsidTr="00C84741">
        <w:trPr>
          <w:trHeight w:val="284"/>
          <w:jc w:val="center"/>
        </w:trPr>
        <w:tc>
          <w:tcPr>
            <w:tcW w:w="327" w:type="pct"/>
            <w:tcBorders>
              <w:top w:val="nil"/>
              <w:left w:val="nil"/>
              <w:bottom w:val="nil"/>
              <w:right w:val="nil"/>
            </w:tcBorders>
            <w:noWrap/>
            <w:vAlign w:val="center"/>
            <w:hideMark/>
          </w:tcPr>
          <w:p w14:paraId="5791B6AA"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p>
        </w:tc>
        <w:tc>
          <w:tcPr>
            <w:tcW w:w="316" w:type="pct"/>
            <w:tcBorders>
              <w:top w:val="nil"/>
              <w:left w:val="nil"/>
              <w:bottom w:val="nil"/>
              <w:right w:val="nil"/>
            </w:tcBorders>
            <w:noWrap/>
            <w:vAlign w:val="center"/>
            <w:hideMark/>
          </w:tcPr>
          <w:p w14:paraId="0C197113" w14:textId="21A9D111"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Materiál" w:history="1">
              <w:r w:rsidRPr="00E760C1">
                <w:rPr>
                  <w:rStyle w:val="Hypertextovprepojenie"/>
                  <w:rFonts w:ascii="Times New Roman" w:hAnsi="Times New Roman"/>
                  <w:i/>
                  <w:iCs/>
                  <w:sz w:val="19"/>
                  <w:szCs w:val="19"/>
                  <w:lang w:eastAsia="sk-SK"/>
                </w:rPr>
                <w:t>16</w:t>
              </w:r>
            </w:hyperlink>
          </w:p>
        </w:tc>
        <w:tc>
          <w:tcPr>
            <w:tcW w:w="3163" w:type="pct"/>
            <w:tcBorders>
              <w:top w:val="nil"/>
              <w:left w:val="nil"/>
              <w:bottom w:val="nil"/>
              <w:right w:val="nil"/>
            </w:tcBorders>
            <w:noWrap/>
            <w:vAlign w:val="center"/>
            <w:hideMark/>
          </w:tcPr>
          <w:p w14:paraId="4713AD29"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v tom   materiál</w:t>
            </w:r>
          </w:p>
        </w:tc>
        <w:tc>
          <w:tcPr>
            <w:tcW w:w="597" w:type="pct"/>
            <w:tcBorders>
              <w:top w:val="nil"/>
              <w:left w:val="nil"/>
              <w:bottom w:val="nil"/>
              <w:right w:val="nil"/>
            </w:tcBorders>
            <w:noWrap/>
            <w:vAlign w:val="center"/>
            <w:hideMark/>
          </w:tcPr>
          <w:p w14:paraId="58E6CDC4"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1 352 671</w:t>
            </w:r>
          </w:p>
        </w:tc>
        <w:tc>
          <w:tcPr>
            <w:tcW w:w="597" w:type="pct"/>
            <w:tcBorders>
              <w:top w:val="nil"/>
              <w:left w:val="nil"/>
              <w:bottom w:val="nil"/>
              <w:right w:val="nil"/>
            </w:tcBorders>
            <w:noWrap/>
            <w:vAlign w:val="center"/>
            <w:hideMark/>
          </w:tcPr>
          <w:p w14:paraId="2970CA2C"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1 220 764</w:t>
            </w:r>
          </w:p>
        </w:tc>
      </w:tr>
      <w:tr w:rsidR="00C84741" w:rsidRPr="00C84741" w14:paraId="3957AE8C" w14:textId="77777777" w:rsidTr="00C84741">
        <w:trPr>
          <w:trHeight w:val="284"/>
          <w:jc w:val="center"/>
        </w:trPr>
        <w:tc>
          <w:tcPr>
            <w:tcW w:w="327" w:type="pct"/>
            <w:tcBorders>
              <w:top w:val="nil"/>
              <w:left w:val="nil"/>
              <w:bottom w:val="nil"/>
              <w:right w:val="nil"/>
            </w:tcBorders>
            <w:noWrap/>
            <w:vAlign w:val="center"/>
            <w:hideMark/>
          </w:tcPr>
          <w:p w14:paraId="5488A74E"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p>
        </w:tc>
        <w:tc>
          <w:tcPr>
            <w:tcW w:w="316" w:type="pct"/>
            <w:tcBorders>
              <w:top w:val="nil"/>
              <w:left w:val="nil"/>
              <w:bottom w:val="nil"/>
              <w:right w:val="nil"/>
            </w:tcBorders>
            <w:noWrap/>
            <w:vAlign w:val="center"/>
            <w:hideMark/>
          </w:tcPr>
          <w:p w14:paraId="19872F1C" w14:textId="35B61C67"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Tovar" w:history="1">
              <w:r w:rsidRPr="00E760C1">
                <w:rPr>
                  <w:rStyle w:val="Hypertextovprepojenie"/>
                  <w:rFonts w:ascii="Times New Roman" w:hAnsi="Times New Roman"/>
                  <w:i/>
                  <w:iCs/>
                  <w:sz w:val="19"/>
                  <w:szCs w:val="19"/>
                  <w:lang w:eastAsia="sk-SK"/>
                </w:rPr>
                <w:t>17</w:t>
              </w:r>
            </w:hyperlink>
          </w:p>
        </w:tc>
        <w:tc>
          <w:tcPr>
            <w:tcW w:w="3163" w:type="pct"/>
            <w:tcBorders>
              <w:top w:val="nil"/>
              <w:left w:val="nil"/>
              <w:bottom w:val="nil"/>
              <w:right w:val="nil"/>
            </w:tcBorders>
            <w:noWrap/>
            <w:vAlign w:val="center"/>
            <w:hideMark/>
          </w:tcPr>
          <w:p w14:paraId="7226FB7E"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 xml:space="preserve">            tovar</w:t>
            </w:r>
          </w:p>
        </w:tc>
        <w:tc>
          <w:tcPr>
            <w:tcW w:w="597" w:type="pct"/>
            <w:tcBorders>
              <w:top w:val="nil"/>
              <w:left w:val="nil"/>
              <w:bottom w:val="nil"/>
              <w:right w:val="nil"/>
            </w:tcBorders>
            <w:noWrap/>
            <w:vAlign w:val="center"/>
            <w:hideMark/>
          </w:tcPr>
          <w:p w14:paraId="5C8B0510"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40 062</w:t>
            </w:r>
          </w:p>
        </w:tc>
        <w:tc>
          <w:tcPr>
            <w:tcW w:w="597" w:type="pct"/>
            <w:tcBorders>
              <w:top w:val="nil"/>
              <w:left w:val="nil"/>
              <w:bottom w:val="nil"/>
              <w:right w:val="nil"/>
            </w:tcBorders>
            <w:noWrap/>
            <w:vAlign w:val="center"/>
            <w:hideMark/>
          </w:tcPr>
          <w:p w14:paraId="5C4E0D0E"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147 634</w:t>
            </w:r>
          </w:p>
        </w:tc>
      </w:tr>
      <w:tr w:rsidR="00C84741" w:rsidRPr="00C84741" w14:paraId="030AA7CD" w14:textId="77777777" w:rsidTr="00C84741">
        <w:trPr>
          <w:trHeight w:val="284"/>
          <w:jc w:val="center"/>
        </w:trPr>
        <w:tc>
          <w:tcPr>
            <w:tcW w:w="327" w:type="pct"/>
            <w:tcBorders>
              <w:top w:val="nil"/>
              <w:left w:val="nil"/>
              <w:bottom w:val="nil"/>
              <w:right w:val="nil"/>
            </w:tcBorders>
            <w:noWrap/>
            <w:vAlign w:val="center"/>
            <w:hideMark/>
          </w:tcPr>
          <w:p w14:paraId="73D0103E"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p>
        </w:tc>
        <w:tc>
          <w:tcPr>
            <w:tcW w:w="316" w:type="pct"/>
            <w:tcBorders>
              <w:top w:val="nil"/>
              <w:left w:val="nil"/>
              <w:bottom w:val="nil"/>
              <w:right w:val="nil"/>
            </w:tcBorders>
            <w:noWrap/>
            <w:vAlign w:val="center"/>
            <w:hideMark/>
          </w:tcPr>
          <w:p w14:paraId="100BFD22" w14:textId="5D5B9D80" w:rsidR="00C84741" w:rsidRPr="00C84741" w:rsidRDefault="00C84741" w:rsidP="00C84741">
            <w:pPr>
              <w:spacing w:after="0" w:line="240" w:lineRule="auto"/>
              <w:jc w:val="center"/>
              <w:rPr>
                <w:rFonts w:ascii="Times New Roman" w:hAnsi="Times New Roman"/>
                <w:i/>
                <w:iCs/>
                <w:color w:val="000000"/>
                <w:sz w:val="20"/>
                <w:szCs w:val="20"/>
                <w:lang w:eastAsia="sk-SK"/>
              </w:rPr>
            </w:pPr>
            <w:hyperlink w:anchor="_Výrobky" w:history="1">
              <w:r w:rsidRPr="00E760C1">
                <w:rPr>
                  <w:rStyle w:val="Hypertextovprepojenie"/>
                  <w:rFonts w:ascii="Times New Roman" w:hAnsi="Times New Roman"/>
                  <w:i/>
                  <w:iCs/>
                  <w:sz w:val="20"/>
                  <w:szCs w:val="20"/>
                  <w:lang w:eastAsia="sk-SK"/>
                </w:rPr>
                <w:t>18</w:t>
              </w:r>
            </w:hyperlink>
          </w:p>
        </w:tc>
        <w:tc>
          <w:tcPr>
            <w:tcW w:w="3163" w:type="pct"/>
            <w:tcBorders>
              <w:top w:val="nil"/>
              <w:left w:val="nil"/>
              <w:bottom w:val="nil"/>
              <w:right w:val="nil"/>
            </w:tcBorders>
            <w:noWrap/>
            <w:vAlign w:val="center"/>
            <w:hideMark/>
          </w:tcPr>
          <w:p w14:paraId="36FAB654"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 xml:space="preserve">            výrobky</w:t>
            </w:r>
          </w:p>
        </w:tc>
        <w:tc>
          <w:tcPr>
            <w:tcW w:w="597" w:type="pct"/>
            <w:tcBorders>
              <w:top w:val="nil"/>
              <w:left w:val="nil"/>
              <w:bottom w:val="nil"/>
              <w:right w:val="nil"/>
            </w:tcBorders>
            <w:noWrap/>
            <w:vAlign w:val="center"/>
            <w:hideMark/>
          </w:tcPr>
          <w:p w14:paraId="4B31781A"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587 086</w:t>
            </w:r>
          </w:p>
        </w:tc>
        <w:tc>
          <w:tcPr>
            <w:tcW w:w="597" w:type="pct"/>
            <w:tcBorders>
              <w:top w:val="nil"/>
              <w:left w:val="nil"/>
              <w:bottom w:val="nil"/>
              <w:right w:val="nil"/>
            </w:tcBorders>
            <w:noWrap/>
            <w:vAlign w:val="center"/>
            <w:hideMark/>
          </w:tcPr>
          <w:p w14:paraId="43D95124"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603 262</w:t>
            </w:r>
          </w:p>
        </w:tc>
      </w:tr>
      <w:tr w:rsidR="00C84741" w:rsidRPr="00C84741" w14:paraId="3BB2A819" w14:textId="77777777" w:rsidTr="00C84741">
        <w:trPr>
          <w:trHeight w:val="284"/>
          <w:jc w:val="center"/>
        </w:trPr>
        <w:tc>
          <w:tcPr>
            <w:tcW w:w="327" w:type="pct"/>
            <w:tcBorders>
              <w:top w:val="nil"/>
              <w:left w:val="nil"/>
              <w:bottom w:val="nil"/>
              <w:right w:val="nil"/>
            </w:tcBorders>
            <w:noWrap/>
            <w:vAlign w:val="center"/>
            <w:hideMark/>
          </w:tcPr>
          <w:p w14:paraId="4AD40F28"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p>
        </w:tc>
        <w:tc>
          <w:tcPr>
            <w:tcW w:w="316" w:type="pct"/>
            <w:tcBorders>
              <w:top w:val="nil"/>
              <w:left w:val="nil"/>
              <w:bottom w:val="nil"/>
              <w:right w:val="nil"/>
            </w:tcBorders>
            <w:noWrap/>
            <w:vAlign w:val="center"/>
            <w:hideMark/>
          </w:tcPr>
          <w:p w14:paraId="44564767" w14:textId="23C78CBC" w:rsidR="00C84741" w:rsidRPr="00C84741" w:rsidRDefault="00C84741" w:rsidP="00C84741">
            <w:pPr>
              <w:spacing w:after="0" w:line="240" w:lineRule="auto"/>
              <w:jc w:val="center"/>
              <w:rPr>
                <w:rFonts w:ascii="Times New Roman" w:hAnsi="Times New Roman"/>
                <w:i/>
                <w:iCs/>
                <w:color w:val="000000"/>
                <w:sz w:val="20"/>
                <w:szCs w:val="20"/>
                <w:lang w:eastAsia="sk-SK"/>
              </w:rPr>
            </w:pPr>
            <w:hyperlink w:anchor="_Ostatné_zásoby" w:history="1">
              <w:r w:rsidRPr="00E760C1">
                <w:rPr>
                  <w:rStyle w:val="Hypertextovprepojenie"/>
                  <w:rFonts w:ascii="Times New Roman" w:hAnsi="Times New Roman"/>
                  <w:i/>
                  <w:iCs/>
                  <w:sz w:val="20"/>
                  <w:szCs w:val="20"/>
                  <w:lang w:eastAsia="sk-SK"/>
                </w:rPr>
                <w:t>19</w:t>
              </w:r>
            </w:hyperlink>
          </w:p>
        </w:tc>
        <w:tc>
          <w:tcPr>
            <w:tcW w:w="3163" w:type="pct"/>
            <w:tcBorders>
              <w:top w:val="nil"/>
              <w:left w:val="nil"/>
              <w:bottom w:val="nil"/>
              <w:right w:val="nil"/>
            </w:tcBorders>
            <w:noWrap/>
            <w:vAlign w:val="center"/>
            <w:hideMark/>
          </w:tcPr>
          <w:p w14:paraId="3CFE0B0B"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 xml:space="preserve">            ostatné zásoby</w:t>
            </w:r>
          </w:p>
        </w:tc>
        <w:tc>
          <w:tcPr>
            <w:tcW w:w="597" w:type="pct"/>
            <w:tcBorders>
              <w:top w:val="nil"/>
              <w:left w:val="nil"/>
              <w:bottom w:val="nil"/>
              <w:right w:val="nil"/>
            </w:tcBorders>
            <w:noWrap/>
            <w:vAlign w:val="center"/>
            <w:hideMark/>
          </w:tcPr>
          <w:p w14:paraId="78FA698D"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46 198</w:t>
            </w:r>
          </w:p>
        </w:tc>
        <w:tc>
          <w:tcPr>
            <w:tcW w:w="597" w:type="pct"/>
            <w:tcBorders>
              <w:top w:val="nil"/>
              <w:left w:val="nil"/>
              <w:bottom w:val="nil"/>
              <w:right w:val="nil"/>
            </w:tcBorders>
            <w:noWrap/>
            <w:vAlign w:val="center"/>
            <w:hideMark/>
          </w:tcPr>
          <w:p w14:paraId="39B04E25"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191 155</w:t>
            </w:r>
          </w:p>
        </w:tc>
      </w:tr>
      <w:tr w:rsidR="00C84741" w:rsidRPr="00C84741" w14:paraId="5019AAE3" w14:textId="77777777" w:rsidTr="00C84741">
        <w:trPr>
          <w:trHeight w:val="284"/>
          <w:jc w:val="center"/>
        </w:trPr>
        <w:tc>
          <w:tcPr>
            <w:tcW w:w="327" w:type="pct"/>
            <w:tcBorders>
              <w:top w:val="nil"/>
              <w:left w:val="nil"/>
              <w:bottom w:val="nil"/>
              <w:right w:val="nil"/>
            </w:tcBorders>
            <w:noWrap/>
            <w:vAlign w:val="center"/>
            <w:hideMark/>
          </w:tcPr>
          <w:p w14:paraId="4FE7ABEF"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B. II.</w:t>
            </w:r>
          </w:p>
        </w:tc>
        <w:tc>
          <w:tcPr>
            <w:tcW w:w="316" w:type="pct"/>
            <w:tcBorders>
              <w:top w:val="nil"/>
              <w:left w:val="nil"/>
              <w:bottom w:val="nil"/>
              <w:right w:val="nil"/>
            </w:tcBorders>
            <w:noWrap/>
            <w:vAlign w:val="center"/>
            <w:hideMark/>
          </w:tcPr>
          <w:p w14:paraId="05BBDC66"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p>
        </w:tc>
        <w:tc>
          <w:tcPr>
            <w:tcW w:w="3163" w:type="pct"/>
            <w:tcBorders>
              <w:top w:val="nil"/>
              <w:left w:val="nil"/>
              <w:bottom w:val="nil"/>
              <w:right w:val="nil"/>
            </w:tcBorders>
            <w:noWrap/>
            <w:vAlign w:val="center"/>
            <w:hideMark/>
          </w:tcPr>
          <w:p w14:paraId="1302F01A" w14:textId="2DA7E95E" w:rsidR="00C84741" w:rsidRPr="00C84741" w:rsidRDefault="00CB3B98" w:rsidP="00C84741">
            <w:pPr>
              <w:spacing w:after="0" w:line="240" w:lineRule="auto"/>
              <w:rPr>
                <w:rFonts w:ascii="Times New Roman" w:hAnsi="Times New Roman"/>
                <w:b/>
                <w:bCs/>
                <w:color w:val="000000"/>
                <w:sz w:val="20"/>
                <w:szCs w:val="20"/>
                <w:lang w:eastAsia="sk-SK"/>
              </w:rPr>
            </w:pPr>
            <w:r>
              <w:rPr>
                <w:rFonts w:ascii="Times New Roman" w:hAnsi="Times New Roman"/>
                <w:b/>
                <w:bCs/>
                <w:color w:val="000000"/>
                <w:sz w:val="20"/>
                <w:szCs w:val="20"/>
                <w:lang w:eastAsia="sk-SK"/>
              </w:rPr>
              <w:t>Krátkodobé p</w:t>
            </w:r>
            <w:r w:rsidR="00C84741" w:rsidRPr="008F3072">
              <w:rPr>
                <w:rFonts w:ascii="Times New Roman" w:hAnsi="Times New Roman"/>
                <w:b/>
                <w:bCs/>
                <w:color w:val="000000"/>
                <w:sz w:val="20"/>
                <w:szCs w:val="20"/>
                <w:lang w:eastAsia="sk-SK"/>
              </w:rPr>
              <w:t>ohľadávky</w:t>
            </w:r>
          </w:p>
        </w:tc>
        <w:tc>
          <w:tcPr>
            <w:tcW w:w="597" w:type="pct"/>
            <w:tcBorders>
              <w:top w:val="nil"/>
              <w:left w:val="nil"/>
              <w:bottom w:val="nil"/>
              <w:right w:val="nil"/>
            </w:tcBorders>
            <w:noWrap/>
            <w:vAlign w:val="center"/>
            <w:hideMark/>
          </w:tcPr>
          <w:p w14:paraId="72C1CE03"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13 915 756</w:t>
            </w:r>
          </w:p>
        </w:tc>
        <w:tc>
          <w:tcPr>
            <w:tcW w:w="597" w:type="pct"/>
            <w:tcBorders>
              <w:top w:val="nil"/>
              <w:left w:val="nil"/>
              <w:bottom w:val="nil"/>
              <w:right w:val="nil"/>
            </w:tcBorders>
            <w:noWrap/>
            <w:vAlign w:val="center"/>
            <w:hideMark/>
          </w:tcPr>
          <w:p w14:paraId="10094E9E"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12 493 028</w:t>
            </w:r>
          </w:p>
        </w:tc>
      </w:tr>
      <w:tr w:rsidR="00C84741" w:rsidRPr="00C84741" w14:paraId="7853CB68" w14:textId="77777777" w:rsidTr="00C84741">
        <w:trPr>
          <w:trHeight w:val="284"/>
          <w:jc w:val="center"/>
        </w:trPr>
        <w:tc>
          <w:tcPr>
            <w:tcW w:w="327" w:type="pct"/>
            <w:tcBorders>
              <w:top w:val="nil"/>
              <w:left w:val="nil"/>
              <w:bottom w:val="nil"/>
              <w:right w:val="nil"/>
            </w:tcBorders>
            <w:noWrap/>
            <w:vAlign w:val="center"/>
            <w:hideMark/>
          </w:tcPr>
          <w:p w14:paraId="03BD95BE"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p>
        </w:tc>
        <w:tc>
          <w:tcPr>
            <w:tcW w:w="316" w:type="pct"/>
            <w:tcBorders>
              <w:top w:val="nil"/>
              <w:left w:val="nil"/>
              <w:bottom w:val="nil"/>
              <w:right w:val="nil"/>
            </w:tcBorders>
            <w:noWrap/>
            <w:vAlign w:val="center"/>
            <w:hideMark/>
          </w:tcPr>
          <w:p w14:paraId="1B26543F" w14:textId="747B41FB"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Daňové_a_colné" w:history="1">
              <w:r w:rsidRPr="00E760C1">
                <w:rPr>
                  <w:rStyle w:val="Hypertextovprepojenie"/>
                  <w:rFonts w:ascii="Times New Roman" w:hAnsi="Times New Roman"/>
                  <w:i/>
                  <w:iCs/>
                  <w:sz w:val="19"/>
                  <w:szCs w:val="19"/>
                  <w:lang w:eastAsia="sk-SK"/>
                </w:rPr>
                <w:t>20</w:t>
              </w:r>
            </w:hyperlink>
          </w:p>
        </w:tc>
        <w:tc>
          <w:tcPr>
            <w:tcW w:w="3163" w:type="pct"/>
            <w:tcBorders>
              <w:top w:val="nil"/>
              <w:left w:val="nil"/>
              <w:bottom w:val="nil"/>
              <w:right w:val="nil"/>
            </w:tcBorders>
            <w:noWrap/>
            <w:vAlign w:val="center"/>
            <w:hideMark/>
          </w:tcPr>
          <w:p w14:paraId="287AAD89"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v tom   daňové a colné pohľadávky štátu</w:t>
            </w:r>
          </w:p>
        </w:tc>
        <w:tc>
          <w:tcPr>
            <w:tcW w:w="597" w:type="pct"/>
            <w:tcBorders>
              <w:top w:val="nil"/>
              <w:left w:val="nil"/>
              <w:bottom w:val="nil"/>
              <w:right w:val="nil"/>
            </w:tcBorders>
            <w:noWrap/>
            <w:vAlign w:val="center"/>
            <w:hideMark/>
          </w:tcPr>
          <w:p w14:paraId="0560208A"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232 124</w:t>
            </w:r>
          </w:p>
        </w:tc>
        <w:tc>
          <w:tcPr>
            <w:tcW w:w="597" w:type="pct"/>
            <w:tcBorders>
              <w:top w:val="nil"/>
              <w:left w:val="nil"/>
              <w:bottom w:val="nil"/>
              <w:right w:val="nil"/>
            </w:tcBorders>
            <w:noWrap/>
            <w:vAlign w:val="center"/>
            <w:hideMark/>
          </w:tcPr>
          <w:p w14:paraId="53CCF159"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328 136</w:t>
            </w:r>
          </w:p>
        </w:tc>
      </w:tr>
      <w:tr w:rsidR="00C84741" w:rsidRPr="00C84741" w14:paraId="0383B2AD" w14:textId="77777777" w:rsidTr="00C84741">
        <w:trPr>
          <w:trHeight w:val="284"/>
          <w:jc w:val="center"/>
        </w:trPr>
        <w:tc>
          <w:tcPr>
            <w:tcW w:w="327" w:type="pct"/>
            <w:tcBorders>
              <w:top w:val="nil"/>
              <w:left w:val="nil"/>
              <w:bottom w:val="nil"/>
              <w:right w:val="nil"/>
            </w:tcBorders>
            <w:noWrap/>
            <w:vAlign w:val="center"/>
            <w:hideMark/>
          </w:tcPr>
          <w:p w14:paraId="41AF3A16"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p>
        </w:tc>
        <w:tc>
          <w:tcPr>
            <w:tcW w:w="316" w:type="pct"/>
            <w:tcBorders>
              <w:top w:val="nil"/>
              <w:left w:val="nil"/>
              <w:bottom w:val="nil"/>
              <w:right w:val="nil"/>
            </w:tcBorders>
            <w:noWrap/>
            <w:vAlign w:val="center"/>
            <w:hideMark/>
          </w:tcPr>
          <w:p w14:paraId="7A5427A5" w14:textId="27C452D0"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Daňové_pohľadávky_územnej" w:history="1">
              <w:r w:rsidRPr="00E760C1">
                <w:rPr>
                  <w:rStyle w:val="Hypertextovprepojenie"/>
                  <w:rFonts w:ascii="Times New Roman" w:hAnsi="Times New Roman"/>
                  <w:i/>
                  <w:iCs/>
                  <w:sz w:val="19"/>
                  <w:szCs w:val="19"/>
                  <w:lang w:eastAsia="sk-SK"/>
                </w:rPr>
                <w:t>21</w:t>
              </w:r>
            </w:hyperlink>
          </w:p>
        </w:tc>
        <w:tc>
          <w:tcPr>
            <w:tcW w:w="3163" w:type="pct"/>
            <w:tcBorders>
              <w:top w:val="nil"/>
              <w:left w:val="nil"/>
              <w:bottom w:val="nil"/>
              <w:right w:val="nil"/>
            </w:tcBorders>
            <w:noWrap/>
            <w:vAlign w:val="center"/>
            <w:hideMark/>
          </w:tcPr>
          <w:p w14:paraId="0981D3FD"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 xml:space="preserve">            daňové pohľadávky územnej samosprávy</w:t>
            </w:r>
          </w:p>
        </w:tc>
        <w:tc>
          <w:tcPr>
            <w:tcW w:w="597" w:type="pct"/>
            <w:tcBorders>
              <w:top w:val="nil"/>
              <w:left w:val="nil"/>
              <w:bottom w:val="nil"/>
              <w:right w:val="nil"/>
            </w:tcBorders>
            <w:noWrap/>
            <w:vAlign w:val="center"/>
            <w:hideMark/>
          </w:tcPr>
          <w:p w14:paraId="54AE4BE1"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44 318</w:t>
            </w:r>
          </w:p>
        </w:tc>
        <w:tc>
          <w:tcPr>
            <w:tcW w:w="597" w:type="pct"/>
            <w:tcBorders>
              <w:top w:val="nil"/>
              <w:left w:val="nil"/>
              <w:bottom w:val="nil"/>
              <w:right w:val="nil"/>
            </w:tcBorders>
            <w:noWrap/>
            <w:vAlign w:val="center"/>
            <w:hideMark/>
          </w:tcPr>
          <w:p w14:paraId="3DA1CEB4"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41 291</w:t>
            </w:r>
          </w:p>
        </w:tc>
      </w:tr>
      <w:tr w:rsidR="00C84741" w:rsidRPr="00C84741" w14:paraId="729ECC8F" w14:textId="77777777" w:rsidTr="00C84741">
        <w:trPr>
          <w:trHeight w:val="284"/>
          <w:jc w:val="center"/>
        </w:trPr>
        <w:tc>
          <w:tcPr>
            <w:tcW w:w="327" w:type="pct"/>
            <w:tcBorders>
              <w:top w:val="nil"/>
              <w:left w:val="nil"/>
              <w:bottom w:val="nil"/>
              <w:right w:val="nil"/>
            </w:tcBorders>
            <w:noWrap/>
            <w:vAlign w:val="center"/>
            <w:hideMark/>
          </w:tcPr>
          <w:p w14:paraId="6E6A3DCF"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p>
        </w:tc>
        <w:tc>
          <w:tcPr>
            <w:tcW w:w="316" w:type="pct"/>
            <w:tcBorders>
              <w:top w:val="nil"/>
              <w:left w:val="nil"/>
              <w:bottom w:val="nil"/>
              <w:right w:val="nil"/>
            </w:tcBorders>
            <w:noWrap/>
            <w:vAlign w:val="center"/>
            <w:hideMark/>
          </w:tcPr>
          <w:p w14:paraId="7CD2196B" w14:textId="05A314E6"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Nedaňové_pohľadávky_štátu" w:history="1">
              <w:r w:rsidRPr="00E760C1">
                <w:rPr>
                  <w:rStyle w:val="Hypertextovprepojenie"/>
                  <w:rFonts w:ascii="Times New Roman" w:hAnsi="Times New Roman"/>
                  <w:i/>
                  <w:iCs/>
                  <w:sz w:val="19"/>
                  <w:szCs w:val="19"/>
                  <w:lang w:eastAsia="sk-SK"/>
                </w:rPr>
                <w:t>22</w:t>
              </w:r>
            </w:hyperlink>
          </w:p>
        </w:tc>
        <w:tc>
          <w:tcPr>
            <w:tcW w:w="3163" w:type="pct"/>
            <w:tcBorders>
              <w:top w:val="nil"/>
              <w:left w:val="nil"/>
              <w:bottom w:val="nil"/>
              <w:right w:val="nil"/>
            </w:tcBorders>
            <w:noWrap/>
            <w:vAlign w:val="center"/>
            <w:hideMark/>
          </w:tcPr>
          <w:p w14:paraId="23261B61"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 xml:space="preserve">            nedaňové pohľadávky štátu a územnej samosprávy</w:t>
            </w:r>
          </w:p>
        </w:tc>
        <w:tc>
          <w:tcPr>
            <w:tcW w:w="597" w:type="pct"/>
            <w:tcBorders>
              <w:top w:val="nil"/>
              <w:left w:val="nil"/>
              <w:bottom w:val="nil"/>
              <w:right w:val="nil"/>
            </w:tcBorders>
            <w:noWrap/>
            <w:vAlign w:val="center"/>
            <w:hideMark/>
          </w:tcPr>
          <w:p w14:paraId="07F5154F"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179 216</w:t>
            </w:r>
          </w:p>
        </w:tc>
        <w:tc>
          <w:tcPr>
            <w:tcW w:w="597" w:type="pct"/>
            <w:tcBorders>
              <w:top w:val="nil"/>
              <w:left w:val="nil"/>
              <w:bottom w:val="nil"/>
              <w:right w:val="nil"/>
            </w:tcBorders>
            <w:noWrap/>
            <w:vAlign w:val="center"/>
            <w:hideMark/>
          </w:tcPr>
          <w:p w14:paraId="603F2C99"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199 252</w:t>
            </w:r>
          </w:p>
        </w:tc>
      </w:tr>
      <w:tr w:rsidR="00C84741" w:rsidRPr="00C84741" w14:paraId="1E8DE8F0" w14:textId="77777777" w:rsidTr="00C84741">
        <w:trPr>
          <w:trHeight w:val="284"/>
          <w:jc w:val="center"/>
        </w:trPr>
        <w:tc>
          <w:tcPr>
            <w:tcW w:w="327" w:type="pct"/>
            <w:tcBorders>
              <w:top w:val="nil"/>
              <w:left w:val="nil"/>
              <w:bottom w:val="nil"/>
              <w:right w:val="nil"/>
            </w:tcBorders>
            <w:noWrap/>
            <w:vAlign w:val="center"/>
            <w:hideMark/>
          </w:tcPr>
          <w:p w14:paraId="511A8821"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p>
        </w:tc>
        <w:tc>
          <w:tcPr>
            <w:tcW w:w="316" w:type="pct"/>
            <w:tcBorders>
              <w:top w:val="nil"/>
              <w:left w:val="nil"/>
              <w:bottom w:val="nil"/>
              <w:right w:val="nil"/>
            </w:tcBorders>
            <w:noWrap/>
            <w:vAlign w:val="center"/>
            <w:hideMark/>
          </w:tcPr>
          <w:p w14:paraId="01E52F56" w14:textId="17ADEF97"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Odberatelia" w:history="1">
              <w:r w:rsidRPr="00E760C1">
                <w:rPr>
                  <w:rStyle w:val="Hypertextovprepojenie"/>
                  <w:rFonts w:ascii="Times New Roman" w:hAnsi="Times New Roman"/>
                  <w:i/>
                  <w:iCs/>
                  <w:sz w:val="19"/>
                  <w:szCs w:val="19"/>
                  <w:lang w:eastAsia="sk-SK"/>
                </w:rPr>
                <w:t>23</w:t>
              </w:r>
            </w:hyperlink>
          </w:p>
        </w:tc>
        <w:tc>
          <w:tcPr>
            <w:tcW w:w="3163" w:type="pct"/>
            <w:tcBorders>
              <w:top w:val="nil"/>
              <w:left w:val="nil"/>
              <w:bottom w:val="nil"/>
              <w:right w:val="nil"/>
            </w:tcBorders>
            <w:noWrap/>
            <w:vAlign w:val="center"/>
            <w:hideMark/>
          </w:tcPr>
          <w:p w14:paraId="5055A572"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 xml:space="preserve">            odberatelia</w:t>
            </w:r>
          </w:p>
        </w:tc>
        <w:tc>
          <w:tcPr>
            <w:tcW w:w="597" w:type="pct"/>
            <w:tcBorders>
              <w:top w:val="nil"/>
              <w:left w:val="nil"/>
              <w:bottom w:val="nil"/>
              <w:right w:val="nil"/>
            </w:tcBorders>
            <w:noWrap/>
            <w:vAlign w:val="center"/>
            <w:hideMark/>
          </w:tcPr>
          <w:p w14:paraId="00B8F0E5"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1 324 432</w:t>
            </w:r>
          </w:p>
        </w:tc>
        <w:tc>
          <w:tcPr>
            <w:tcW w:w="597" w:type="pct"/>
            <w:tcBorders>
              <w:top w:val="nil"/>
              <w:left w:val="nil"/>
              <w:bottom w:val="nil"/>
              <w:right w:val="nil"/>
            </w:tcBorders>
            <w:noWrap/>
            <w:vAlign w:val="center"/>
            <w:hideMark/>
          </w:tcPr>
          <w:p w14:paraId="51FE2994"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1 109 340</w:t>
            </w:r>
          </w:p>
        </w:tc>
      </w:tr>
      <w:tr w:rsidR="00C84741" w:rsidRPr="00C84741" w14:paraId="1E994880" w14:textId="77777777" w:rsidTr="00C84741">
        <w:trPr>
          <w:trHeight w:val="284"/>
          <w:jc w:val="center"/>
        </w:trPr>
        <w:tc>
          <w:tcPr>
            <w:tcW w:w="327" w:type="pct"/>
            <w:tcBorders>
              <w:top w:val="nil"/>
              <w:left w:val="nil"/>
              <w:bottom w:val="nil"/>
              <w:right w:val="nil"/>
            </w:tcBorders>
            <w:noWrap/>
            <w:vAlign w:val="center"/>
            <w:hideMark/>
          </w:tcPr>
          <w:p w14:paraId="452DF9C8"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p>
        </w:tc>
        <w:tc>
          <w:tcPr>
            <w:tcW w:w="316" w:type="pct"/>
            <w:tcBorders>
              <w:top w:val="nil"/>
              <w:left w:val="nil"/>
              <w:bottom w:val="nil"/>
              <w:right w:val="nil"/>
            </w:tcBorders>
            <w:noWrap/>
            <w:vAlign w:val="center"/>
            <w:hideMark/>
          </w:tcPr>
          <w:p w14:paraId="0FD44926" w14:textId="73BADB48"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Poskytnuté_preddavky_1" w:history="1">
              <w:r w:rsidRPr="00E760C1">
                <w:rPr>
                  <w:rStyle w:val="Hypertextovprepojenie"/>
                  <w:rFonts w:ascii="Times New Roman" w:hAnsi="Times New Roman"/>
                  <w:i/>
                  <w:iCs/>
                  <w:sz w:val="19"/>
                  <w:szCs w:val="19"/>
                  <w:lang w:eastAsia="sk-SK"/>
                </w:rPr>
                <w:t>24</w:t>
              </w:r>
            </w:hyperlink>
          </w:p>
        </w:tc>
        <w:tc>
          <w:tcPr>
            <w:tcW w:w="3163" w:type="pct"/>
            <w:tcBorders>
              <w:top w:val="nil"/>
              <w:left w:val="nil"/>
              <w:bottom w:val="nil"/>
              <w:right w:val="nil"/>
            </w:tcBorders>
            <w:noWrap/>
            <w:vAlign w:val="center"/>
            <w:hideMark/>
          </w:tcPr>
          <w:p w14:paraId="5E06E1F6"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 xml:space="preserve">            poskytnuté preddavky</w:t>
            </w:r>
          </w:p>
        </w:tc>
        <w:tc>
          <w:tcPr>
            <w:tcW w:w="597" w:type="pct"/>
            <w:tcBorders>
              <w:top w:val="nil"/>
              <w:left w:val="nil"/>
              <w:bottom w:val="nil"/>
              <w:right w:val="nil"/>
            </w:tcBorders>
            <w:noWrap/>
            <w:vAlign w:val="center"/>
            <w:hideMark/>
          </w:tcPr>
          <w:p w14:paraId="49178C2F"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1 344 624</w:t>
            </w:r>
          </w:p>
        </w:tc>
        <w:tc>
          <w:tcPr>
            <w:tcW w:w="597" w:type="pct"/>
            <w:tcBorders>
              <w:top w:val="nil"/>
              <w:left w:val="nil"/>
              <w:bottom w:val="nil"/>
              <w:right w:val="nil"/>
            </w:tcBorders>
            <w:noWrap/>
            <w:vAlign w:val="center"/>
            <w:hideMark/>
          </w:tcPr>
          <w:p w14:paraId="2769BD8B"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1 412 850</w:t>
            </w:r>
          </w:p>
        </w:tc>
      </w:tr>
      <w:tr w:rsidR="00C84741" w:rsidRPr="00C84741" w14:paraId="78B02143" w14:textId="77777777" w:rsidTr="00C84741">
        <w:trPr>
          <w:trHeight w:val="284"/>
          <w:jc w:val="center"/>
        </w:trPr>
        <w:tc>
          <w:tcPr>
            <w:tcW w:w="327" w:type="pct"/>
            <w:tcBorders>
              <w:top w:val="nil"/>
              <w:left w:val="nil"/>
              <w:bottom w:val="nil"/>
              <w:right w:val="nil"/>
            </w:tcBorders>
            <w:noWrap/>
            <w:vAlign w:val="center"/>
            <w:hideMark/>
          </w:tcPr>
          <w:p w14:paraId="797F2984"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p>
        </w:tc>
        <w:tc>
          <w:tcPr>
            <w:tcW w:w="316" w:type="pct"/>
            <w:tcBorders>
              <w:top w:val="nil"/>
              <w:left w:val="nil"/>
              <w:bottom w:val="nil"/>
              <w:right w:val="nil"/>
            </w:tcBorders>
            <w:noWrap/>
            <w:vAlign w:val="center"/>
            <w:hideMark/>
          </w:tcPr>
          <w:p w14:paraId="1E68B70C" w14:textId="7BF8AA48"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Pohľadávky_zo_zúčtovania" w:history="1">
              <w:r w:rsidRPr="00E760C1">
                <w:rPr>
                  <w:rStyle w:val="Hypertextovprepojenie"/>
                  <w:rFonts w:ascii="Times New Roman" w:hAnsi="Times New Roman"/>
                  <w:i/>
                  <w:iCs/>
                  <w:sz w:val="19"/>
                  <w:szCs w:val="19"/>
                  <w:lang w:eastAsia="sk-SK"/>
                </w:rPr>
                <w:t>25</w:t>
              </w:r>
            </w:hyperlink>
          </w:p>
        </w:tc>
        <w:tc>
          <w:tcPr>
            <w:tcW w:w="3163" w:type="pct"/>
            <w:tcBorders>
              <w:top w:val="nil"/>
              <w:left w:val="nil"/>
              <w:bottom w:val="nil"/>
              <w:right w:val="nil"/>
            </w:tcBorders>
            <w:noWrap/>
            <w:vAlign w:val="center"/>
            <w:hideMark/>
          </w:tcPr>
          <w:p w14:paraId="32431835"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 xml:space="preserve">            pohľadávky zo zúčtovania s EÚ</w:t>
            </w:r>
          </w:p>
        </w:tc>
        <w:tc>
          <w:tcPr>
            <w:tcW w:w="597" w:type="pct"/>
            <w:tcBorders>
              <w:top w:val="nil"/>
              <w:left w:val="nil"/>
              <w:bottom w:val="nil"/>
              <w:right w:val="nil"/>
            </w:tcBorders>
            <w:noWrap/>
            <w:vAlign w:val="center"/>
            <w:hideMark/>
          </w:tcPr>
          <w:p w14:paraId="530482B8"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161 075</w:t>
            </w:r>
          </w:p>
        </w:tc>
        <w:tc>
          <w:tcPr>
            <w:tcW w:w="597" w:type="pct"/>
            <w:tcBorders>
              <w:top w:val="nil"/>
              <w:left w:val="nil"/>
              <w:bottom w:val="nil"/>
              <w:right w:val="nil"/>
            </w:tcBorders>
            <w:noWrap/>
            <w:vAlign w:val="center"/>
            <w:hideMark/>
          </w:tcPr>
          <w:p w14:paraId="6F17A209"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92 249</w:t>
            </w:r>
          </w:p>
        </w:tc>
      </w:tr>
      <w:tr w:rsidR="00C84741" w:rsidRPr="00C84741" w14:paraId="7AA5D0E5" w14:textId="77777777" w:rsidTr="00C84741">
        <w:trPr>
          <w:trHeight w:val="284"/>
          <w:jc w:val="center"/>
        </w:trPr>
        <w:tc>
          <w:tcPr>
            <w:tcW w:w="327" w:type="pct"/>
            <w:tcBorders>
              <w:top w:val="nil"/>
              <w:left w:val="nil"/>
              <w:bottom w:val="nil"/>
              <w:right w:val="nil"/>
            </w:tcBorders>
            <w:noWrap/>
            <w:vAlign w:val="center"/>
            <w:hideMark/>
          </w:tcPr>
          <w:p w14:paraId="17F8FA0F"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p>
        </w:tc>
        <w:tc>
          <w:tcPr>
            <w:tcW w:w="316" w:type="pct"/>
            <w:tcBorders>
              <w:top w:val="nil"/>
              <w:left w:val="nil"/>
              <w:bottom w:val="nil"/>
              <w:right w:val="nil"/>
            </w:tcBorders>
            <w:noWrap/>
            <w:vAlign w:val="center"/>
            <w:hideMark/>
          </w:tcPr>
          <w:p w14:paraId="459DC886" w14:textId="2B7E9A33"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Zúčtovanie_medzi_subjektami" w:history="1">
              <w:r w:rsidRPr="00E760C1">
                <w:rPr>
                  <w:rStyle w:val="Hypertextovprepojenie"/>
                  <w:rFonts w:ascii="Times New Roman" w:hAnsi="Times New Roman"/>
                  <w:i/>
                  <w:iCs/>
                  <w:sz w:val="19"/>
                  <w:szCs w:val="19"/>
                  <w:lang w:eastAsia="sk-SK"/>
                </w:rPr>
                <w:t>26</w:t>
              </w:r>
            </w:hyperlink>
          </w:p>
        </w:tc>
        <w:tc>
          <w:tcPr>
            <w:tcW w:w="3163" w:type="pct"/>
            <w:tcBorders>
              <w:top w:val="nil"/>
              <w:left w:val="nil"/>
              <w:bottom w:val="nil"/>
              <w:right w:val="nil"/>
            </w:tcBorders>
            <w:noWrap/>
            <w:vAlign w:val="center"/>
            <w:hideMark/>
          </w:tcPr>
          <w:p w14:paraId="51228390"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 xml:space="preserve">            zúčtovanie medzi subjektmi verejnej správy</w:t>
            </w:r>
          </w:p>
        </w:tc>
        <w:tc>
          <w:tcPr>
            <w:tcW w:w="597" w:type="pct"/>
            <w:tcBorders>
              <w:top w:val="nil"/>
              <w:left w:val="nil"/>
              <w:bottom w:val="nil"/>
              <w:right w:val="nil"/>
            </w:tcBorders>
            <w:noWrap/>
            <w:vAlign w:val="center"/>
            <w:hideMark/>
          </w:tcPr>
          <w:p w14:paraId="341DFEB5"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85 049</w:t>
            </w:r>
          </w:p>
        </w:tc>
        <w:tc>
          <w:tcPr>
            <w:tcW w:w="597" w:type="pct"/>
            <w:tcBorders>
              <w:top w:val="nil"/>
              <w:left w:val="nil"/>
              <w:bottom w:val="nil"/>
              <w:right w:val="nil"/>
            </w:tcBorders>
            <w:noWrap/>
            <w:vAlign w:val="center"/>
            <w:hideMark/>
          </w:tcPr>
          <w:p w14:paraId="7DC145F5"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110 960</w:t>
            </w:r>
          </w:p>
        </w:tc>
      </w:tr>
      <w:tr w:rsidR="00C84741" w:rsidRPr="00C84741" w14:paraId="2CA5D19E" w14:textId="77777777" w:rsidTr="00C84741">
        <w:trPr>
          <w:trHeight w:val="284"/>
          <w:jc w:val="center"/>
        </w:trPr>
        <w:tc>
          <w:tcPr>
            <w:tcW w:w="327" w:type="pct"/>
            <w:tcBorders>
              <w:top w:val="nil"/>
              <w:left w:val="nil"/>
              <w:bottom w:val="nil"/>
              <w:right w:val="nil"/>
            </w:tcBorders>
            <w:noWrap/>
            <w:vAlign w:val="center"/>
            <w:hideMark/>
          </w:tcPr>
          <w:p w14:paraId="464BDC00"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p>
        </w:tc>
        <w:tc>
          <w:tcPr>
            <w:tcW w:w="316" w:type="pct"/>
            <w:tcBorders>
              <w:top w:val="nil"/>
              <w:left w:val="nil"/>
              <w:bottom w:val="nil"/>
              <w:right w:val="nil"/>
            </w:tcBorders>
            <w:noWrap/>
            <w:vAlign w:val="center"/>
            <w:hideMark/>
          </w:tcPr>
          <w:p w14:paraId="6743BABF" w14:textId="69EEDEC4"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Ostatné_krátkodobé_pohľadávky" w:history="1">
              <w:r w:rsidRPr="00E760C1">
                <w:rPr>
                  <w:rStyle w:val="Hypertextovprepojenie"/>
                  <w:rFonts w:ascii="Times New Roman" w:hAnsi="Times New Roman"/>
                  <w:i/>
                  <w:iCs/>
                  <w:sz w:val="19"/>
                  <w:szCs w:val="19"/>
                  <w:lang w:eastAsia="sk-SK"/>
                </w:rPr>
                <w:t>27</w:t>
              </w:r>
            </w:hyperlink>
          </w:p>
        </w:tc>
        <w:tc>
          <w:tcPr>
            <w:tcW w:w="3163" w:type="pct"/>
            <w:tcBorders>
              <w:top w:val="nil"/>
              <w:left w:val="nil"/>
              <w:bottom w:val="nil"/>
              <w:right w:val="nil"/>
            </w:tcBorders>
            <w:noWrap/>
            <w:vAlign w:val="center"/>
            <w:hideMark/>
          </w:tcPr>
          <w:p w14:paraId="2C602DEB"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 xml:space="preserve">           ostatné krátkodobé pohľadávky subjektov verejnej správy</w:t>
            </w:r>
          </w:p>
        </w:tc>
        <w:tc>
          <w:tcPr>
            <w:tcW w:w="597" w:type="pct"/>
            <w:tcBorders>
              <w:top w:val="nil"/>
              <w:left w:val="nil"/>
              <w:bottom w:val="nil"/>
              <w:right w:val="nil"/>
            </w:tcBorders>
            <w:noWrap/>
            <w:vAlign w:val="center"/>
            <w:hideMark/>
          </w:tcPr>
          <w:p w14:paraId="00CE65DE"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10 544 918</w:t>
            </w:r>
          </w:p>
        </w:tc>
        <w:tc>
          <w:tcPr>
            <w:tcW w:w="597" w:type="pct"/>
            <w:tcBorders>
              <w:top w:val="nil"/>
              <w:left w:val="nil"/>
              <w:bottom w:val="nil"/>
              <w:right w:val="nil"/>
            </w:tcBorders>
            <w:noWrap/>
            <w:vAlign w:val="center"/>
            <w:hideMark/>
          </w:tcPr>
          <w:p w14:paraId="0926B2CB"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9 198 950</w:t>
            </w:r>
          </w:p>
        </w:tc>
      </w:tr>
      <w:tr w:rsidR="00C84741" w:rsidRPr="00C84741" w14:paraId="3976A68E" w14:textId="77777777" w:rsidTr="00C84741">
        <w:trPr>
          <w:trHeight w:val="284"/>
          <w:jc w:val="center"/>
        </w:trPr>
        <w:tc>
          <w:tcPr>
            <w:tcW w:w="327" w:type="pct"/>
            <w:tcBorders>
              <w:top w:val="nil"/>
              <w:left w:val="nil"/>
              <w:bottom w:val="nil"/>
              <w:right w:val="nil"/>
            </w:tcBorders>
            <w:noWrap/>
            <w:vAlign w:val="center"/>
            <w:hideMark/>
          </w:tcPr>
          <w:p w14:paraId="70675E65"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B.III.</w:t>
            </w:r>
          </w:p>
        </w:tc>
        <w:tc>
          <w:tcPr>
            <w:tcW w:w="316" w:type="pct"/>
            <w:tcBorders>
              <w:top w:val="nil"/>
              <w:left w:val="nil"/>
              <w:bottom w:val="nil"/>
              <w:right w:val="nil"/>
            </w:tcBorders>
            <w:noWrap/>
            <w:vAlign w:val="center"/>
            <w:hideMark/>
          </w:tcPr>
          <w:p w14:paraId="489D2F88"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p>
        </w:tc>
        <w:tc>
          <w:tcPr>
            <w:tcW w:w="3163" w:type="pct"/>
            <w:tcBorders>
              <w:top w:val="nil"/>
              <w:left w:val="nil"/>
              <w:bottom w:val="nil"/>
              <w:right w:val="nil"/>
            </w:tcBorders>
            <w:noWrap/>
            <w:vAlign w:val="center"/>
            <w:hideMark/>
          </w:tcPr>
          <w:p w14:paraId="513546C0" w14:textId="77777777" w:rsidR="00C84741" w:rsidRPr="00C84741" w:rsidRDefault="00C84741" w:rsidP="00C84741">
            <w:pPr>
              <w:spacing w:after="0" w:line="240" w:lineRule="auto"/>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Finančné účty a krátkodobý finančný majetok</w:t>
            </w:r>
          </w:p>
        </w:tc>
        <w:tc>
          <w:tcPr>
            <w:tcW w:w="597" w:type="pct"/>
            <w:tcBorders>
              <w:top w:val="nil"/>
              <w:left w:val="nil"/>
              <w:bottom w:val="nil"/>
              <w:right w:val="nil"/>
            </w:tcBorders>
            <w:noWrap/>
            <w:vAlign w:val="center"/>
            <w:hideMark/>
          </w:tcPr>
          <w:p w14:paraId="03E8257F"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5 042 491</w:t>
            </w:r>
          </w:p>
        </w:tc>
        <w:tc>
          <w:tcPr>
            <w:tcW w:w="597" w:type="pct"/>
            <w:tcBorders>
              <w:top w:val="nil"/>
              <w:left w:val="nil"/>
              <w:bottom w:val="nil"/>
              <w:right w:val="nil"/>
            </w:tcBorders>
            <w:noWrap/>
            <w:vAlign w:val="center"/>
            <w:hideMark/>
          </w:tcPr>
          <w:p w14:paraId="7BF32245"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5 031 698</w:t>
            </w:r>
          </w:p>
        </w:tc>
      </w:tr>
      <w:tr w:rsidR="00C84741" w:rsidRPr="00C84741" w14:paraId="0CB411E6" w14:textId="77777777" w:rsidTr="00C84741">
        <w:trPr>
          <w:trHeight w:val="284"/>
          <w:jc w:val="center"/>
        </w:trPr>
        <w:tc>
          <w:tcPr>
            <w:tcW w:w="327" w:type="pct"/>
            <w:tcBorders>
              <w:top w:val="nil"/>
              <w:left w:val="nil"/>
              <w:bottom w:val="nil"/>
              <w:right w:val="nil"/>
            </w:tcBorders>
            <w:noWrap/>
            <w:vAlign w:val="center"/>
            <w:hideMark/>
          </w:tcPr>
          <w:p w14:paraId="17E0683C"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p>
        </w:tc>
        <w:tc>
          <w:tcPr>
            <w:tcW w:w="316" w:type="pct"/>
            <w:tcBorders>
              <w:top w:val="nil"/>
              <w:left w:val="nil"/>
              <w:bottom w:val="nil"/>
              <w:right w:val="nil"/>
            </w:tcBorders>
            <w:noWrap/>
            <w:vAlign w:val="center"/>
            <w:hideMark/>
          </w:tcPr>
          <w:p w14:paraId="170B86B0" w14:textId="375B8BDA"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Bežné_bankové_účty," w:history="1">
              <w:r w:rsidRPr="00E760C1">
                <w:rPr>
                  <w:rStyle w:val="Hypertextovprepojenie"/>
                  <w:rFonts w:ascii="Times New Roman" w:hAnsi="Times New Roman"/>
                  <w:i/>
                  <w:iCs/>
                  <w:sz w:val="19"/>
                  <w:szCs w:val="19"/>
                  <w:lang w:eastAsia="sk-SK"/>
                </w:rPr>
                <w:t>28</w:t>
              </w:r>
            </w:hyperlink>
          </w:p>
        </w:tc>
        <w:tc>
          <w:tcPr>
            <w:tcW w:w="3163" w:type="pct"/>
            <w:tcBorders>
              <w:top w:val="nil"/>
              <w:left w:val="nil"/>
              <w:bottom w:val="nil"/>
              <w:right w:val="nil"/>
            </w:tcBorders>
            <w:noWrap/>
            <w:vAlign w:val="center"/>
            <w:hideMark/>
          </w:tcPr>
          <w:p w14:paraId="303ACCF4"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v tom   bežné bankové účty, pokladnica a ceniny</w:t>
            </w:r>
          </w:p>
        </w:tc>
        <w:tc>
          <w:tcPr>
            <w:tcW w:w="597" w:type="pct"/>
            <w:tcBorders>
              <w:top w:val="nil"/>
              <w:left w:val="nil"/>
              <w:bottom w:val="nil"/>
              <w:right w:val="nil"/>
            </w:tcBorders>
            <w:noWrap/>
            <w:vAlign w:val="center"/>
            <w:hideMark/>
          </w:tcPr>
          <w:p w14:paraId="5AD57D43"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5 014 555</w:t>
            </w:r>
          </w:p>
        </w:tc>
        <w:tc>
          <w:tcPr>
            <w:tcW w:w="597" w:type="pct"/>
            <w:tcBorders>
              <w:top w:val="nil"/>
              <w:left w:val="nil"/>
              <w:bottom w:val="nil"/>
              <w:right w:val="nil"/>
            </w:tcBorders>
            <w:noWrap/>
            <w:vAlign w:val="center"/>
            <w:hideMark/>
          </w:tcPr>
          <w:p w14:paraId="4B335E43"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4 506 576</w:t>
            </w:r>
          </w:p>
        </w:tc>
      </w:tr>
      <w:tr w:rsidR="00C84741" w:rsidRPr="00C84741" w14:paraId="28ECB6A6" w14:textId="77777777" w:rsidTr="00C84741">
        <w:trPr>
          <w:trHeight w:val="284"/>
          <w:jc w:val="center"/>
        </w:trPr>
        <w:tc>
          <w:tcPr>
            <w:tcW w:w="327" w:type="pct"/>
            <w:tcBorders>
              <w:top w:val="nil"/>
              <w:left w:val="nil"/>
              <w:bottom w:val="nil"/>
              <w:right w:val="nil"/>
            </w:tcBorders>
            <w:noWrap/>
            <w:vAlign w:val="center"/>
            <w:hideMark/>
          </w:tcPr>
          <w:p w14:paraId="731F6B0F"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p>
        </w:tc>
        <w:tc>
          <w:tcPr>
            <w:tcW w:w="316" w:type="pct"/>
            <w:tcBorders>
              <w:top w:val="nil"/>
              <w:left w:val="nil"/>
              <w:bottom w:val="nil"/>
              <w:right w:val="nil"/>
            </w:tcBorders>
            <w:noWrap/>
            <w:vAlign w:val="center"/>
            <w:hideMark/>
          </w:tcPr>
          <w:p w14:paraId="175B1BBB" w14:textId="3F4510FF"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Účty_Štátnej_pokladnice" w:history="1">
              <w:r w:rsidRPr="00E760C1">
                <w:rPr>
                  <w:rStyle w:val="Hypertextovprepojenie"/>
                  <w:rFonts w:ascii="Times New Roman" w:hAnsi="Times New Roman"/>
                  <w:i/>
                  <w:iCs/>
                  <w:sz w:val="19"/>
                  <w:szCs w:val="19"/>
                  <w:lang w:eastAsia="sk-SK"/>
                </w:rPr>
                <w:t>29</w:t>
              </w:r>
            </w:hyperlink>
          </w:p>
        </w:tc>
        <w:tc>
          <w:tcPr>
            <w:tcW w:w="3163" w:type="pct"/>
            <w:tcBorders>
              <w:top w:val="nil"/>
              <w:left w:val="nil"/>
              <w:bottom w:val="nil"/>
              <w:right w:val="nil"/>
            </w:tcBorders>
            <w:noWrap/>
            <w:vAlign w:val="center"/>
            <w:hideMark/>
          </w:tcPr>
          <w:p w14:paraId="1D43A363"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 xml:space="preserve">            účty Štátnej pokladnice</w:t>
            </w:r>
          </w:p>
        </w:tc>
        <w:tc>
          <w:tcPr>
            <w:tcW w:w="597" w:type="pct"/>
            <w:tcBorders>
              <w:top w:val="nil"/>
              <w:left w:val="nil"/>
              <w:bottom w:val="nil"/>
              <w:right w:val="nil"/>
            </w:tcBorders>
            <w:noWrap/>
            <w:vAlign w:val="center"/>
            <w:hideMark/>
          </w:tcPr>
          <w:p w14:paraId="46DFC742"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23 678</w:t>
            </w:r>
          </w:p>
        </w:tc>
        <w:tc>
          <w:tcPr>
            <w:tcW w:w="597" w:type="pct"/>
            <w:tcBorders>
              <w:top w:val="nil"/>
              <w:left w:val="nil"/>
              <w:bottom w:val="nil"/>
              <w:right w:val="nil"/>
            </w:tcBorders>
            <w:noWrap/>
            <w:vAlign w:val="center"/>
            <w:hideMark/>
          </w:tcPr>
          <w:p w14:paraId="11EC14F5"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520 399</w:t>
            </w:r>
          </w:p>
        </w:tc>
      </w:tr>
      <w:tr w:rsidR="00C84741" w:rsidRPr="00C84741" w14:paraId="0A70D319" w14:textId="77777777" w:rsidTr="00C84741">
        <w:trPr>
          <w:trHeight w:val="284"/>
          <w:jc w:val="center"/>
        </w:trPr>
        <w:tc>
          <w:tcPr>
            <w:tcW w:w="327" w:type="pct"/>
            <w:tcBorders>
              <w:top w:val="nil"/>
              <w:left w:val="nil"/>
              <w:bottom w:val="nil"/>
              <w:right w:val="nil"/>
            </w:tcBorders>
            <w:noWrap/>
            <w:vAlign w:val="center"/>
            <w:hideMark/>
          </w:tcPr>
          <w:p w14:paraId="1C27C843"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p>
        </w:tc>
        <w:tc>
          <w:tcPr>
            <w:tcW w:w="316" w:type="pct"/>
            <w:tcBorders>
              <w:top w:val="nil"/>
              <w:left w:val="nil"/>
              <w:bottom w:val="nil"/>
              <w:right w:val="nil"/>
            </w:tcBorders>
            <w:noWrap/>
            <w:vAlign w:val="center"/>
            <w:hideMark/>
          </w:tcPr>
          <w:p w14:paraId="3D3A7088" w14:textId="18BD9A8E" w:rsidR="00C84741" w:rsidRPr="00C84741" w:rsidRDefault="00C84741" w:rsidP="00C84741">
            <w:pPr>
              <w:spacing w:after="0" w:line="240" w:lineRule="auto"/>
              <w:jc w:val="center"/>
              <w:rPr>
                <w:rFonts w:ascii="Times New Roman" w:hAnsi="Times New Roman"/>
                <w:i/>
                <w:iCs/>
                <w:color w:val="000000"/>
                <w:sz w:val="19"/>
                <w:szCs w:val="19"/>
                <w:lang w:eastAsia="sk-SK"/>
              </w:rPr>
            </w:pPr>
            <w:hyperlink w:anchor="_Ostatný_krátkodobý_finančný" w:history="1">
              <w:r w:rsidRPr="00E760C1">
                <w:rPr>
                  <w:rStyle w:val="Hypertextovprepojenie"/>
                  <w:rFonts w:ascii="Times New Roman" w:hAnsi="Times New Roman"/>
                  <w:i/>
                  <w:iCs/>
                  <w:sz w:val="19"/>
                  <w:szCs w:val="19"/>
                  <w:lang w:eastAsia="sk-SK"/>
                </w:rPr>
                <w:t>30</w:t>
              </w:r>
            </w:hyperlink>
          </w:p>
        </w:tc>
        <w:tc>
          <w:tcPr>
            <w:tcW w:w="3163" w:type="pct"/>
            <w:tcBorders>
              <w:top w:val="nil"/>
              <w:left w:val="nil"/>
              <w:bottom w:val="nil"/>
              <w:right w:val="nil"/>
            </w:tcBorders>
            <w:noWrap/>
            <w:vAlign w:val="center"/>
            <w:hideMark/>
          </w:tcPr>
          <w:p w14:paraId="05FBE21C" w14:textId="77777777" w:rsidR="00C84741" w:rsidRPr="00C84741" w:rsidRDefault="00C84741" w:rsidP="00C84741">
            <w:pPr>
              <w:spacing w:after="0" w:line="240" w:lineRule="auto"/>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 xml:space="preserve">            ostatný krátkodobý finančný majetok</w:t>
            </w:r>
          </w:p>
        </w:tc>
        <w:tc>
          <w:tcPr>
            <w:tcW w:w="597" w:type="pct"/>
            <w:tcBorders>
              <w:top w:val="nil"/>
              <w:left w:val="nil"/>
              <w:bottom w:val="nil"/>
              <w:right w:val="nil"/>
            </w:tcBorders>
            <w:noWrap/>
            <w:vAlign w:val="center"/>
            <w:hideMark/>
          </w:tcPr>
          <w:p w14:paraId="2B1DF157"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4 258</w:t>
            </w:r>
          </w:p>
        </w:tc>
        <w:tc>
          <w:tcPr>
            <w:tcW w:w="597" w:type="pct"/>
            <w:tcBorders>
              <w:top w:val="nil"/>
              <w:left w:val="nil"/>
              <w:bottom w:val="nil"/>
              <w:right w:val="nil"/>
            </w:tcBorders>
            <w:noWrap/>
            <w:vAlign w:val="center"/>
            <w:hideMark/>
          </w:tcPr>
          <w:p w14:paraId="36C04DAE" w14:textId="77777777" w:rsidR="00C84741" w:rsidRPr="00C84741" w:rsidRDefault="00C84741" w:rsidP="00C84741">
            <w:pPr>
              <w:spacing w:after="0" w:line="240" w:lineRule="auto"/>
              <w:jc w:val="right"/>
              <w:rPr>
                <w:rFonts w:ascii="Times New Roman" w:hAnsi="Times New Roman"/>
                <w:i/>
                <w:iCs/>
                <w:color w:val="000000"/>
                <w:sz w:val="19"/>
                <w:szCs w:val="19"/>
                <w:lang w:eastAsia="sk-SK"/>
              </w:rPr>
            </w:pPr>
            <w:r w:rsidRPr="00C84741">
              <w:rPr>
                <w:rFonts w:ascii="Times New Roman" w:hAnsi="Times New Roman"/>
                <w:i/>
                <w:iCs/>
                <w:color w:val="000000"/>
                <w:sz w:val="19"/>
                <w:szCs w:val="19"/>
                <w:lang w:eastAsia="sk-SK"/>
              </w:rPr>
              <w:t>4 723</w:t>
            </w:r>
          </w:p>
        </w:tc>
      </w:tr>
      <w:tr w:rsidR="00C84741" w:rsidRPr="00C84741" w14:paraId="29032870" w14:textId="77777777" w:rsidTr="00C84741">
        <w:trPr>
          <w:trHeight w:val="284"/>
          <w:jc w:val="center"/>
        </w:trPr>
        <w:tc>
          <w:tcPr>
            <w:tcW w:w="327" w:type="pct"/>
            <w:tcBorders>
              <w:top w:val="nil"/>
              <w:left w:val="nil"/>
              <w:bottom w:val="single" w:sz="8" w:space="0" w:color="auto"/>
              <w:right w:val="nil"/>
            </w:tcBorders>
            <w:noWrap/>
            <w:vAlign w:val="center"/>
            <w:hideMark/>
          </w:tcPr>
          <w:p w14:paraId="255F131E" w14:textId="77777777" w:rsidR="00C84741" w:rsidRPr="00C84741" w:rsidRDefault="00C84741" w:rsidP="00C84741">
            <w:pPr>
              <w:spacing w:after="0" w:line="240" w:lineRule="auto"/>
              <w:jc w:val="center"/>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C.</w:t>
            </w:r>
          </w:p>
        </w:tc>
        <w:tc>
          <w:tcPr>
            <w:tcW w:w="316" w:type="pct"/>
            <w:tcBorders>
              <w:top w:val="nil"/>
              <w:left w:val="nil"/>
              <w:bottom w:val="single" w:sz="8" w:space="0" w:color="auto"/>
              <w:right w:val="nil"/>
            </w:tcBorders>
            <w:noWrap/>
            <w:vAlign w:val="center"/>
            <w:hideMark/>
          </w:tcPr>
          <w:p w14:paraId="4B6D1FBE" w14:textId="77777777" w:rsidR="00C84741" w:rsidRPr="00C84741" w:rsidRDefault="00C84741" w:rsidP="00C84741">
            <w:pPr>
              <w:spacing w:after="0" w:line="240" w:lineRule="auto"/>
              <w:rPr>
                <w:rFonts w:ascii="Times New Roman" w:hAnsi="Times New Roman"/>
                <w:color w:val="000000"/>
                <w:sz w:val="20"/>
                <w:szCs w:val="20"/>
                <w:lang w:eastAsia="sk-SK"/>
              </w:rPr>
            </w:pPr>
            <w:r w:rsidRPr="00C84741">
              <w:rPr>
                <w:rFonts w:ascii="Times New Roman" w:hAnsi="Times New Roman"/>
                <w:color w:val="000000"/>
                <w:sz w:val="20"/>
                <w:szCs w:val="20"/>
                <w:lang w:eastAsia="sk-SK"/>
              </w:rPr>
              <w:t> </w:t>
            </w:r>
          </w:p>
        </w:tc>
        <w:tc>
          <w:tcPr>
            <w:tcW w:w="3163" w:type="pct"/>
            <w:tcBorders>
              <w:top w:val="nil"/>
              <w:left w:val="nil"/>
              <w:bottom w:val="single" w:sz="8" w:space="0" w:color="auto"/>
              <w:right w:val="nil"/>
            </w:tcBorders>
            <w:noWrap/>
            <w:vAlign w:val="center"/>
            <w:hideMark/>
          </w:tcPr>
          <w:p w14:paraId="34679E8E" w14:textId="77777777" w:rsidR="00C84741" w:rsidRPr="00C84741" w:rsidRDefault="00C84741" w:rsidP="00C84741">
            <w:pPr>
              <w:spacing w:after="0" w:line="240" w:lineRule="auto"/>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Časové rozlíšenie</w:t>
            </w:r>
          </w:p>
        </w:tc>
        <w:tc>
          <w:tcPr>
            <w:tcW w:w="597" w:type="pct"/>
            <w:tcBorders>
              <w:top w:val="nil"/>
              <w:left w:val="nil"/>
              <w:bottom w:val="single" w:sz="8" w:space="0" w:color="auto"/>
              <w:right w:val="nil"/>
            </w:tcBorders>
            <w:noWrap/>
            <w:vAlign w:val="center"/>
            <w:hideMark/>
          </w:tcPr>
          <w:p w14:paraId="063A81F6"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1 901 340</w:t>
            </w:r>
          </w:p>
        </w:tc>
        <w:tc>
          <w:tcPr>
            <w:tcW w:w="597" w:type="pct"/>
            <w:tcBorders>
              <w:top w:val="nil"/>
              <w:left w:val="nil"/>
              <w:bottom w:val="single" w:sz="8" w:space="0" w:color="auto"/>
              <w:right w:val="nil"/>
            </w:tcBorders>
            <w:noWrap/>
            <w:vAlign w:val="center"/>
            <w:hideMark/>
          </w:tcPr>
          <w:p w14:paraId="0D985BB7" w14:textId="77777777" w:rsidR="00C84741" w:rsidRPr="00C84741" w:rsidRDefault="00C84741" w:rsidP="00C84741">
            <w:pPr>
              <w:spacing w:after="0" w:line="240" w:lineRule="auto"/>
              <w:jc w:val="right"/>
              <w:rPr>
                <w:rFonts w:ascii="Times New Roman" w:hAnsi="Times New Roman"/>
                <w:b/>
                <w:bCs/>
                <w:color w:val="000000"/>
                <w:sz w:val="20"/>
                <w:szCs w:val="20"/>
                <w:lang w:eastAsia="sk-SK"/>
              </w:rPr>
            </w:pPr>
            <w:r w:rsidRPr="00C84741">
              <w:rPr>
                <w:rFonts w:ascii="Times New Roman" w:hAnsi="Times New Roman"/>
                <w:b/>
                <w:bCs/>
                <w:color w:val="000000"/>
                <w:sz w:val="20"/>
                <w:szCs w:val="20"/>
                <w:lang w:eastAsia="sk-SK"/>
              </w:rPr>
              <w:t>1 259 701</w:t>
            </w:r>
          </w:p>
        </w:tc>
      </w:tr>
    </w:tbl>
    <w:p w14:paraId="163C64B6" w14:textId="77777777" w:rsidR="0082217B" w:rsidRPr="00BD6E45" w:rsidRDefault="0082217B" w:rsidP="00BD6E45">
      <w:pPr>
        <w:spacing w:after="0" w:line="240" w:lineRule="auto"/>
        <w:rPr>
          <w:rFonts w:ascii="Times New Roman" w:hAnsi="Times New Roman"/>
          <w:color w:val="FF0000"/>
          <w:szCs w:val="22"/>
          <w:highlight w:val="yellow"/>
        </w:rPr>
      </w:pPr>
    </w:p>
    <w:p w14:paraId="2D1CB2EA" w14:textId="77777777" w:rsidR="004E276D" w:rsidRPr="0085799C" w:rsidRDefault="004E276D" w:rsidP="0085799C">
      <w:pPr>
        <w:spacing w:after="0" w:line="240" w:lineRule="auto"/>
        <w:rPr>
          <w:rFonts w:ascii="Times New Roman" w:hAnsi="Times New Roman"/>
          <w:b/>
          <w:szCs w:val="22"/>
        </w:rPr>
      </w:pPr>
    </w:p>
    <w:p w14:paraId="41F2291D" w14:textId="77777777" w:rsidR="001B431B" w:rsidRPr="0085799C" w:rsidRDefault="001B431B" w:rsidP="0085799C">
      <w:pPr>
        <w:spacing w:after="0" w:line="240" w:lineRule="auto"/>
        <w:rPr>
          <w:rFonts w:ascii="Times New Roman" w:hAnsi="Times New Roman"/>
          <w:b/>
          <w:szCs w:val="22"/>
        </w:rPr>
      </w:pPr>
    </w:p>
    <w:p w14:paraId="1D20E138" w14:textId="77777777" w:rsidR="00C95D3C" w:rsidRPr="0085799C" w:rsidRDefault="00C95D3C" w:rsidP="0085799C">
      <w:pPr>
        <w:spacing w:after="0" w:line="240" w:lineRule="auto"/>
        <w:rPr>
          <w:rFonts w:ascii="Times New Roman" w:hAnsi="Times New Roman"/>
          <w:b/>
          <w:szCs w:val="22"/>
        </w:rPr>
      </w:pPr>
    </w:p>
    <w:p w14:paraId="3B0279F0" w14:textId="77777777" w:rsidR="00FB742C" w:rsidRPr="0085799C" w:rsidRDefault="00FB742C" w:rsidP="0085799C">
      <w:pPr>
        <w:spacing w:after="0" w:line="240" w:lineRule="auto"/>
        <w:rPr>
          <w:rFonts w:ascii="Times New Roman" w:hAnsi="Times New Roman"/>
          <w:b/>
          <w:szCs w:val="22"/>
        </w:rPr>
      </w:pPr>
    </w:p>
    <w:tbl>
      <w:tblPr>
        <w:tblW w:w="9356" w:type="dxa"/>
        <w:jc w:val="center"/>
        <w:tblCellMar>
          <w:left w:w="70" w:type="dxa"/>
          <w:right w:w="70" w:type="dxa"/>
        </w:tblCellMar>
        <w:tblLook w:val="04A0" w:firstRow="1" w:lastRow="0" w:firstColumn="1" w:lastColumn="0" w:noHBand="0" w:noVBand="1"/>
      </w:tblPr>
      <w:tblGrid>
        <w:gridCol w:w="618"/>
        <w:gridCol w:w="602"/>
        <w:gridCol w:w="5821"/>
        <w:gridCol w:w="1157"/>
        <w:gridCol w:w="1158"/>
      </w:tblGrid>
      <w:tr w:rsidR="00704CBA" w:rsidRPr="00704CBA" w14:paraId="242923E0" w14:textId="77777777" w:rsidTr="0085799C">
        <w:trPr>
          <w:trHeight w:val="284"/>
          <w:jc w:val="center"/>
        </w:trPr>
        <w:tc>
          <w:tcPr>
            <w:tcW w:w="5000" w:type="pct"/>
            <w:gridSpan w:val="5"/>
            <w:tcBorders>
              <w:top w:val="single" w:sz="8" w:space="0" w:color="auto"/>
              <w:left w:val="nil"/>
              <w:bottom w:val="nil"/>
              <w:right w:val="nil"/>
            </w:tcBorders>
            <w:shd w:val="clear" w:color="000000" w:fill="F4B084"/>
            <w:noWrap/>
            <w:vAlign w:val="center"/>
            <w:hideMark/>
          </w:tcPr>
          <w:p w14:paraId="3BD637D8" w14:textId="237E66BD" w:rsidR="00704CBA" w:rsidRPr="00704CBA" w:rsidRDefault="00704CBA" w:rsidP="00704CBA">
            <w:pPr>
              <w:spacing w:after="0" w:line="240" w:lineRule="auto"/>
              <w:jc w:val="center"/>
              <w:rPr>
                <w:rFonts w:ascii="Times New Roman" w:hAnsi="Times New Roman"/>
                <w:b/>
                <w:bCs/>
                <w:color w:val="000000"/>
                <w:sz w:val="24"/>
                <w:szCs w:val="24"/>
                <w:lang w:eastAsia="sk-SK"/>
              </w:rPr>
            </w:pPr>
            <w:r w:rsidRPr="00704CBA">
              <w:rPr>
                <w:rFonts w:ascii="Times New Roman" w:hAnsi="Times New Roman"/>
                <w:b/>
                <w:bCs/>
                <w:color w:val="000000"/>
                <w:sz w:val="24"/>
                <w:szCs w:val="24"/>
                <w:lang w:eastAsia="sk-SK"/>
              </w:rPr>
              <w:t xml:space="preserve">SÚVAHA K </w:t>
            </w:r>
            <w:r w:rsidR="00F418A2">
              <w:rPr>
                <w:rFonts w:ascii="Times New Roman" w:hAnsi="Times New Roman"/>
                <w:b/>
                <w:bCs/>
                <w:color w:val="000000"/>
                <w:sz w:val="24"/>
                <w:szCs w:val="24"/>
                <w:lang w:eastAsia="sk-SK"/>
              </w:rPr>
              <w:t>31.</w:t>
            </w:r>
            <w:r w:rsidR="00CE5A24">
              <w:rPr>
                <w:rFonts w:ascii="Times New Roman" w:hAnsi="Times New Roman"/>
                <w:b/>
                <w:bCs/>
                <w:color w:val="000000"/>
                <w:sz w:val="24"/>
                <w:szCs w:val="24"/>
                <w:lang w:eastAsia="sk-SK"/>
              </w:rPr>
              <w:t xml:space="preserve"> </w:t>
            </w:r>
            <w:r w:rsidR="00F418A2">
              <w:rPr>
                <w:rFonts w:ascii="Times New Roman" w:hAnsi="Times New Roman"/>
                <w:b/>
                <w:bCs/>
                <w:color w:val="000000"/>
                <w:sz w:val="24"/>
                <w:szCs w:val="24"/>
                <w:lang w:eastAsia="sk-SK"/>
              </w:rPr>
              <w:t>12.</w:t>
            </w:r>
            <w:r w:rsidR="00CE5A24">
              <w:rPr>
                <w:rFonts w:ascii="Times New Roman" w:hAnsi="Times New Roman"/>
                <w:b/>
                <w:bCs/>
                <w:color w:val="000000"/>
                <w:sz w:val="24"/>
                <w:szCs w:val="24"/>
                <w:lang w:eastAsia="sk-SK"/>
              </w:rPr>
              <w:t xml:space="preserve"> </w:t>
            </w:r>
            <w:r w:rsidR="00F418A2">
              <w:rPr>
                <w:rFonts w:ascii="Times New Roman" w:hAnsi="Times New Roman"/>
                <w:b/>
                <w:bCs/>
                <w:color w:val="000000"/>
                <w:sz w:val="24"/>
                <w:szCs w:val="24"/>
                <w:lang w:eastAsia="sk-SK"/>
              </w:rPr>
              <w:t>2024</w:t>
            </w:r>
          </w:p>
        </w:tc>
      </w:tr>
      <w:tr w:rsidR="00704CBA" w:rsidRPr="00704CBA" w14:paraId="3B56F36D" w14:textId="77777777" w:rsidTr="0085799C">
        <w:trPr>
          <w:trHeight w:val="284"/>
          <w:jc w:val="center"/>
        </w:trPr>
        <w:tc>
          <w:tcPr>
            <w:tcW w:w="5000" w:type="pct"/>
            <w:gridSpan w:val="5"/>
            <w:tcBorders>
              <w:top w:val="nil"/>
              <w:left w:val="nil"/>
              <w:bottom w:val="single" w:sz="8" w:space="0" w:color="auto"/>
              <w:right w:val="nil"/>
            </w:tcBorders>
            <w:shd w:val="clear" w:color="000000" w:fill="F4B084"/>
            <w:noWrap/>
            <w:vAlign w:val="center"/>
            <w:hideMark/>
          </w:tcPr>
          <w:p w14:paraId="59520A03" w14:textId="77777777" w:rsidR="00704CBA" w:rsidRPr="00704CBA" w:rsidRDefault="00704CBA" w:rsidP="00704CBA">
            <w:pPr>
              <w:spacing w:after="0" w:line="240" w:lineRule="auto"/>
              <w:jc w:val="center"/>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(v tis. eur)</w:t>
            </w:r>
          </w:p>
        </w:tc>
      </w:tr>
      <w:tr w:rsidR="00704CBA" w:rsidRPr="00704CBA" w14:paraId="3BF4C6C1" w14:textId="77777777" w:rsidTr="00704CBA">
        <w:trPr>
          <w:trHeight w:val="284"/>
          <w:jc w:val="center"/>
        </w:trPr>
        <w:tc>
          <w:tcPr>
            <w:tcW w:w="320" w:type="pct"/>
            <w:tcBorders>
              <w:top w:val="nil"/>
              <w:left w:val="nil"/>
              <w:bottom w:val="single" w:sz="8" w:space="0" w:color="auto"/>
              <w:right w:val="nil"/>
            </w:tcBorders>
            <w:shd w:val="clear" w:color="000000" w:fill="BDD7EE"/>
            <w:noWrap/>
            <w:vAlign w:val="center"/>
            <w:hideMark/>
          </w:tcPr>
          <w:p w14:paraId="11C56A60"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 </w:t>
            </w:r>
          </w:p>
        </w:tc>
        <w:tc>
          <w:tcPr>
            <w:tcW w:w="312" w:type="pct"/>
            <w:tcBorders>
              <w:top w:val="nil"/>
              <w:left w:val="nil"/>
              <w:bottom w:val="single" w:sz="8" w:space="0" w:color="auto"/>
              <w:right w:val="nil"/>
            </w:tcBorders>
            <w:shd w:val="clear" w:color="000000" w:fill="BDD7EE"/>
            <w:noWrap/>
            <w:vAlign w:val="center"/>
            <w:hideMark/>
          </w:tcPr>
          <w:p w14:paraId="5D8EAD2E" w14:textId="77777777" w:rsidR="00704CBA" w:rsidRPr="00704CBA" w:rsidRDefault="00704CBA" w:rsidP="00704CBA">
            <w:pPr>
              <w:spacing w:after="0" w:line="240" w:lineRule="auto"/>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 </w:t>
            </w:r>
          </w:p>
        </w:tc>
        <w:tc>
          <w:tcPr>
            <w:tcW w:w="3118" w:type="pct"/>
            <w:tcBorders>
              <w:top w:val="nil"/>
              <w:left w:val="nil"/>
              <w:bottom w:val="single" w:sz="8" w:space="0" w:color="auto"/>
              <w:right w:val="nil"/>
            </w:tcBorders>
            <w:shd w:val="clear" w:color="000000" w:fill="BDD7EE"/>
            <w:noWrap/>
            <w:vAlign w:val="center"/>
            <w:hideMark/>
          </w:tcPr>
          <w:p w14:paraId="4596A26A" w14:textId="77777777" w:rsidR="00704CBA" w:rsidRPr="00704CBA" w:rsidRDefault="00704CBA" w:rsidP="00704CBA">
            <w:pPr>
              <w:spacing w:after="0" w:line="240" w:lineRule="auto"/>
              <w:jc w:val="center"/>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PASÍVA</w:t>
            </w:r>
            <w:r w:rsidRPr="00704CBA">
              <w:rPr>
                <w:rFonts w:ascii="Times New Roman" w:hAnsi="Times New Roman"/>
                <w:color w:val="000000"/>
                <w:sz w:val="20"/>
                <w:szCs w:val="20"/>
                <w:lang w:eastAsia="sk-SK"/>
              </w:rPr>
              <w:t> </w:t>
            </w:r>
          </w:p>
        </w:tc>
        <w:tc>
          <w:tcPr>
            <w:tcW w:w="625" w:type="pct"/>
            <w:tcBorders>
              <w:top w:val="nil"/>
              <w:left w:val="nil"/>
              <w:bottom w:val="single" w:sz="8" w:space="0" w:color="auto"/>
              <w:right w:val="nil"/>
            </w:tcBorders>
            <w:shd w:val="clear" w:color="000000" w:fill="BDD7EE"/>
            <w:noWrap/>
            <w:vAlign w:val="center"/>
            <w:hideMark/>
          </w:tcPr>
          <w:p w14:paraId="3EE19B25" w14:textId="77777777" w:rsidR="00704CBA" w:rsidRPr="00704CBA" w:rsidRDefault="00704CBA" w:rsidP="00704CBA">
            <w:pPr>
              <w:spacing w:after="0" w:line="240" w:lineRule="auto"/>
              <w:jc w:val="center"/>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2024</w:t>
            </w:r>
          </w:p>
        </w:tc>
        <w:tc>
          <w:tcPr>
            <w:tcW w:w="625" w:type="pct"/>
            <w:tcBorders>
              <w:top w:val="nil"/>
              <w:left w:val="nil"/>
              <w:bottom w:val="single" w:sz="8" w:space="0" w:color="auto"/>
              <w:right w:val="nil"/>
            </w:tcBorders>
            <w:shd w:val="clear" w:color="000000" w:fill="BDD7EE"/>
            <w:noWrap/>
            <w:vAlign w:val="center"/>
            <w:hideMark/>
          </w:tcPr>
          <w:p w14:paraId="70099DB9" w14:textId="77777777" w:rsidR="00704CBA" w:rsidRPr="00704CBA" w:rsidRDefault="00704CBA" w:rsidP="00704CBA">
            <w:pPr>
              <w:spacing w:after="0" w:line="240" w:lineRule="auto"/>
              <w:jc w:val="center"/>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2023</w:t>
            </w:r>
          </w:p>
        </w:tc>
      </w:tr>
      <w:tr w:rsidR="00704CBA" w:rsidRPr="00704CBA" w14:paraId="6ABC6106" w14:textId="77777777" w:rsidTr="0085799C">
        <w:trPr>
          <w:trHeight w:val="284"/>
          <w:jc w:val="center"/>
        </w:trPr>
        <w:tc>
          <w:tcPr>
            <w:tcW w:w="3750" w:type="pct"/>
            <w:gridSpan w:val="3"/>
            <w:tcBorders>
              <w:top w:val="single" w:sz="8" w:space="0" w:color="auto"/>
              <w:left w:val="nil"/>
              <w:bottom w:val="nil"/>
              <w:right w:val="nil"/>
            </w:tcBorders>
            <w:noWrap/>
            <w:vAlign w:val="center"/>
            <w:hideMark/>
          </w:tcPr>
          <w:p w14:paraId="3879C064" w14:textId="77777777" w:rsidR="00704CBA" w:rsidRPr="00704CBA" w:rsidRDefault="00704CBA" w:rsidP="00704CBA">
            <w:pPr>
              <w:spacing w:after="0" w:line="240" w:lineRule="auto"/>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VLASTNÉ  IMANIE A ZÁVÄZKY SPOLU (A+B+C)</w:t>
            </w:r>
          </w:p>
        </w:tc>
        <w:tc>
          <w:tcPr>
            <w:tcW w:w="625" w:type="pct"/>
            <w:tcBorders>
              <w:top w:val="nil"/>
              <w:left w:val="nil"/>
              <w:bottom w:val="nil"/>
              <w:right w:val="nil"/>
            </w:tcBorders>
            <w:noWrap/>
            <w:vAlign w:val="center"/>
            <w:hideMark/>
          </w:tcPr>
          <w:p w14:paraId="31D693D8"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94 706 512</w:t>
            </w:r>
          </w:p>
        </w:tc>
        <w:tc>
          <w:tcPr>
            <w:tcW w:w="625" w:type="pct"/>
            <w:tcBorders>
              <w:top w:val="nil"/>
              <w:left w:val="nil"/>
              <w:bottom w:val="nil"/>
              <w:right w:val="nil"/>
            </w:tcBorders>
            <w:noWrap/>
            <w:vAlign w:val="center"/>
            <w:hideMark/>
          </w:tcPr>
          <w:p w14:paraId="0FF2A54E"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89 831 258</w:t>
            </w:r>
          </w:p>
        </w:tc>
      </w:tr>
      <w:tr w:rsidR="00704CBA" w:rsidRPr="00704CBA" w14:paraId="4B66A9BC" w14:textId="77777777" w:rsidTr="00704CBA">
        <w:trPr>
          <w:trHeight w:val="284"/>
          <w:jc w:val="center"/>
        </w:trPr>
        <w:tc>
          <w:tcPr>
            <w:tcW w:w="320" w:type="pct"/>
            <w:tcBorders>
              <w:top w:val="nil"/>
              <w:left w:val="nil"/>
              <w:bottom w:val="nil"/>
              <w:right w:val="nil"/>
            </w:tcBorders>
            <w:noWrap/>
            <w:vAlign w:val="center"/>
            <w:hideMark/>
          </w:tcPr>
          <w:p w14:paraId="57E30C27" w14:textId="77777777" w:rsidR="00704CBA" w:rsidRPr="00704CBA" w:rsidRDefault="00704CBA" w:rsidP="00704CBA">
            <w:pPr>
              <w:spacing w:after="0" w:line="240" w:lineRule="auto"/>
              <w:jc w:val="center"/>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A.</w:t>
            </w:r>
          </w:p>
        </w:tc>
        <w:tc>
          <w:tcPr>
            <w:tcW w:w="312" w:type="pct"/>
            <w:tcBorders>
              <w:top w:val="nil"/>
              <w:left w:val="nil"/>
              <w:bottom w:val="nil"/>
              <w:right w:val="nil"/>
            </w:tcBorders>
            <w:noWrap/>
            <w:vAlign w:val="center"/>
            <w:hideMark/>
          </w:tcPr>
          <w:p w14:paraId="3C56205D" w14:textId="77777777" w:rsidR="00704CBA" w:rsidRPr="00704CBA" w:rsidRDefault="00704CBA" w:rsidP="00704CBA">
            <w:pPr>
              <w:spacing w:after="0" w:line="240" w:lineRule="auto"/>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pozn.</w:t>
            </w:r>
          </w:p>
        </w:tc>
        <w:tc>
          <w:tcPr>
            <w:tcW w:w="3118" w:type="pct"/>
            <w:tcBorders>
              <w:top w:val="nil"/>
              <w:left w:val="nil"/>
              <w:bottom w:val="nil"/>
              <w:right w:val="nil"/>
            </w:tcBorders>
            <w:noWrap/>
            <w:vAlign w:val="center"/>
            <w:hideMark/>
          </w:tcPr>
          <w:p w14:paraId="4F2474B7" w14:textId="77777777" w:rsidR="00704CBA" w:rsidRPr="00704CBA" w:rsidRDefault="00704CBA" w:rsidP="00704CBA">
            <w:pPr>
              <w:spacing w:after="0" w:line="240" w:lineRule="auto"/>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Vlastné imanie (A.I až A.III.)</w:t>
            </w:r>
          </w:p>
        </w:tc>
        <w:tc>
          <w:tcPr>
            <w:tcW w:w="625" w:type="pct"/>
            <w:tcBorders>
              <w:top w:val="nil"/>
              <w:left w:val="nil"/>
              <w:bottom w:val="nil"/>
              <w:right w:val="nil"/>
            </w:tcBorders>
            <w:noWrap/>
            <w:vAlign w:val="center"/>
            <w:hideMark/>
          </w:tcPr>
          <w:p w14:paraId="449E5DA8"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-36 024 425</w:t>
            </w:r>
          </w:p>
        </w:tc>
        <w:tc>
          <w:tcPr>
            <w:tcW w:w="625" w:type="pct"/>
            <w:tcBorders>
              <w:top w:val="nil"/>
              <w:left w:val="nil"/>
              <w:bottom w:val="nil"/>
              <w:right w:val="nil"/>
            </w:tcBorders>
            <w:noWrap/>
            <w:vAlign w:val="center"/>
            <w:hideMark/>
          </w:tcPr>
          <w:p w14:paraId="0A7BD352"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-32 038 974</w:t>
            </w:r>
          </w:p>
        </w:tc>
      </w:tr>
      <w:tr w:rsidR="00704CBA" w:rsidRPr="00704CBA" w14:paraId="0E8F1E2A" w14:textId="77777777" w:rsidTr="00704CBA">
        <w:trPr>
          <w:trHeight w:val="284"/>
          <w:jc w:val="center"/>
        </w:trPr>
        <w:tc>
          <w:tcPr>
            <w:tcW w:w="320" w:type="pct"/>
            <w:tcBorders>
              <w:top w:val="nil"/>
              <w:left w:val="nil"/>
              <w:bottom w:val="nil"/>
              <w:right w:val="nil"/>
            </w:tcBorders>
            <w:noWrap/>
            <w:vAlign w:val="center"/>
            <w:hideMark/>
          </w:tcPr>
          <w:p w14:paraId="3C8A6CEF"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A.I.</w:t>
            </w:r>
          </w:p>
        </w:tc>
        <w:tc>
          <w:tcPr>
            <w:tcW w:w="312" w:type="pct"/>
            <w:tcBorders>
              <w:top w:val="nil"/>
              <w:left w:val="nil"/>
              <w:bottom w:val="nil"/>
              <w:right w:val="nil"/>
            </w:tcBorders>
            <w:noWrap/>
            <w:vAlign w:val="center"/>
            <w:hideMark/>
          </w:tcPr>
          <w:p w14:paraId="2581EC49"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p>
        </w:tc>
        <w:tc>
          <w:tcPr>
            <w:tcW w:w="3118" w:type="pct"/>
            <w:tcBorders>
              <w:top w:val="nil"/>
              <w:left w:val="nil"/>
              <w:bottom w:val="nil"/>
              <w:right w:val="nil"/>
            </w:tcBorders>
            <w:noWrap/>
            <w:vAlign w:val="center"/>
            <w:hideMark/>
          </w:tcPr>
          <w:p w14:paraId="04526FBC" w14:textId="77777777" w:rsidR="00704CBA" w:rsidRPr="00704CBA" w:rsidRDefault="00704CBA" w:rsidP="00704CBA">
            <w:pPr>
              <w:spacing w:after="0" w:line="240" w:lineRule="auto"/>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 xml:space="preserve">Oceňovacie rozdiely </w:t>
            </w:r>
          </w:p>
        </w:tc>
        <w:tc>
          <w:tcPr>
            <w:tcW w:w="625" w:type="pct"/>
            <w:tcBorders>
              <w:top w:val="nil"/>
              <w:left w:val="nil"/>
              <w:bottom w:val="nil"/>
              <w:right w:val="nil"/>
            </w:tcBorders>
            <w:noWrap/>
            <w:vAlign w:val="center"/>
            <w:hideMark/>
          </w:tcPr>
          <w:p w14:paraId="69953026"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-6 186</w:t>
            </w:r>
          </w:p>
        </w:tc>
        <w:tc>
          <w:tcPr>
            <w:tcW w:w="625" w:type="pct"/>
            <w:tcBorders>
              <w:top w:val="nil"/>
              <w:left w:val="nil"/>
              <w:bottom w:val="nil"/>
              <w:right w:val="nil"/>
            </w:tcBorders>
            <w:noWrap/>
            <w:vAlign w:val="center"/>
            <w:hideMark/>
          </w:tcPr>
          <w:p w14:paraId="1B650C21"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-4 779</w:t>
            </w:r>
          </w:p>
        </w:tc>
      </w:tr>
      <w:tr w:rsidR="00704CBA" w:rsidRPr="00704CBA" w14:paraId="03D95807" w14:textId="77777777" w:rsidTr="00704CBA">
        <w:trPr>
          <w:trHeight w:val="284"/>
          <w:jc w:val="center"/>
        </w:trPr>
        <w:tc>
          <w:tcPr>
            <w:tcW w:w="320" w:type="pct"/>
            <w:tcBorders>
              <w:top w:val="nil"/>
              <w:left w:val="nil"/>
              <w:bottom w:val="nil"/>
              <w:right w:val="nil"/>
            </w:tcBorders>
            <w:noWrap/>
            <w:vAlign w:val="center"/>
            <w:hideMark/>
          </w:tcPr>
          <w:p w14:paraId="2384F25F"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A.II.</w:t>
            </w:r>
          </w:p>
        </w:tc>
        <w:tc>
          <w:tcPr>
            <w:tcW w:w="312" w:type="pct"/>
            <w:tcBorders>
              <w:top w:val="nil"/>
              <w:left w:val="nil"/>
              <w:bottom w:val="nil"/>
              <w:right w:val="nil"/>
            </w:tcBorders>
            <w:noWrap/>
            <w:vAlign w:val="center"/>
            <w:hideMark/>
          </w:tcPr>
          <w:p w14:paraId="3E52FA6F"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p>
        </w:tc>
        <w:tc>
          <w:tcPr>
            <w:tcW w:w="3118" w:type="pct"/>
            <w:tcBorders>
              <w:top w:val="nil"/>
              <w:left w:val="nil"/>
              <w:bottom w:val="nil"/>
              <w:right w:val="nil"/>
            </w:tcBorders>
            <w:noWrap/>
            <w:vAlign w:val="center"/>
            <w:hideMark/>
          </w:tcPr>
          <w:p w14:paraId="105E3896" w14:textId="77777777" w:rsidR="00704CBA" w:rsidRPr="00704CBA" w:rsidRDefault="00704CBA" w:rsidP="00704CBA">
            <w:pPr>
              <w:spacing w:after="0" w:line="240" w:lineRule="auto"/>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Výsledok hospodárenia (A.II.1.+A.II.2.)</w:t>
            </w:r>
          </w:p>
        </w:tc>
        <w:tc>
          <w:tcPr>
            <w:tcW w:w="625" w:type="pct"/>
            <w:tcBorders>
              <w:top w:val="nil"/>
              <w:left w:val="nil"/>
              <w:bottom w:val="nil"/>
              <w:right w:val="nil"/>
            </w:tcBorders>
            <w:noWrap/>
            <w:vAlign w:val="center"/>
            <w:hideMark/>
          </w:tcPr>
          <w:p w14:paraId="09AD982E"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-36 191 434</w:t>
            </w:r>
          </w:p>
        </w:tc>
        <w:tc>
          <w:tcPr>
            <w:tcW w:w="625" w:type="pct"/>
            <w:tcBorders>
              <w:top w:val="nil"/>
              <w:left w:val="nil"/>
              <w:bottom w:val="nil"/>
              <w:right w:val="nil"/>
            </w:tcBorders>
            <w:noWrap/>
            <w:vAlign w:val="center"/>
            <w:hideMark/>
          </w:tcPr>
          <w:p w14:paraId="63B3CD56"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-32 197 109</w:t>
            </w:r>
          </w:p>
        </w:tc>
      </w:tr>
      <w:tr w:rsidR="00704CBA" w:rsidRPr="00704CBA" w14:paraId="289B71C5" w14:textId="77777777" w:rsidTr="00704CBA">
        <w:trPr>
          <w:trHeight w:val="284"/>
          <w:jc w:val="center"/>
        </w:trPr>
        <w:tc>
          <w:tcPr>
            <w:tcW w:w="320" w:type="pct"/>
            <w:tcBorders>
              <w:top w:val="nil"/>
              <w:left w:val="nil"/>
              <w:bottom w:val="nil"/>
              <w:right w:val="nil"/>
            </w:tcBorders>
            <w:noWrap/>
            <w:vAlign w:val="center"/>
            <w:hideMark/>
          </w:tcPr>
          <w:p w14:paraId="4412BAB7"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p>
        </w:tc>
        <w:tc>
          <w:tcPr>
            <w:tcW w:w="312" w:type="pct"/>
            <w:tcBorders>
              <w:top w:val="nil"/>
              <w:left w:val="nil"/>
              <w:bottom w:val="nil"/>
              <w:right w:val="nil"/>
            </w:tcBorders>
            <w:noWrap/>
            <w:vAlign w:val="center"/>
            <w:hideMark/>
          </w:tcPr>
          <w:p w14:paraId="1D91E4D6" w14:textId="33C3E185" w:rsidR="00704CBA" w:rsidRPr="00704CBA" w:rsidRDefault="00704CBA" w:rsidP="00704CBA">
            <w:pPr>
              <w:spacing w:after="0" w:line="240" w:lineRule="auto"/>
              <w:jc w:val="center"/>
              <w:rPr>
                <w:rFonts w:ascii="Times New Roman" w:hAnsi="Times New Roman"/>
                <w:i/>
                <w:iCs/>
                <w:color w:val="000000"/>
                <w:sz w:val="19"/>
                <w:szCs w:val="19"/>
                <w:lang w:eastAsia="sk-SK"/>
              </w:rPr>
            </w:pPr>
            <w:hyperlink w:anchor="_Nevysporiadaný_výsledok_hospodáreni" w:history="1">
              <w:r w:rsidRPr="00E760C1">
                <w:rPr>
                  <w:rStyle w:val="Hypertextovprepojenie"/>
                  <w:rFonts w:ascii="Times New Roman" w:hAnsi="Times New Roman"/>
                  <w:i/>
                  <w:iCs/>
                  <w:sz w:val="19"/>
                  <w:szCs w:val="19"/>
                  <w:lang w:eastAsia="sk-SK"/>
                </w:rPr>
                <w:t>31</w:t>
              </w:r>
            </w:hyperlink>
          </w:p>
        </w:tc>
        <w:tc>
          <w:tcPr>
            <w:tcW w:w="3118" w:type="pct"/>
            <w:tcBorders>
              <w:top w:val="nil"/>
              <w:left w:val="nil"/>
              <w:bottom w:val="nil"/>
              <w:right w:val="nil"/>
            </w:tcBorders>
            <w:noWrap/>
            <w:vAlign w:val="center"/>
            <w:hideMark/>
          </w:tcPr>
          <w:p w14:paraId="01049DDE" w14:textId="77777777" w:rsidR="00704CBA" w:rsidRPr="00704CBA" w:rsidRDefault="00704CBA" w:rsidP="00704CBA">
            <w:pPr>
              <w:spacing w:after="0" w:line="240" w:lineRule="auto"/>
              <w:rPr>
                <w:rFonts w:ascii="Times New Roman" w:hAnsi="Times New Roman"/>
                <w:i/>
                <w:iCs/>
                <w:color w:val="000000"/>
                <w:sz w:val="19"/>
                <w:szCs w:val="19"/>
                <w:lang w:eastAsia="sk-SK"/>
              </w:rPr>
            </w:pPr>
            <w:proofErr w:type="spellStart"/>
            <w:r w:rsidRPr="00704CBA">
              <w:rPr>
                <w:rFonts w:ascii="Times New Roman" w:hAnsi="Times New Roman"/>
                <w:i/>
                <w:iCs/>
                <w:color w:val="000000"/>
                <w:sz w:val="19"/>
                <w:szCs w:val="19"/>
                <w:lang w:eastAsia="sk-SK"/>
              </w:rPr>
              <w:t>nevysporiadaný</w:t>
            </w:r>
            <w:proofErr w:type="spellEnd"/>
            <w:r w:rsidRPr="00704CBA">
              <w:rPr>
                <w:rFonts w:ascii="Times New Roman" w:hAnsi="Times New Roman"/>
                <w:i/>
                <w:iCs/>
                <w:color w:val="000000"/>
                <w:sz w:val="19"/>
                <w:szCs w:val="19"/>
                <w:lang w:eastAsia="sk-SK"/>
              </w:rPr>
              <w:t xml:space="preserve"> výsledok hospodárenia min. rokov </w:t>
            </w:r>
          </w:p>
        </w:tc>
        <w:tc>
          <w:tcPr>
            <w:tcW w:w="625" w:type="pct"/>
            <w:tcBorders>
              <w:top w:val="nil"/>
              <w:left w:val="nil"/>
              <w:bottom w:val="nil"/>
              <w:right w:val="nil"/>
            </w:tcBorders>
            <w:noWrap/>
            <w:vAlign w:val="center"/>
            <w:hideMark/>
          </w:tcPr>
          <w:p w14:paraId="29290300"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-30 788 916</w:t>
            </w:r>
          </w:p>
        </w:tc>
        <w:tc>
          <w:tcPr>
            <w:tcW w:w="625" w:type="pct"/>
            <w:tcBorders>
              <w:top w:val="nil"/>
              <w:left w:val="nil"/>
              <w:bottom w:val="nil"/>
              <w:right w:val="nil"/>
            </w:tcBorders>
            <w:noWrap/>
            <w:vAlign w:val="center"/>
            <w:hideMark/>
          </w:tcPr>
          <w:p w14:paraId="2564D711"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-29 591 896</w:t>
            </w:r>
          </w:p>
        </w:tc>
      </w:tr>
      <w:tr w:rsidR="00704CBA" w:rsidRPr="00704CBA" w14:paraId="1D914A4F" w14:textId="77777777" w:rsidTr="00704CBA">
        <w:trPr>
          <w:trHeight w:val="284"/>
          <w:jc w:val="center"/>
        </w:trPr>
        <w:tc>
          <w:tcPr>
            <w:tcW w:w="320" w:type="pct"/>
            <w:tcBorders>
              <w:top w:val="nil"/>
              <w:left w:val="nil"/>
              <w:bottom w:val="nil"/>
              <w:right w:val="nil"/>
            </w:tcBorders>
            <w:noWrap/>
            <w:vAlign w:val="center"/>
            <w:hideMark/>
          </w:tcPr>
          <w:p w14:paraId="6E685271"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p>
        </w:tc>
        <w:tc>
          <w:tcPr>
            <w:tcW w:w="312" w:type="pct"/>
            <w:tcBorders>
              <w:top w:val="nil"/>
              <w:left w:val="nil"/>
              <w:bottom w:val="nil"/>
              <w:right w:val="nil"/>
            </w:tcBorders>
            <w:noWrap/>
            <w:vAlign w:val="center"/>
            <w:hideMark/>
          </w:tcPr>
          <w:p w14:paraId="332FA044" w14:textId="60BFEEFF" w:rsidR="00704CBA" w:rsidRPr="00704CBA" w:rsidRDefault="00704CBA" w:rsidP="00704CBA">
            <w:pPr>
              <w:spacing w:after="0" w:line="240" w:lineRule="auto"/>
              <w:jc w:val="center"/>
              <w:rPr>
                <w:rFonts w:ascii="Times New Roman" w:hAnsi="Times New Roman"/>
                <w:i/>
                <w:iCs/>
                <w:color w:val="000000"/>
                <w:sz w:val="19"/>
                <w:szCs w:val="19"/>
                <w:lang w:eastAsia="sk-SK"/>
              </w:rPr>
            </w:pPr>
            <w:hyperlink w:anchor="_Výsledok_hospodárenia_za" w:history="1">
              <w:r w:rsidRPr="00E760C1">
                <w:rPr>
                  <w:rStyle w:val="Hypertextovprepojenie"/>
                  <w:rFonts w:ascii="Times New Roman" w:hAnsi="Times New Roman"/>
                  <w:i/>
                  <w:iCs/>
                  <w:sz w:val="19"/>
                  <w:szCs w:val="19"/>
                  <w:lang w:eastAsia="sk-SK"/>
                </w:rPr>
                <w:t>32</w:t>
              </w:r>
            </w:hyperlink>
          </w:p>
        </w:tc>
        <w:tc>
          <w:tcPr>
            <w:tcW w:w="3118" w:type="pct"/>
            <w:tcBorders>
              <w:top w:val="nil"/>
              <w:left w:val="nil"/>
              <w:bottom w:val="nil"/>
              <w:right w:val="nil"/>
            </w:tcBorders>
            <w:noWrap/>
            <w:vAlign w:val="center"/>
            <w:hideMark/>
          </w:tcPr>
          <w:p w14:paraId="45241F74" w14:textId="77777777" w:rsidR="00704CBA" w:rsidRPr="00704CBA" w:rsidRDefault="00704CBA" w:rsidP="00704CBA">
            <w:pPr>
              <w:spacing w:after="0" w:line="240" w:lineRule="auto"/>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 xml:space="preserve">výsledok hospodárenia za účtovné obdobie  </w:t>
            </w:r>
          </w:p>
        </w:tc>
        <w:tc>
          <w:tcPr>
            <w:tcW w:w="625" w:type="pct"/>
            <w:tcBorders>
              <w:top w:val="nil"/>
              <w:left w:val="nil"/>
              <w:bottom w:val="nil"/>
              <w:right w:val="nil"/>
            </w:tcBorders>
            <w:noWrap/>
            <w:vAlign w:val="center"/>
            <w:hideMark/>
          </w:tcPr>
          <w:p w14:paraId="15D77B50"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-5 402 518</w:t>
            </w:r>
          </w:p>
        </w:tc>
        <w:tc>
          <w:tcPr>
            <w:tcW w:w="625" w:type="pct"/>
            <w:tcBorders>
              <w:top w:val="nil"/>
              <w:left w:val="nil"/>
              <w:bottom w:val="nil"/>
              <w:right w:val="nil"/>
            </w:tcBorders>
            <w:noWrap/>
            <w:vAlign w:val="center"/>
            <w:hideMark/>
          </w:tcPr>
          <w:p w14:paraId="06A25B32"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-2 605 213</w:t>
            </w:r>
          </w:p>
        </w:tc>
      </w:tr>
      <w:tr w:rsidR="00704CBA" w:rsidRPr="00704CBA" w14:paraId="5E306C2F" w14:textId="77777777" w:rsidTr="00704CBA">
        <w:trPr>
          <w:trHeight w:val="284"/>
          <w:jc w:val="center"/>
        </w:trPr>
        <w:tc>
          <w:tcPr>
            <w:tcW w:w="320" w:type="pct"/>
            <w:tcBorders>
              <w:top w:val="nil"/>
              <w:left w:val="nil"/>
              <w:bottom w:val="nil"/>
              <w:right w:val="nil"/>
            </w:tcBorders>
            <w:noWrap/>
            <w:vAlign w:val="center"/>
            <w:hideMark/>
          </w:tcPr>
          <w:p w14:paraId="69DC7491"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A.III.</w:t>
            </w:r>
          </w:p>
        </w:tc>
        <w:tc>
          <w:tcPr>
            <w:tcW w:w="312" w:type="pct"/>
            <w:tcBorders>
              <w:top w:val="nil"/>
              <w:left w:val="nil"/>
              <w:bottom w:val="nil"/>
              <w:right w:val="nil"/>
            </w:tcBorders>
            <w:noWrap/>
            <w:vAlign w:val="center"/>
            <w:hideMark/>
          </w:tcPr>
          <w:p w14:paraId="4970BD89"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p>
        </w:tc>
        <w:tc>
          <w:tcPr>
            <w:tcW w:w="3118" w:type="pct"/>
            <w:tcBorders>
              <w:top w:val="nil"/>
              <w:left w:val="nil"/>
              <w:bottom w:val="nil"/>
              <w:right w:val="nil"/>
            </w:tcBorders>
            <w:noWrap/>
            <w:vAlign w:val="center"/>
            <w:hideMark/>
          </w:tcPr>
          <w:p w14:paraId="052408F7" w14:textId="77777777" w:rsidR="00704CBA" w:rsidRPr="00704CBA" w:rsidRDefault="00704CBA" w:rsidP="00704CBA">
            <w:pPr>
              <w:spacing w:after="0" w:line="240" w:lineRule="auto"/>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Podiely iných účtovných jednotiek</w:t>
            </w:r>
          </w:p>
        </w:tc>
        <w:tc>
          <w:tcPr>
            <w:tcW w:w="625" w:type="pct"/>
            <w:tcBorders>
              <w:top w:val="nil"/>
              <w:left w:val="nil"/>
              <w:bottom w:val="nil"/>
              <w:right w:val="nil"/>
            </w:tcBorders>
            <w:noWrap/>
            <w:vAlign w:val="center"/>
            <w:hideMark/>
          </w:tcPr>
          <w:p w14:paraId="52789730"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173 195</w:t>
            </w:r>
          </w:p>
        </w:tc>
        <w:tc>
          <w:tcPr>
            <w:tcW w:w="625" w:type="pct"/>
            <w:tcBorders>
              <w:top w:val="nil"/>
              <w:left w:val="nil"/>
              <w:bottom w:val="nil"/>
              <w:right w:val="nil"/>
            </w:tcBorders>
            <w:noWrap/>
            <w:vAlign w:val="center"/>
            <w:hideMark/>
          </w:tcPr>
          <w:p w14:paraId="774CF3C3"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162 914</w:t>
            </w:r>
          </w:p>
        </w:tc>
      </w:tr>
      <w:tr w:rsidR="00704CBA" w:rsidRPr="00704CBA" w14:paraId="771212A2" w14:textId="77777777" w:rsidTr="00704CBA">
        <w:trPr>
          <w:trHeight w:val="284"/>
          <w:jc w:val="center"/>
        </w:trPr>
        <w:tc>
          <w:tcPr>
            <w:tcW w:w="320" w:type="pct"/>
            <w:tcBorders>
              <w:top w:val="nil"/>
              <w:left w:val="nil"/>
              <w:bottom w:val="nil"/>
              <w:right w:val="nil"/>
            </w:tcBorders>
            <w:noWrap/>
            <w:vAlign w:val="center"/>
            <w:hideMark/>
          </w:tcPr>
          <w:p w14:paraId="02B33A18" w14:textId="77777777" w:rsidR="00704CBA" w:rsidRPr="00704CBA" w:rsidRDefault="00704CBA" w:rsidP="00704CBA">
            <w:pPr>
              <w:spacing w:after="0" w:line="240" w:lineRule="auto"/>
              <w:jc w:val="center"/>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B.</w:t>
            </w:r>
          </w:p>
        </w:tc>
        <w:tc>
          <w:tcPr>
            <w:tcW w:w="312" w:type="pct"/>
            <w:tcBorders>
              <w:top w:val="nil"/>
              <w:left w:val="nil"/>
              <w:bottom w:val="nil"/>
              <w:right w:val="nil"/>
            </w:tcBorders>
            <w:noWrap/>
            <w:vAlign w:val="center"/>
            <w:hideMark/>
          </w:tcPr>
          <w:p w14:paraId="30C8573A" w14:textId="77777777" w:rsidR="00704CBA" w:rsidRPr="00704CBA" w:rsidRDefault="00704CBA" w:rsidP="00704CBA">
            <w:pPr>
              <w:spacing w:after="0" w:line="240" w:lineRule="auto"/>
              <w:jc w:val="center"/>
              <w:rPr>
                <w:rFonts w:ascii="Times New Roman" w:hAnsi="Times New Roman"/>
                <w:b/>
                <w:bCs/>
                <w:color w:val="000000"/>
                <w:sz w:val="20"/>
                <w:szCs w:val="20"/>
                <w:lang w:eastAsia="sk-SK"/>
              </w:rPr>
            </w:pPr>
          </w:p>
        </w:tc>
        <w:tc>
          <w:tcPr>
            <w:tcW w:w="3118" w:type="pct"/>
            <w:tcBorders>
              <w:top w:val="nil"/>
              <w:left w:val="nil"/>
              <w:bottom w:val="nil"/>
              <w:right w:val="nil"/>
            </w:tcBorders>
            <w:noWrap/>
            <w:vAlign w:val="center"/>
            <w:hideMark/>
          </w:tcPr>
          <w:p w14:paraId="10C721DE" w14:textId="77777777" w:rsidR="00704CBA" w:rsidRPr="00704CBA" w:rsidRDefault="00704CBA" w:rsidP="00704CBA">
            <w:pPr>
              <w:spacing w:after="0" w:line="240" w:lineRule="auto"/>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Záväzky, rezervy, bankové úvery a výpomoci (B.I až B.IV.)</w:t>
            </w:r>
          </w:p>
        </w:tc>
        <w:tc>
          <w:tcPr>
            <w:tcW w:w="625" w:type="pct"/>
            <w:tcBorders>
              <w:top w:val="nil"/>
              <w:left w:val="nil"/>
              <w:bottom w:val="nil"/>
              <w:right w:val="nil"/>
            </w:tcBorders>
            <w:noWrap/>
            <w:vAlign w:val="center"/>
            <w:hideMark/>
          </w:tcPr>
          <w:p w14:paraId="426B0B4E"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117 726 238</w:t>
            </w:r>
          </w:p>
        </w:tc>
        <w:tc>
          <w:tcPr>
            <w:tcW w:w="625" w:type="pct"/>
            <w:tcBorders>
              <w:top w:val="nil"/>
              <w:left w:val="nil"/>
              <w:bottom w:val="nil"/>
              <w:right w:val="nil"/>
            </w:tcBorders>
            <w:noWrap/>
            <w:vAlign w:val="center"/>
            <w:hideMark/>
          </w:tcPr>
          <w:p w14:paraId="1F9D7805"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108 845 508</w:t>
            </w:r>
          </w:p>
        </w:tc>
      </w:tr>
      <w:tr w:rsidR="00704CBA" w:rsidRPr="00704CBA" w14:paraId="35ABA1B5" w14:textId="77777777" w:rsidTr="00704CBA">
        <w:trPr>
          <w:trHeight w:val="284"/>
          <w:jc w:val="center"/>
        </w:trPr>
        <w:tc>
          <w:tcPr>
            <w:tcW w:w="320" w:type="pct"/>
            <w:tcBorders>
              <w:top w:val="nil"/>
              <w:left w:val="nil"/>
              <w:bottom w:val="nil"/>
              <w:right w:val="nil"/>
            </w:tcBorders>
            <w:noWrap/>
            <w:vAlign w:val="center"/>
            <w:hideMark/>
          </w:tcPr>
          <w:p w14:paraId="0B61C13F"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B.I.</w:t>
            </w:r>
          </w:p>
        </w:tc>
        <w:tc>
          <w:tcPr>
            <w:tcW w:w="312" w:type="pct"/>
            <w:tcBorders>
              <w:top w:val="nil"/>
              <w:left w:val="nil"/>
              <w:bottom w:val="nil"/>
              <w:right w:val="nil"/>
            </w:tcBorders>
            <w:noWrap/>
            <w:vAlign w:val="center"/>
            <w:hideMark/>
          </w:tcPr>
          <w:p w14:paraId="403F530C"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p>
        </w:tc>
        <w:tc>
          <w:tcPr>
            <w:tcW w:w="3118" w:type="pct"/>
            <w:tcBorders>
              <w:top w:val="nil"/>
              <w:left w:val="nil"/>
              <w:bottom w:val="nil"/>
              <w:right w:val="nil"/>
            </w:tcBorders>
            <w:noWrap/>
            <w:vAlign w:val="center"/>
            <w:hideMark/>
          </w:tcPr>
          <w:p w14:paraId="5861BFEF" w14:textId="77777777" w:rsidR="00704CBA" w:rsidRPr="00704CBA" w:rsidRDefault="00704CBA" w:rsidP="00704CBA">
            <w:pPr>
              <w:spacing w:after="0" w:line="240" w:lineRule="auto"/>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 xml:space="preserve">Dlhodobé záväzky </w:t>
            </w:r>
          </w:p>
        </w:tc>
        <w:tc>
          <w:tcPr>
            <w:tcW w:w="625" w:type="pct"/>
            <w:tcBorders>
              <w:top w:val="nil"/>
              <w:left w:val="nil"/>
              <w:bottom w:val="nil"/>
              <w:right w:val="nil"/>
            </w:tcBorders>
            <w:noWrap/>
            <w:vAlign w:val="center"/>
            <w:hideMark/>
          </w:tcPr>
          <w:p w14:paraId="390D2617"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71 150 459</w:t>
            </w:r>
          </w:p>
        </w:tc>
        <w:tc>
          <w:tcPr>
            <w:tcW w:w="625" w:type="pct"/>
            <w:tcBorders>
              <w:top w:val="nil"/>
              <w:left w:val="nil"/>
              <w:bottom w:val="nil"/>
              <w:right w:val="nil"/>
            </w:tcBorders>
            <w:noWrap/>
            <w:vAlign w:val="center"/>
            <w:hideMark/>
          </w:tcPr>
          <w:p w14:paraId="487B1A45"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62 696 671</w:t>
            </w:r>
          </w:p>
        </w:tc>
      </w:tr>
      <w:tr w:rsidR="00704CBA" w:rsidRPr="00704CBA" w14:paraId="2F2E6E6F" w14:textId="77777777" w:rsidTr="00704CBA">
        <w:trPr>
          <w:trHeight w:val="284"/>
          <w:jc w:val="center"/>
        </w:trPr>
        <w:tc>
          <w:tcPr>
            <w:tcW w:w="320" w:type="pct"/>
            <w:tcBorders>
              <w:top w:val="nil"/>
              <w:left w:val="nil"/>
              <w:bottom w:val="nil"/>
              <w:right w:val="nil"/>
            </w:tcBorders>
            <w:noWrap/>
            <w:vAlign w:val="center"/>
            <w:hideMark/>
          </w:tcPr>
          <w:p w14:paraId="14677206"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p>
        </w:tc>
        <w:tc>
          <w:tcPr>
            <w:tcW w:w="312" w:type="pct"/>
            <w:tcBorders>
              <w:top w:val="nil"/>
              <w:left w:val="nil"/>
              <w:bottom w:val="nil"/>
              <w:right w:val="nil"/>
            </w:tcBorders>
            <w:noWrap/>
            <w:vAlign w:val="center"/>
            <w:hideMark/>
          </w:tcPr>
          <w:p w14:paraId="5F8E1EC7" w14:textId="4EB175F6" w:rsidR="00704CBA" w:rsidRPr="00704CBA" w:rsidRDefault="00704CBA" w:rsidP="00704CBA">
            <w:pPr>
              <w:spacing w:after="0" w:line="240" w:lineRule="auto"/>
              <w:jc w:val="center"/>
              <w:rPr>
                <w:rFonts w:ascii="Times New Roman" w:hAnsi="Times New Roman"/>
                <w:i/>
                <w:iCs/>
                <w:color w:val="000000"/>
                <w:sz w:val="19"/>
                <w:szCs w:val="19"/>
                <w:lang w:eastAsia="sk-SK"/>
              </w:rPr>
            </w:pPr>
            <w:hyperlink w:anchor="_Štátne_dlhopisy" w:history="1">
              <w:r w:rsidRPr="00E760C1">
                <w:rPr>
                  <w:rStyle w:val="Hypertextovprepojenie"/>
                  <w:rFonts w:ascii="Times New Roman" w:hAnsi="Times New Roman"/>
                  <w:i/>
                  <w:iCs/>
                  <w:sz w:val="19"/>
                  <w:szCs w:val="19"/>
                  <w:lang w:eastAsia="sk-SK"/>
                </w:rPr>
                <w:t>33</w:t>
              </w:r>
            </w:hyperlink>
          </w:p>
        </w:tc>
        <w:tc>
          <w:tcPr>
            <w:tcW w:w="3118" w:type="pct"/>
            <w:tcBorders>
              <w:top w:val="nil"/>
              <w:left w:val="nil"/>
              <w:bottom w:val="nil"/>
              <w:right w:val="nil"/>
            </w:tcBorders>
            <w:noWrap/>
            <w:vAlign w:val="center"/>
            <w:hideMark/>
          </w:tcPr>
          <w:p w14:paraId="6A3FA6E3" w14:textId="77777777" w:rsidR="00704CBA" w:rsidRPr="00704CBA" w:rsidRDefault="00704CBA" w:rsidP="00704CBA">
            <w:pPr>
              <w:spacing w:after="0" w:line="240" w:lineRule="auto"/>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v tom   štátne dlhopisy</w:t>
            </w:r>
          </w:p>
        </w:tc>
        <w:tc>
          <w:tcPr>
            <w:tcW w:w="625" w:type="pct"/>
            <w:tcBorders>
              <w:top w:val="nil"/>
              <w:left w:val="nil"/>
              <w:bottom w:val="nil"/>
              <w:right w:val="nil"/>
            </w:tcBorders>
            <w:noWrap/>
            <w:vAlign w:val="center"/>
            <w:hideMark/>
          </w:tcPr>
          <w:p w14:paraId="26F23034"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62 989 158</w:t>
            </w:r>
          </w:p>
        </w:tc>
        <w:tc>
          <w:tcPr>
            <w:tcW w:w="625" w:type="pct"/>
            <w:tcBorders>
              <w:top w:val="nil"/>
              <w:left w:val="nil"/>
              <w:bottom w:val="nil"/>
              <w:right w:val="nil"/>
            </w:tcBorders>
            <w:noWrap/>
            <w:vAlign w:val="center"/>
            <w:hideMark/>
          </w:tcPr>
          <w:p w14:paraId="342FF749"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55 535 321</w:t>
            </w:r>
          </w:p>
        </w:tc>
      </w:tr>
      <w:tr w:rsidR="00704CBA" w:rsidRPr="00704CBA" w14:paraId="0DB71EF8" w14:textId="77777777" w:rsidTr="00704CBA">
        <w:trPr>
          <w:trHeight w:val="284"/>
          <w:jc w:val="center"/>
        </w:trPr>
        <w:tc>
          <w:tcPr>
            <w:tcW w:w="320" w:type="pct"/>
            <w:tcBorders>
              <w:top w:val="nil"/>
              <w:left w:val="nil"/>
              <w:bottom w:val="nil"/>
              <w:right w:val="nil"/>
            </w:tcBorders>
            <w:noWrap/>
            <w:vAlign w:val="center"/>
            <w:hideMark/>
          </w:tcPr>
          <w:p w14:paraId="234F53AB"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p>
        </w:tc>
        <w:tc>
          <w:tcPr>
            <w:tcW w:w="312" w:type="pct"/>
            <w:tcBorders>
              <w:top w:val="nil"/>
              <w:left w:val="nil"/>
              <w:bottom w:val="nil"/>
              <w:right w:val="nil"/>
            </w:tcBorders>
            <w:noWrap/>
            <w:vAlign w:val="center"/>
            <w:hideMark/>
          </w:tcPr>
          <w:p w14:paraId="35499B91" w14:textId="30172E4B" w:rsidR="00704CBA" w:rsidRPr="00704CBA" w:rsidRDefault="00704CBA" w:rsidP="00704CBA">
            <w:pPr>
              <w:spacing w:after="0" w:line="240" w:lineRule="auto"/>
              <w:jc w:val="center"/>
              <w:rPr>
                <w:rFonts w:ascii="Times New Roman" w:hAnsi="Times New Roman"/>
                <w:i/>
                <w:iCs/>
                <w:color w:val="000000"/>
                <w:sz w:val="20"/>
                <w:szCs w:val="20"/>
                <w:lang w:eastAsia="sk-SK"/>
              </w:rPr>
            </w:pPr>
            <w:hyperlink w:anchor="_Bankové_úvery" w:history="1">
              <w:r w:rsidRPr="00E760C1">
                <w:rPr>
                  <w:rStyle w:val="Hypertextovprepojenie"/>
                  <w:rFonts w:ascii="Times New Roman" w:hAnsi="Times New Roman"/>
                  <w:i/>
                  <w:iCs/>
                  <w:sz w:val="20"/>
                  <w:szCs w:val="20"/>
                  <w:lang w:eastAsia="sk-SK"/>
                </w:rPr>
                <w:t>34</w:t>
              </w:r>
            </w:hyperlink>
          </w:p>
        </w:tc>
        <w:tc>
          <w:tcPr>
            <w:tcW w:w="3118" w:type="pct"/>
            <w:tcBorders>
              <w:top w:val="nil"/>
              <w:left w:val="nil"/>
              <w:bottom w:val="nil"/>
              <w:right w:val="nil"/>
            </w:tcBorders>
            <w:noWrap/>
            <w:vAlign w:val="center"/>
            <w:hideMark/>
          </w:tcPr>
          <w:p w14:paraId="63E1D859" w14:textId="77777777" w:rsidR="00704CBA" w:rsidRPr="00704CBA" w:rsidRDefault="00704CBA" w:rsidP="00704CBA">
            <w:pPr>
              <w:spacing w:after="0" w:line="240" w:lineRule="auto"/>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 xml:space="preserve">            bankové úvery</w:t>
            </w:r>
          </w:p>
        </w:tc>
        <w:tc>
          <w:tcPr>
            <w:tcW w:w="625" w:type="pct"/>
            <w:tcBorders>
              <w:top w:val="nil"/>
              <w:left w:val="nil"/>
              <w:bottom w:val="nil"/>
              <w:right w:val="nil"/>
            </w:tcBorders>
            <w:noWrap/>
            <w:vAlign w:val="center"/>
            <w:hideMark/>
          </w:tcPr>
          <w:p w14:paraId="6A35C3E4"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5 432 748</w:t>
            </w:r>
          </w:p>
        </w:tc>
        <w:tc>
          <w:tcPr>
            <w:tcW w:w="625" w:type="pct"/>
            <w:tcBorders>
              <w:top w:val="nil"/>
              <w:left w:val="nil"/>
              <w:bottom w:val="nil"/>
              <w:right w:val="nil"/>
            </w:tcBorders>
            <w:noWrap/>
            <w:vAlign w:val="center"/>
            <w:hideMark/>
          </w:tcPr>
          <w:p w14:paraId="2BA901CF"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6 097 761</w:t>
            </w:r>
          </w:p>
        </w:tc>
      </w:tr>
      <w:tr w:rsidR="00704CBA" w:rsidRPr="00704CBA" w14:paraId="013EC972" w14:textId="77777777" w:rsidTr="00704CBA">
        <w:trPr>
          <w:trHeight w:val="284"/>
          <w:jc w:val="center"/>
        </w:trPr>
        <w:tc>
          <w:tcPr>
            <w:tcW w:w="320" w:type="pct"/>
            <w:tcBorders>
              <w:top w:val="nil"/>
              <w:left w:val="nil"/>
              <w:bottom w:val="nil"/>
              <w:right w:val="nil"/>
            </w:tcBorders>
            <w:noWrap/>
            <w:vAlign w:val="center"/>
            <w:hideMark/>
          </w:tcPr>
          <w:p w14:paraId="452BCF7C"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p>
        </w:tc>
        <w:tc>
          <w:tcPr>
            <w:tcW w:w="312" w:type="pct"/>
            <w:tcBorders>
              <w:top w:val="nil"/>
              <w:left w:val="nil"/>
              <w:bottom w:val="nil"/>
              <w:right w:val="nil"/>
            </w:tcBorders>
            <w:noWrap/>
            <w:vAlign w:val="center"/>
            <w:hideMark/>
          </w:tcPr>
          <w:p w14:paraId="3CC39526" w14:textId="0A7D6419" w:rsidR="00704CBA" w:rsidRPr="00704CBA" w:rsidRDefault="00704CBA" w:rsidP="00704CBA">
            <w:pPr>
              <w:spacing w:after="0" w:line="240" w:lineRule="auto"/>
              <w:jc w:val="center"/>
              <w:rPr>
                <w:rFonts w:ascii="Times New Roman" w:hAnsi="Times New Roman"/>
                <w:i/>
                <w:iCs/>
                <w:color w:val="000000"/>
                <w:sz w:val="20"/>
                <w:szCs w:val="20"/>
                <w:lang w:eastAsia="sk-SK"/>
              </w:rPr>
            </w:pPr>
            <w:hyperlink w:anchor="_Ostatné_dlhodobé_záväzky" w:history="1">
              <w:r w:rsidRPr="00E760C1">
                <w:rPr>
                  <w:rStyle w:val="Hypertextovprepojenie"/>
                  <w:rFonts w:ascii="Times New Roman" w:hAnsi="Times New Roman"/>
                  <w:i/>
                  <w:iCs/>
                  <w:sz w:val="20"/>
                  <w:szCs w:val="20"/>
                  <w:lang w:eastAsia="sk-SK"/>
                </w:rPr>
                <w:t>35</w:t>
              </w:r>
            </w:hyperlink>
          </w:p>
        </w:tc>
        <w:tc>
          <w:tcPr>
            <w:tcW w:w="3118" w:type="pct"/>
            <w:tcBorders>
              <w:top w:val="nil"/>
              <w:left w:val="nil"/>
              <w:bottom w:val="nil"/>
              <w:right w:val="nil"/>
            </w:tcBorders>
            <w:noWrap/>
            <w:vAlign w:val="center"/>
            <w:hideMark/>
          </w:tcPr>
          <w:p w14:paraId="363DA91F" w14:textId="77777777" w:rsidR="00704CBA" w:rsidRPr="00704CBA" w:rsidRDefault="00704CBA" w:rsidP="00704CBA">
            <w:pPr>
              <w:spacing w:after="0" w:line="240" w:lineRule="auto"/>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 xml:space="preserve">            ostatné dlhodobé záväzky</w:t>
            </w:r>
          </w:p>
        </w:tc>
        <w:tc>
          <w:tcPr>
            <w:tcW w:w="625" w:type="pct"/>
            <w:tcBorders>
              <w:top w:val="nil"/>
              <w:left w:val="nil"/>
              <w:bottom w:val="nil"/>
              <w:right w:val="nil"/>
            </w:tcBorders>
            <w:noWrap/>
            <w:vAlign w:val="center"/>
            <w:hideMark/>
          </w:tcPr>
          <w:p w14:paraId="768DEDB0"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2 728 553</w:t>
            </w:r>
          </w:p>
        </w:tc>
        <w:tc>
          <w:tcPr>
            <w:tcW w:w="625" w:type="pct"/>
            <w:tcBorders>
              <w:top w:val="nil"/>
              <w:left w:val="nil"/>
              <w:bottom w:val="nil"/>
              <w:right w:val="nil"/>
            </w:tcBorders>
            <w:noWrap/>
            <w:vAlign w:val="center"/>
            <w:hideMark/>
          </w:tcPr>
          <w:p w14:paraId="3DE47A90"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1 063 589</w:t>
            </w:r>
          </w:p>
        </w:tc>
      </w:tr>
      <w:tr w:rsidR="00704CBA" w:rsidRPr="00704CBA" w14:paraId="45FF7E3B" w14:textId="77777777" w:rsidTr="00704CBA">
        <w:trPr>
          <w:trHeight w:val="284"/>
          <w:jc w:val="center"/>
        </w:trPr>
        <w:tc>
          <w:tcPr>
            <w:tcW w:w="320" w:type="pct"/>
            <w:tcBorders>
              <w:top w:val="nil"/>
              <w:left w:val="nil"/>
              <w:bottom w:val="nil"/>
              <w:right w:val="nil"/>
            </w:tcBorders>
            <w:noWrap/>
            <w:vAlign w:val="center"/>
            <w:hideMark/>
          </w:tcPr>
          <w:p w14:paraId="60C2D9CD"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B.II.</w:t>
            </w:r>
          </w:p>
        </w:tc>
        <w:tc>
          <w:tcPr>
            <w:tcW w:w="312" w:type="pct"/>
            <w:tcBorders>
              <w:top w:val="nil"/>
              <w:left w:val="nil"/>
              <w:bottom w:val="nil"/>
              <w:right w:val="nil"/>
            </w:tcBorders>
            <w:noWrap/>
            <w:vAlign w:val="center"/>
            <w:hideMark/>
          </w:tcPr>
          <w:p w14:paraId="2E2A80F1"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p>
        </w:tc>
        <w:tc>
          <w:tcPr>
            <w:tcW w:w="3118" w:type="pct"/>
            <w:tcBorders>
              <w:top w:val="nil"/>
              <w:left w:val="nil"/>
              <w:bottom w:val="nil"/>
              <w:right w:val="nil"/>
            </w:tcBorders>
            <w:noWrap/>
            <w:vAlign w:val="center"/>
            <w:hideMark/>
          </w:tcPr>
          <w:p w14:paraId="2FA158F8" w14:textId="77777777" w:rsidR="00704CBA" w:rsidRPr="00704CBA" w:rsidRDefault="00704CBA" w:rsidP="00704CBA">
            <w:pPr>
              <w:spacing w:after="0" w:line="240" w:lineRule="auto"/>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 xml:space="preserve">Dlhodobé rezervy </w:t>
            </w:r>
          </w:p>
        </w:tc>
        <w:tc>
          <w:tcPr>
            <w:tcW w:w="625" w:type="pct"/>
            <w:tcBorders>
              <w:top w:val="nil"/>
              <w:left w:val="nil"/>
              <w:bottom w:val="nil"/>
              <w:right w:val="nil"/>
            </w:tcBorders>
            <w:noWrap/>
            <w:vAlign w:val="center"/>
            <w:hideMark/>
          </w:tcPr>
          <w:p w14:paraId="5BDEFD81"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25 731 848</w:t>
            </w:r>
          </w:p>
        </w:tc>
        <w:tc>
          <w:tcPr>
            <w:tcW w:w="625" w:type="pct"/>
            <w:tcBorders>
              <w:top w:val="nil"/>
              <w:left w:val="nil"/>
              <w:bottom w:val="nil"/>
              <w:right w:val="nil"/>
            </w:tcBorders>
            <w:noWrap/>
            <w:vAlign w:val="center"/>
            <w:hideMark/>
          </w:tcPr>
          <w:p w14:paraId="14B02EC8"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26 447 382</w:t>
            </w:r>
          </w:p>
        </w:tc>
      </w:tr>
      <w:tr w:rsidR="00704CBA" w:rsidRPr="00704CBA" w14:paraId="608EB77C" w14:textId="77777777" w:rsidTr="00704CBA">
        <w:trPr>
          <w:trHeight w:val="284"/>
          <w:jc w:val="center"/>
        </w:trPr>
        <w:tc>
          <w:tcPr>
            <w:tcW w:w="320" w:type="pct"/>
            <w:tcBorders>
              <w:top w:val="nil"/>
              <w:left w:val="nil"/>
              <w:bottom w:val="nil"/>
              <w:right w:val="nil"/>
            </w:tcBorders>
            <w:noWrap/>
            <w:vAlign w:val="center"/>
            <w:hideMark/>
          </w:tcPr>
          <w:p w14:paraId="759A7386"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p>
        </w:tc>
        <w:tc>
          <w:tcPr>
            <w:tcW w:w="312" w:type="pct"/>
            <w:tcBorders>
              <w:top w:val="nil"/>
              <w:left w:val="nil"/>
              <w:bottom w:val="nil"/>
              <w:right w:val="nil"/>
            </w:tcBorders>
            <w:noWrap/>
            <w:vAlign w:val="center"/>
            <w:hideMark/>
          </w:tcPr>
          <w:p w14:paraId="414ED091" w14:textId="32481F8E" w:rsidR="00704CBA" w:rsidRPr="00704CBA" w:rsidRDefault="00704CBA" w:rsidP="00704CBA">
            <w:pPr>
              <w:spacing w:after="0" w:line="240" w:lineRule="auto"/>
              <w:jc w:val="center"/>
              <w:rPr>
                <w:rFonts w:ascii="Times New Roman" w:hAnsi="Times New Roman"/>
                <w:i/>
                <w:iCs/>
                <w:color w:val="000000"/>
                <w:sz w:val="19"/>
                <w:szCs w:val="19"/>
                <w:lang w:eastAsia="sk-SK"/>
              </w:rPr>
            </w:pPr>
            <w:hyperlink w:anchor="_Zamestnanecké_požitky_štátnych" w:history="1">
              <w:r w:rsidRPr="00E760C1">
                <w:rPr>
                  <w:rStyle w:val="Hypertextovprepojenie"/>
                  <w:rFonts w:ascii="Times New Roman" w:hAnsi="Times New Roman"/>
                  <w:i/>
                  <w:iCs/>
                  <w:sz w:val="19"/>
                  <w:szCs w:val="19"/>
                  <w:lang w:eastAsia="sk-SK"/>
                </w:rPr>
                <w:t>36</w:t>
              </w:r>
            </w:hyperlink>
          </w:p>
        </w:tc>
        <w:tc>
          <w:tcPr>
            <w:tcW w:w="3118" w:type="pct"/>
            <w:tcBorders>
              <w:top w:val="nil"/>
              <w:left w:val="nil"/>
              <w:bottom w:val="nil"/>
              <w:right w:val="nil"/>
            </w:tcBorders>
            <w:noWrap/>
            <w:vAlign w:val="center"/>
            <w:hideMark/>
          </w:tcPr>
          <w:p w14:paraId="07A4324E" w14:textId="77777777" w:rsidR="00704CBA" w:rsidRPr="00704CBA" w:rsidRDefault="00704CBA" w:rsidP="00704CBA">
            <w:pPr>
              <w:spacing w:after="0" w:line="240" w:lineRule="auto"/>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 xml:space="preserve">v tom   zamestnanecké požitky štátnych </w:t>
            </w:r>
            <w:proofErr w:type="spellStart"/>
            <w:r w:rsidRPr="00704CBA">
              <w:rPr>
                <w:rFonts w:ascii="Times New Roman" w:hAnsi="Times New Roman"/>
                <w:i/>
                <w:iCs/>
                <w:color w:val="000000"/>
                <w:sz w:val="19"/>
                <w:szCs w:val="19"/>
                <w:lang w:eastAsia="sk-SK"/>
              </w:rPr>
              <w:t>rozp</w:t>
            </w:r>
            <w:proofErr w:type="spellEnd"/>
            <w:r w:rsidRPr="00704CBA">
              <w:rPr>
                <w:rFonts w:ascii="Times New Roman" w:hAnsi="Times New Roman"/>
                <w:i/>
                <w:iCs/>
                <w:color w:val="000000"/>
                <w:sz w:val="19"/>
                <w:szCs w:val="19"/>
                <w:lang w:eastAsia="sk-SK"/>
              </w:rPr>
              <w:t xml:space="preserve">. a </w:t>
            </w:r>
            <w:proofErr w:type="spellStart"/>
            <w:r w:rsidRPr="00704CBA">
              <w:rPr>
                <w:rFonts w:ascii="Times New Roman" w:hAnsi="Times New Roman"/>
                <w:i/>
                <w:iCs/>
                <w:color w:val="000000"/>
                <w:sz w:val="19"/>
                <w:szCs w:val="19"/>
                <w:lang w:eastAsia="sk-SK"/>
              </w:rPr>
              <w:t>príspev</w:t>
            </w:r>
            <w:proofErr w:type="spellEnd"/>
            <w:r w:rsidRPr="00704CBA">
              <w:rPr>
                <w:rFonts w:ascii="Times New Roman" w:hAnsi="Times New Roman"/>
                <w:i/>
                <w:iCs/>
                <w:color w:val="000000"/>
                <w:sz w:val="19"/>
                <w:szCs w:val="19"/>
                <w:lang w:eastAsia="sk-SK"/>
              </w:rPr>
              <w:t>. organizácií</w:t>
            </w:r>
          </w:p>
        </w:tc>
        <w:tc>
          <w:tcPr>
            <w:tcW w:w="625" w:type="pct"/>
            <w:tcBorders>
              <w:top w:val="nil"/>
              <w:left w:val="nil"/>
              <w:bottom w:val="nil"/>
              <w:right w:val="nil"/>
            </w:tcBorders>
            <w:noWrap/>
            <w:vAlign w:val="center"/>
            <w:hideMark/>
          </w:tcPr>
          <w:p w14:paraId="412A95D4"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23 490 144</w:t>
            </w:r>
          </w:p>
        </w:tc>
        <w:tc>
          <w:tcPr>
            <w:tcW w:w="625" w:type="pct"/>
            <w:tcBorders>
              <w:top w:val="nil"/>
              <w:left w:val="nil"/>
              <w:bottom w:val="nil"/>
              <w:right w:val="nil"/>
            </w:tcBorders>
            <w:noWrap/>
            <w:vAlign w:val="center"/>
            <w:hideMark/>
          </w:tcPr>
          <w:p w14:paraId="19C2C866"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23 816 209</w:t>
            </w:r>
          </w:p>
        </w:tc>
      </w:tr>
      <w:tr w:rsidR="00704CBA" w:rsidRPr="00704CBA" w14:paraId="7D9980AD" w14:textId="77777777" w:rsidTr="00704CBA">
        <w:trPr>
          <w:trHeight w:val="284"/>
          <w:jc w:val="center"/>
        </w:trPr>
        <w:tc>
          <w:tcPr>
            <w:tcW w:w="320" w:type="pct"/>
            <w:tcBorders>
              <w:top w:val="nil"/>
              <w:left w:val="nil"/>
              <w:bottom w:val="nil"/>
              <w:right w:val="nil"/>
            </w:tcBorders>
            <w:noWrap/>
            <w:vAlign w:val="center"/>
            <w:hideMark/>
          </w:tcPr>
          <w:p w14:paraId="5E22065B"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p>
        </w:tc>
        <w:tc>
          <w:tcPr>
            <w:tcW w:w="312" w:type="pct"/>
            <w:tcBorders>
              <w:top w:val="nil"/>
              <w:left w:val="nil"/>
              <w:bottom w:val="nil"/>
              <w:right w:val="nil"/>
            </w:tcBorders>
            <w:noWrap/>
            <w:vAlign w:val="center"/>
            <w:hideMark/>
          </w:tcPr>
          <w:p w14:paraId="5A5AC9FE" w14:textId="2F569698" w:rsidR="00704CBA" w:rsidRPr="00704CBA" w:rsidRDefault="00704CBA" w:rsidP="00704CBA">
            <w:pPr>
              <w:spacing w:after="0" w:line="240" w:lineRule="auto"/>
              <w:jc w:val="center"/>
              <w:rPr>
                <w:rFonts w:ascii="Times New Roman" w:hAnsi="Times New Roman"/>
                <w:i/>
                <w:iCs/>
                <w:color w:val="000000"/>
                <w:sz w:val="19"/>
                <w:szCs w:val="19"/>
                <w:lang w:eastAsia="sk-SK"/>
              </w:rPr>
            </w:pPr>
            <w:hyperlink w:anchor="_Ostatné_dlhodobé_rezervy" w:history="1">
              <w:r w:rsidRPr="00E760C1">
                <w:rPr>
                  <w:rStyle w:val="Hypertextovprepojenie"/>
                  <w:rFonts w:ascii="Times New Roman" w:hAnsi="Times New Roman"/>
                  <w:i/>
                  <w:iCs/>
                  <w:sz w:val="19"/>
                  <w:szCs w:val="19"/>
                  <w:lang w:eastAsia="sk-SK"/>
                </w:rPr>
                <w:t>37</w:t>
              </w:r>
            </w:hyperlink>
          </w:p>
        </w:tc>
        <w:tc>
          <w:tcPr>
            <w:tcW w:w="3118" w:type="pct"/>
            <w:tcBorders>
              <w:top w:val="nil"/>
              <w:left w:val="nil"/>
              <w:bottom w:val="nil"/>
              <w:right w:val="nil"/>
            </w:tcBorders>
            <w:noWrap/>
            <w:vAlign w:val="center"/>
            <w:hideMark/>
          </w:tcPr>
          <w:p w14:paraId="6803F58E" w14:textId="77777777" w:rsidR="00704CBA" w:rsidRPr="00704CBA" w:rsidRDefault="00704CBA" w:rsidP="00704CBA">
            <w:pPr>
              <w:spacing w:after="0" w:line="240" w:lineRule="auto"/>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 xml:space="preserve">            ostatné dlhodobé rezervy</w:t>
            </w:r>
          </w:p>
        </w:tc>
        <w:tc>
          <w:tcPr>
            <w:tcW w:w="625" w:type="pct"/>
            <w:tcBorders>
              <w:top w:val="nil"/>
              <w:left w:val="nil"/>
              <w:bottom w:val="nil"/>
              <w:right w:val="nil"/>
            </w:tcBorders>
            <w:noWrap/>
            <w:vAlign w:val="center"/>
            <w:hideMark/>
          </w:tcPr>
          <w:p w14:paraId="7AF03215"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2 241 704</w:t>
            </w:r>
          </w:p>
        </w:tc>
        <w:tc>
          <w:tcPr>
            <w:tcW w:w="625" w:type="pct"/>
            <w:tcBorders>
              <w:top w:val="nil"/>
              <w:left w:val="nil"/>
              <w:bottom w:val="nil"/>
              <w:right w:val="nil"/>
            </w:tcBorders>
            <w:noWrap/>
            <w:vAlign w:val="center"/>
            <w:hideMark/>
          </w:tcPr>
          <w:p w14:paraId="6BBE463D"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2 631 173</w:t>
            </w:r>
          </w:p>
        </w:tc>
      </w:tr>
      <w:tr w:rsidR="00704CBA" w:rsidRPr="00704CBA" w14:paraId="34F4D927" w14:textId="77777777" w:rsidTr="00704CBA">
        <w:trPr>
          <w:trHeight w:val="284"/>
          <w:jc w:val="center"/>
        </w:trPr>
        <w:tc>
          <w:tcPr>
            <w:tcW w:w="320" w:type="pct"/>
            <w:tcBorders>
              <w:top w:val="nil"/>
              <w:left w:val="nil"/>
              <w:bottom w:val="nil"/>
              <w:right w:val="nil"/>
            </w:tcBorders>
            <w:noWrap/>
            <w:vAlign w:val="center"/>
            <w:hideMark/>
          </w:tcPr>
          <w:p w14:paraId="04EA6A0F"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B.III.</w:t>
            </w:r>
          </w:p>
        </w:tc>
        <w:tc>
          <w:tcPr>
            <w:tcW w:w="312" w:type="pct"/>
            <w:tcBorders>
              <w:top w:val="nil"/>
              <w:left w:val="nil"/>
              <w:bottom w:val="nil"/>
              <w:right w:val="nil"/>
            </w:tcBorders>
            <w:noWrap/>
            <w:vAlign w:val="center"/>
            <w:hideMark/>
          </w:tcPr>
          <w:p w14:paraId="2FF362A5"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p>
        </w:tc>
        <w:tc>
          <w:tcPr>
            <w:tcW w:w="3118" w:type="pct"/>
            <w:tcBorders>
              <w:top w:val="nil"/>
              <w:left w:val="nil"/>
              <w:bottom w:val="nil"/>
              <w:right w:val="nil"/>
            </w:tcBorders>
            <w:noWrap/>
            <w:vAlign w:val="center"/>
            <w:hideMark/>
          </w:tcPr>
          <w:p w14:paraId="271C1954" w14:textId="77777777" w:rsidR="00704CBA" w:rsidRPr="00704CBA" w:rsidRDefault="00704CBA" w:rsidP="00704CBA">
            <w:pPr>
              <w:spacing w:after="0" w:line="240" w:lineRule="auto"/>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 xml:space="preserve">Krátkodobé záväzky </w:t>
            </w:r>
          </w:p>
        </w:tc>
        <w:tc>
          <w:tcPr>
            <w:tcW w:w="625" w:type="pct"/>
            <w:tcBorders>
              <w:top w:val="nil"/>
              <w:left w:val="nil"/>
              <w:bottom w:val="nil"/>
              <w:right w:val="nil"/>
            </w:tcBorders>
            <w:noWrap/>
            <w:vAlign w:val="center"/>
            <w:hideMark/>
          </w:tcPr>
          <w:p w14:paraId="7C0466A1"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19 572 468</w:t>
            </w:r>
          </w:p>
        </w:tc>
        <w:tc>
          <w:tcPr>
            <w:tcW w:w="625" w:type="pct"/>
            <w:tcBorders>
              <w:top w:val="nil"/>
              <w:left w:val="nil"/>
              <w:bottom w:val="nil"/>
              <w:right w:val="nil"/>
            </w:tcBorders>
            <w:noWrap/>
            <w:vAlign w:val="center"/>
            <w:hideMark/>
          </w:tcPr>
          <w:p w14:paraId="4FE23AC1"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18 495 368</w:t>
            </w:r>
          </w:p>
        </w:tc>
      </w:tr>
      <w:tr w:rsidR="00704CBA" w:rsidRPr="00704CBA" w14:paraId="1A42618C" w14:textId="77777777" w:rsidTr="00704CBA">
        <w:trPr>
          <w:trHeight w:val="284"/>
          <w:jc w:val="center"/>
        </w:trPr>
        <w:tc>
          <w:tcPr>
            <w:tcW w:w="320" w:type="pct"/>
            <w:tcBorders>
              <w:top w:val="nil"/>
              <w:left w:val="nil"/>
              <w:bottom w:val="nil"/>
              <w:right w:val="nil"/>
            </w:tcBorders>
            <w:noWrap/>
            <w:vAlign w:val="center"/>
            <w:hideMark/>
          </w:tcPr>
          <w:p w14:paraId="303B7B3F"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p>
        </w:tc>
        <w:tc>
          <w:tcPr>
            <w:tcW w:w="312" w:type="pct"/>
            <w:tcBorders>
              <w:top w:val="nil"/>
              <w:left w:val="nil"/>
              <w:bottom w:val="nil"/>
              <w:right w:val="nil"/>
            </w:tcBorders>
            <w:noWrap/>
            <w:vAlign w:val="center"/>
            <w:hideMark/>
          </w:tcPr>
          <w:p w14:paraId="74F3DDB3" w14:textId="4E98A829" w:rsidR="00704CBA" w:rsidRPr="00704CBA" w:rsidRDefault="00704CBA" w:rsidP="00704CBA">
            <w:pPr>
              <w:spacing w:after="0" w:line="240" w:lineRule="auto"/>
              <w:jc w:val="center"/>
              <w:rPr>
                <w:rFonts w:ascii="Times New Roman" w:hAnsi="Times New Roman"/>
                <w:i/>
                <w:iCs/>
                <w:color w:val="000000"/>
                <w:sz w:val="19"/>
                <w:szCs w:val="19"/>
                <w:lang w:eastAsia="sk-SK"/>
              </w:rPr>
            </w:pPr>
            <w:hyperlink w:anchor="_Štátne_dlhopisy_a" w:history="1">
              <w:r w:rsidRPr="00E760C1">
                <w:rPr>
                  <w:rStyle w:val="Hypertextovprepojenie"/>
                  <w:rFonts w:ascii="Times New Roman" w:hAnsi="Times New Roman"/>
                  <w:i/>
                  <w:iCs/>
                  <w:sz w:val="19"/>
                  <w:szCs w:val="19"/>
                  <w:lang w:eastAsia="sk-SK"/>
                </w:rPr>
                <w:t>38</w:t>
              </w:r>
            </w:hyperlink>
          </w:p>
        </w:tc>
        <w:tc>
          <w:tcPr>
            <w:tcW w:w="3118" w:type="pct"/>
            <w:tcBorders>
              <w:top w:val="nil"/>
              <w:left w:val="nil"/>
              <w:bottom w:val="nil"/>
              <w:right w:val="nil"/>
            </w:tcBorders>
            <w:noWrap/>
            <w:vAlign w:val="center"/>
            <w:hideMark/>
          </w:tcPr>
          <w:p w14:paraId="4A8D169C" w14:textId="77777777" w:rsidR="00704CBA" w:rsidRPr="00704CBA" w:rsidRDefault="00704CBA" w:rsidP="00704CBA">
            <w:pPr>
              <w:spacing w:after="0" w:line="240" w:lineRule="auto"/>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v tom   štátne dlhopisy a štátne pokladničné poukážky</w:t>
            </w:r>
          </w:p>
        </w:tc>
        <w:tc>
          <w:tcPr>
            <w:tcW w:w="625" w:type="pct"/>
            <w:tcBorders>
              <w:top w:val="nil"/>
              <w:left w:val="nil"/>
              <w:bottom w:val="nil"/>
              <w:right w:val="nil"/>
            </w:tcBorders>
            <w:noWrap/>
            <w:vAlign w:val="center"/>
            <w:hideMark/>
          </w:tcPr>
          <w:p w14:paraId="21A93ECF"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6 800 716</w:t>
            </w:r>
          </w:p>
        </w:tc>
        <w:tc>
          <w:tcPr>
            <w:tcW w:w="625" w:type="pct"/>
            <w:tcBorders>
              <w:top w:val="nil"/>
              <w:left w:val="nil"/>
              <w:bottom w:val="nil"/>
              <w:right w:val="nil"/>
            </w:tcBorders>
            <w:noWrap/>
            <w:vAlign w:val="center"/>
            <w:hideMark/>
          </w:tcPr>
          <w:p w14:paraId="74DB4065"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5 301 297</w:t>
            </w:r>
          </w:p>
        </w:tc>
      </w:tr>
      <w:tr w:rsidR="00704CBA" w:rsidRPr="00704CBA" w14:paraId="18D8EAA1" w14:textId="77777777" w:rsidTr="00704CBA">
        <w:trPr>
          <w:trHeight w:val="284"/>
          <w:jc w:val="center"/>
        </w:trPr>
        <w:tc>
          <w:tcPr>
            <w:tcW w:w="320" w:type="pct"/>
            <w:tcBorders>
              <w:top w:val="nil"/>
              <w:left w:val="nil"/>
              <w:bottom w:val="nil"/>
              <w:right w:val="nil"/>
            </w:tcBorders>
            <w:noWrap/>
            <w:vAlign w:val="center"/>
            <w:hideMark/>
          </w:tcPr>
          <w:p w14:paraId="7FA4FF43"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p>
        </w:tc>
        <w:tc>
          <w:tcPr>
            <w:tcW w:w="312" w:type="pct"/>
            <w:tcBorders>
              <w:top w:val="nil"/>
              <w:left w:val="nil"/>
              <w:bottom w:val="nil"/>
              <w:right w:val="nil"/>
            </w:tcBorders>
            <w:noWrap/>
            <w:vAlign w:val="center"/>
            <w:hideMark/>
          </w:tcPr>
          <w:p w14:paraId="77E1B183" w14:textId="7C9FB41E" w:rsidR="00704CBA" w:rsidRPr="00704CBA" w:rsidRDefault="00704CBA" w:rsidP="00704CBA">
            <w:pPr>
              <w:spacing w:after="0" w:line="240" w:lineRule="auto"/>
              <w:jc w:val="center"/>
              <w:rPr>
                <w:rFonts w:ascii="Times New Roman" w:hAnsi="Times New Roman"/>
                <w:i/>
                <w:iCs/>
                <w:color w:val="000000"/>
                <w:sz w:val="19"/>
                <w:szCs w:val="19"/>
                <w:lang w:eastAsia="sk-SK"/>
              </w:rPr>
            </w:pPr>
            <w:hyperlink w:anchor="_Dodávatelia" w:history="1">
              <w:r w:rsidRPr="00E760C1">
                <w:rPr>
                  <w:rStyle w:val="Hypertextovprepojenie"/>
                  <w:rFonts w:ascii="Times New Roman" w:hAnsi="Times New Roman"/>
                  <w:i/>
                  <w:iCs/>
                  <w:sz w:val="19"/>
                  <w:szCs w:val="19"/>
                  <w:lang w:eastAsia="sk-SK"/>
                </w:rPr>
                <w:t>39</w:t>
              </w:r>
            </w:hyperlink>
          </w:p>
        </w:tc>
        <w:tc>
          <w:tcPr>
            <w:tcW w:w="3118" w:type="pct"/>
            <w:tcBorders>
              <w:top w:val="nil"/>
              <w:left w:val="nil"/>
              <w:bottom w:val="nil"/>
              <w:right w:val="nil"/>
            </w:tcBorders>
            <w:noWrap/>
            <w:vAlign w:val="center"/>
            <w:hideMark/>
          </w:tcPr>
          <w:p w14:paraId="2863D851" w14:textId="77777777" w:rsidR="00704CBA" w:rsidRPr="00704CBA" w:rsidRDefault="00704CBA" w:rsidP="00704CBA">
            <w:pPr>
              <w:spacing w:after="0" w:line="240" w:lineRule="auto"/>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 xml:space="preserve">            dodávatelia</w:t>
            </w:r>
          </w:p>
        </w:tc>
        <w:tc>
          <w:tcPr>
            <w:tcW w:w="625" w:type="pct"/>
            <w:tcBorders>
              <w:top w:val="nil"/>
              <w:left w:val="nil"/>
              <w:bottom w:val="nil"/>
              <w:right w:val="nil"/>
            </w:tcBorders>
            <w:noWrap/>
            <w:vAlign w:val="center"/>
            <w:hideMark/>
          </w:tcPr>
          <w:p w14:paraId="196E5A4B"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1 955 710</w:t>
            </w:r>
          </w:p>
        </w:tc>
        <w:tc>
          <w:tcPr>
            <w:tcW w:w="625" w:type="pct"/>
            <w:tcBorders>
              <w:top w:val="nil"/>
              <w:left w:val="nil"/>
              <w:bottom w:val="nil"/>
              <w:right w:val="nil"/>
            </w:tcBorders>
            <w:noWrap/>
            <w:vAlign w:val="center"/>
            <w:hideMark/>
          </w:tcPr>
          <w:p w14:paraId="398AB1EF"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1 467 011</w:t>
            </w:r>
          </w:p>
        </w:tc>
      </w:tr>
      <w:tr w:rsidR="00704CBA" w:rsidRPr="00704CBA" w14:paraId="5D74BCF8" w14:textId="77777777" w:rsidTr="00704CBA">
        <w:trPr>
          <w:trHeight w:val="284"/>
          <w:jc w:val="center"/>
        </w:trPr>
        <w:tc>
          <w:tcPr>
            <w:tcW w:w="320" w:type="pct"/>
            <w:tcBorders>
              <w:top w:val="nil"/>
              <w:left w:val="nil"/>
              <w:bottom w:val="nil"/>
              <w:right w:val="nil"/>
            </w:tcBorders>
            <w:noWrap/>
            <w:vAlign w:val="center"/>
            <w:hideMark/>
          </w:tcPr>
          <w:p w14:paraId="54ADDCEE"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p>
        </w:tc>
        <w:tc>
          <w:tcPr>
            <w:tcW w:w="312" w:type="pct"/>
            <w:tcBorders>
              <w:top w:val="nil"/>
              <w:left w:val="nil"/>
              <w:bottom w:val="nil"/>
              <w:right w:val="nil"/>
            </w:tcBorders>
            <w:noWrap/>
            <w:vAlign w:val="center"/>
            <w:hideMark/>
          </w:tcPr>
          <w:p w14:paraId="2D018A60" w14:textId="1A8860C9" w:rsidR="00704CBA" w:rsidRPr="00704CBA" w:rsidRDefault="00704CBA" w:rsidP="00704CBA">
            <w:pPr>
              <w:spacing w:after="0" w:line="240" w:lineRule="auto"/>
              <w:jc w:val="center"/>
              <w:rPr>
                <w:rFonts w:ascii="Times New Roman" w:hAnsi="Times New Roman"/>
                <w:i/>
                <w:iCs/>
                <w:color w:val="000000"/>
                <w:sz w:val="19"/>
                <w:szCs w:val="19"/>
                <w:lang w:eastAsia="sk-SK"/>
              </w:rPr>
            </w:pPr>
            <w:hyperlink w:anchor="_Záväzky_zo_zúčtovania" w:history="1">
              <w:r w:rsidRPr="00E760C1">
                <w:rPr>
                  <w:rStyle w:val="Hypertextovprepojenie"/>
                  <w:rFonts w:ascii="Times New Roman" w:hAnsi="Times New Roman"/>
                  <w:i/>
                  <w:iCs/>
                  <w:sz w:val="19"/>
                  <w:szCs w:val="19"/>
                  <w:lang w:eastAsia="sk-SK"/>
                </w:rPr>
                <w:t>40</w:t>
              </w:r>
            </w:hyperlink>
          </w:p>
        </w:tc>
        <w:tc>
          <w:tcPr>
            <w:tcW w:w="3118" w:type="pct"/>
            <w:tcBorders>
              <w:top w:val="nil"/>
              <w:left w:val="nil"/>
              <w:bottom w:val="nil"/>
              <w:right w:val="nil"/>
            </w:tcBorders>
            <w:noWrap/>
            <w:vAlign w:val="center"/>
            <w:hideMark/>
          </w:tcPr>
          <w:p w14:paraId="2F265EA4" w14:textId="77777777" w:rsidR="00704CBA" w:rsidRPr="00704CBA" w:rsidRDefault="00704CBA" w:rsidP="00704CBA">
            <w:pPr>
              <w:spacing w:after="0" w:line="240" w:lineRule="auto"/>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 xml:space="preserve">            záväzky zo zúčtovania s EÚ</w:t>
            </w:r>
          </w:p>
        </w:tc>
        <w:tc>
          <w:tcPr>
            <w:tcW w:w="625" w:type="pct"/>
            <w:tcBorders>
              <w:top w:val="nil"/>
              <w:left w:val="nil"/>
              <w:bottom w:val="nil"/>
              <w:right w:val="nil"/>
            </w:tcBorders>
            <w:noWrap/>
            <w:vAlign w:val="center"/>
            <w:hideMark/>
          </w:tcPr>
          <w:p w14:paraId="6E098447"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3 317 473</w:t>
            </w:r>
          </w:p>
        </w:tc>
        <w:tc>
          <w:tcPr>
            <w:tcW w:w="625" w:type="pct"/>
            <w:tcBorders>
              <w:top w:val="nil"/>
              <w:left w:val="nil"/>
              <w:bottom w:val="nil"/>
              <w:right w:val="nil"/>
            </w:tcBorders>
            <w:noWrap/>
            <w:vAlign w:val="center"/>
            <w:hideMark/>
          </w:tcPr>
          <w:p w14:paraId="7E249BAA"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4 835 726</w:t>
            </w:r>
          </w:p>
        </w:tc>
      </w:tr>
      <w:tr w:rsidR="00704CBA" w:rsidRPr="00704CBA" w14:paraId="7ABEB289" w14:textId="77777777" w:rsidTr="00704CBA">
        <w:trPr>
          <w:trHeight w:val="284"/>
          <w:jc w:val="center"/>
        </w:trPr>
        <w:tc>
          <w:tcPr>
            <w:tcW w:w="320" w:type="pct"/>
            <w:tcBorders>
              <w:top w:val="nil"/>
              <w:left w:val="nil"/>
              <w:bottom w:val="nil"/>
              <w:right w:val="nil"/>
            </w:tcBorders>
            <w:noWrap/>
            <w:vAlign w:val="center"/>
            <w:hideMark/>
          </w:tcPr>
          <w:p w14:paraId="62826BCE"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p>
        </w:tc>
        <w:tc>
          <w:tcPr>
            <w:tcW w:w="312" w:type="pct"/>
            <w:tcBorders>
              <w:top w:val="nil"/>
              <w:left w:val="nil"/>
              <w:bottom w:val="nil"/>
              <w:right w:val="nil"/>
            </w:tcBorders>
            <w:noWrap/>
            <w:vAlign w:val="center"/>
            <w:hideMark/>
          </w:tcPr>
          <w:p w14:paraId="406EA563" w14:textId="55D5694D" w:rsidR="00704CBA" w:rsidRPr="00704CBA" w:rsidRDefault="00704CBA" w:rsidP="00704CBA">
            <w:pPr>
              <w:spacing w:after="0" w:line="240" w:lineRule="auto"/>
              <w:jc w:val="center"/>
              <w:rPr>
                <w:rFonts w:ascii="Times New Roman" w:hAnsi="Times New Roman"/>
                <w:i/>
                <w:iCs/>
                <w:color w:val="000000"/>
                <w:sz w:val="19"/>
                <w:szCs w:val="19"/>
                <w:lang w:eastAsia="sk-SK"/>
              </w:rPr>
            </w:pPr>
            <w:hyperlink w:anchor="_Zúčtovanie_medzi_subjektmi" w:history="1">
              <w:r w:rsidRPr="00E760C1">
                <w:rPr>
                  <w:rStyle w:val="Hypertextovprepojenie"/>
                  <w:rFonts w:ascii="Times New Roman" w:hAnsi="Times New Roman"/>
                  <w:i/>
                  <w:iCs/>
                  <w:sz w:val="19"/>
                  <w:szCs w:val="19"/>
                  <w:lang w:eastAsia="sk-SK"/>
                </w:rPr>
                <w:t>41</w:t>
              </w:r>
            </w:hyperlink>
          </w:p>
        </w:tc>
        <w:tc>
          <w:tcPr>
            <w:tcW w:w="3118" w:type="pct"/>
            <w:tcBorders>
              <w:top w:val="nil"/>
              <w:left w:val="nil"/>
              <w:bottom w:val="nil"/>
              <w:right w:val="nil"/>
            </w:tcBorders>
            <w:noWrap/>
            <w:vAlign w:val="center"/>
            <w:hideMark/>
          </w:tcPr>
          <w:p w14:paraId="6FCBA1DA" w14:textId="77777777" w:rsidR="00704CBA" w:rsidRPr="00704CBA" w:rsidRDefault="00704CBA" w:rsidP="00704CBA">
            <w:pPr>
              <w:spacing w:after="0" w:line="240" w:lineRule="auto"/>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 xml:space="preserve">            zúčtovanie medzi subjektmi verejnej správy</w:t>
            </w:r>
          </w:p>
        </w:tc>
        <w:tc>
          <w:tcPr>
            <w:tcW w:w="625" w:type="pct"/>
            <w:tcBorders>
              <w:top w:val="nil"/>
              <w:left w:val="nil"/>
              <w:bottom w:val="nil"/>
              <w:right w:val="nil"/>
            </w:tcBorders>
            <w:noWrap/>
            <w:vAlign w:val="center"/>
            <w:hideMark/>
          </w:tcPr>
          <w:p w14:paraId="720D0EB2"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621 881</w:t>
            </w:r>
          </w:p>
        </w:tc>
        <w:tc>
          <w:tcPr>
            <w:tcW w:w="625" w:type="pct"/>
            <w:tcBorders>
              <w:top w:val="nil"/>
              <w:left w:val="nil"/>
              <w:bottom w:val="nil"/>
              <w:right w:val="nil"/>
            </w:tcBorders>
            <w:noWrap/>
            <w:vAlign w:val="center"/>
            <w:hideMark/>
          </w:tcPr>
          <w:p w14:paraId="79F9AF15"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530 527</w:t>
            </w:r>
          </w:p>
        </w:tc>
      </w:tr>
      <w:tr w:rsidR="00704CBA" w:rsidRPr="00704CBA" w14:paraId="35967B9F" w14:textId="77777777" w:rsidTr="00704CBA">
        <w:trPr>
          <w:trHeight w:val="284"/>
          <w:jc w:val="center"/>
        </w:trPr>
        <w:tc>
          <w:tcPr>
            <w:tcW w:w="320" w:type="pct"/>
            <w:tcBorders>
              <w:top w:val="nil"/>
              <w:left w:val="nil"/>
              <w:bottom w:val="nil"/>
              <w:right w:val="nil"/>
            </w:tcBorders>
            <w:noWrap/>
            <w:vAlign w:val="center"/>
            <w:hideMark/>
          </w:tcPr>
          <w:p w14:paraId="00D41FFE"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p>
        </w:tc>
        <w:tc>
          <w:tcPr>
            <w:tcW w:w="312" w:type="pct"/>
            <w:tcBorders>
              <w:top w:val="nil"/>
              <w:left w:val="nil"/>
              <w:bottom w:val="nil"/>
              <w:right w:val="nil"/>
            </w:tcBorders>
            <w:noWrap/>
            <w:vAlign w:val="center"/>
            <w:hideMark/>
          </w:tcPr>
          <w:p w14:paraId="64DC0E3D" w14:textId="7A42C92D" w:rsidR="00704CBA" w:rsidRPr="00704CBA" w:rsidRDefault="00704CBA" w:rsidP="00704CBA">
            <w:pPr>
              <w:spacing w:after="0" w:line="240" w:lineRule="auto"/>
              <w:jc w:val="center"/>
              <w:rPr>
                <w:rFonts w:ascii="Times New Roman" w:hAnsi="Times New Roman"/>
                <w:i/>
                <w:iCs/>
                <w:color w:val="000000"/>
                <w:sz w:val="19"/>
                <w:szCs w:val="19"/>
                <w:lang w:eastAsia="sk-SK"/>
              </w:rPr>
            </w:pPr>
            <w:hyperlink w:anchor="_Bankové_úvery_1" w:history="1">
              <w:r w:rsidRPr="00E760C1">
                <w:rPr>
                  <w:rStyle w:val="Hypertextovprepojenie"/>
                  <w:rFonts w:ascii="Times New Roman" w:hAnsi="Times New Roman"/>
                  <w:i/>
                  <w:iCs/>
                  <w:sz w:val="19"/>
                  <w:szCs w:val="19"/>
                  <w:lang w:eastAsia="sk-SK"/>
                </w:rPr>
                <w:t>42</w:t>
              </w:r>
            </w:hyperlink>
          </w:p>
        </w:tc>
        <w:tc>
          <w:tcPr>
            <w:tcW w:w="3118" w:type="pct"/>
            <w:tcBorders>
              <w:top w:val="nil"/>
              <w:left w:val="nil"/>
              <w:bottom w:val="nil"/>
              <w:right w:val="nil"/>
            </w:tcBorders>
            <w:noWrap/>
            <w:vAlign w:val="center"/>
            <w:hideMark/>
          </w:tcPr>
          <w:p w14:paraId="691B387D" w14:textId="77777777" w:rsidR="00704CBA" w:rsidRPr="00704CBA" w:rsidRDefault="00704CBA" w:rsidP="00704CBA">
            <w:pPr>
              <w:spacing w:after="0" w:line="240" w:lineRule="auto"/>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 xml:space="preserve">            bankové úvery</w:t>
            </w:r>
          </w:p>
        </w:tc>
        <w:tc>
          <w:tcPr>
            <w:tcW w:w="625" w:type="pct"/>
            <w:tcBorders>
              <w:top w:val="nil"/>
              <w:left w:val="nil"/>
              <w:bottom w:val="nil"/>
              <w:right w:val="nil"/>
            </w:tcBorders>
            <w:noWrap/>
            <w:vAlign w:val="center"/>
            <w:hideMark/>
          </w:tcPr>
          <w:p w14:paraId="54530227"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1 290 980</w:t>
            </w:r>
          </w:p>
        </w:tc>
        <w:tc>
          <w:tcPr>
            <w:tcW w:w="625" w:type="pct"/>
            <w:tcBorders>
              <w:top w:val="nil"/>
              <w:left w:val="nil"/>
              <w:bottom w:val="nil"/>
              <w:right w:val="nil"/>
            </w:tcBorders>
            <w:noWrap/>
            <w:vAlign w:val="center"/>
            <w:hideMark/>
          </w:tcPr>
          <w:p w14:paraId="0F867DD8"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839 811</w:t>
            </w:r>
          </w:p>
        </w:tc>
      </w:tr>
      <w:tr w:rsidR="00704CBA" w:rsidRPr="00704CBA" w14:paraId="36DE6B45" w14:textId="77777777" w:rsidTr="00704CBA">
        <w:trPr>
          <w:trHeight w:val="284"/>
          <w:jc w:val="center"/>
        </w:trPr>
        <w:tc>
          <w:tcPr>
            <w:tcW w:w="320" w:type="pct"/>
            <w:tcBorders>
              <w:top w:val="nil"/>
              <w:left w:val="nil"/>
              <w:bottom w:val="nil"/>
              <w:right w:val="nil"/>
            </w:tcBorders>
            <w:noWrap/>
            <w:vAlign w:val="center"/>
            <w:hideMark/>
          </w:tcPr>
          <w:p w14:paraId="6911466B"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p>
        </w:tc>
        <w:tc>
          <w:tcPr>
            <w:tcW w:w="312" w:type="pct"/>
            <w:tcBorders>
              <w:top w:val="nil"/>
              <w:left w:val="nil"/>
              <w:bottom w:val="nil"/>
              <w:right w:val="nil"/>
            </w:tcBorders>
            <w:noWrap/>
            <w:vAlign w:val="center"/>
            <w:hideMark/>
          </w:tcPr>
          <w:p w14:paraId="56C777E6" w14:textId="13A24F7A" w:rsidR="00704CBA" w:rsidRPr="00704CBA" w:rsidRDefault="00704CBA" w:rsidP="00704CBA">
            <w:pPr>
              <w:spacing w:after="0" w:line="240" w:lineRule="auto"/>
              <w:jc w:val="center"/>
              <w:rPr>
                <w:rFonts w:ascii="Times New Roman" w:hAnsi="Times New Roman"/>
                <w:i/>
                <w:iCs/>
                <w:color w:val="000000"/>
                <w:sz w:val="19"/>
                <w:szCs w:val="19"/>
                <w:lang w:eastAsia="sk-SK"/>
              </w:rPr>
            </w:pPr>
            <w:hyperlink w:anchor="_Zamestnanci" w:history="1">
              <w:r w:rsidRPr="00E760C1">
                <w:rPr>
                  <w:rStyle w:val="Hypertextovprepojenie"/>
                  <w:rFonts w:ascii="Times New Roman" w:hAnsi="Times New Roman"/>
                  <w:i/>
                  <w:iCs/>
                  <w:sz w:val="19"/>
                  <w:szCs w:val="19"/>
                  <w:lang w:eastAsia="sk-SK"/>
                </w:rPr>
                <w:t>43</w:t>
              </w:r>
            </w:hyperlink>
          </w:p>
        </w:tc>
        <w:tc>
          <w:tcPr>
            <w:tcW w:w="3118" w:type="pct"/>
            <w:tcBorders>
              <w:top w:val="nil"/>
              <w:left w:val="nil"/>
              <w:bottom w:val="nil"/>
              <w:right w:val="nil"/>
            </w:tcBorders>
            <w:noWrap/>
            <w:vAlign w:val="center"/>
            <w:hideMark/>
          </w:tcPr>
          <w:p w14:paraId="3D4F8427" w14:textId="77777777" w:rsidR="00704CBA" w:rsidRPr="00704CBA" w:rsidRDefault="00704CBA" w:rsidP="00704CBA">
            <w:pPr>
              <w:spacing w:after="0" w:line="240" w:lineRule="auto"/>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 xml:space="preserve">            zamestnanci</w:t>
            </w:r>
          </w:p>
        </w:tc>
        <w:tc>
          <w:tcPr>
            <w:tcW w:w="625" w:type="pct"/>
            <w:tcBorders>
              <w:top w:val="nil"/>
              <w:left w:val="nil"/>
              <w:bottom w:val="nil"/>
              <w:right w:val="nil"/>
            </w:tcBorders>
            <w:noWrap/>
            <w:vAlign w:val="center"/>
            <w:hideMark/>
          </w:tcPr>
          <w:p w14:paraId="2E8D9E97"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673 336</w:t>
            </w:r>
          </w:p>
        </w:tc>
        <w:tc>
          <w:tcPr>
            <w:tcW w:w="625" w:type="pct"/>
            <w:tcBorders>
              <w:top w:val="nil"/>
              <w:left w:val="nil"/>
              <w:bottom w:val="nil"/>
              <w:right w:val="nil"/>
            </w:tcBorders>
            <w:noWrap/>
            <w:vAlign w:val="center"/>
            <w:hideMark/>
          </w:tcPr>
          <w:p w14:paraId="0A09D935"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620 077</w:t>
            </w:r>
          </w:p>
        </w:tc>
      </w:tr>
      <w:tr w:rsidR="00704CBA" w:rsidRPr="00704CBA" w14:paraId="43AEC9E9" w14:textId="77777777" w:rsidTr="00704CBA">
        <w:trPr>
          <w:trHeight w:val="284"/>
          <w:jc w:val="center"/>
        </w:trPr>
        <w:tc>
          <w:tcPr>
            <w:tcW w:w="320" w:type="pct"/>
            <w:tcBorders>
              <w:top w:val="nil"/>
              <w:left w:val="nil"/>
              <w:bottom w:val="nil"/>
              <w:right w:val="nil"/>
            </w:tcBorders>
            <w:noWrap/>
            <w:vAlign w:val="center"/>
            <w:hideMark/>
          </w:tcPr>
          <w:p w14:paraId="0DC60592"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p>
        </w:tc>
        <w:tc>
          <w:tcPr>
            <w:tcW w:w="312" w:type="pct"/>
            <w:tcBorders>
              <w:top w:val="nil"/>
              <w:left w:val="nil"/>
              <w:bottom w:val="nil"/>
              <w:right w:val="nil"/>
            </w:tcBorders>
            <w:noWrap/>
            <w:vAlign w:val="center"/>
            <w:hideMark/>
          </w:tcPr>
          <w:p w14:paraId="00D05ACE" w14:textId="221857E9" w:rsidR="00704CBA" w:rsidRPr="00704CBA" w:rsidRDefault="00704CBA" w:rsidP="00704CBA">
            <w:pPr>
              <w:spacing w:after="0" w:line="240" w:lineRule="auto"/>
              <w:jc w:val="center"/>
              <w:rPr>
                <w:rFonts w:ascii="Times New Roman" w:hAnsi="Times New Roman"/>
                <w:i/>
                <w:iCs/>
                <w:color w:val="000000"/>
                <w:sz w:val="19"/>
                <w:szCs w:val="19"/>
                <w:lang w:eastAsia="sk-SK"/>
              </w:rPr>
            </w:pPr>
            <w:hyperlink w:anchor="_Prijaté_preddavky" w:history="1">
              <w:r w:rsidRPr="00E760C1">
                <w:rPr>
                  <w:rStyle w:val="Hypertextovprepojenie"/>
                  <w:rFonts w:ascii="Times New Roman" w:hAnsi="Times New Roman"/>
                  <w:i/>
                  <w:iCs/>
                  <w:sz w:val="19"/>
                  <w:szCs w:val="19"/>
                  <w:lang w:eastAsia="sk-SK"/>
                </w:rPr>
                <w:t>44</w:t>
              </w:r>
            </w:hyperlink>
          </w:p>
        </w:tc>
        <w:tc>
          <w:tcPr>
            <w:tcW w:w="3118" w:type="pct"/>
            <w:tcBorders>
              <w:top w:val="nil"/>
              <w:left w:val="nil"/>
              <w:bottom w:val="nil"/>
              <w:right w:val="nil"/>
            </w:tcBorders>
            <w:noWrap/>
            <w:vAlign w:val="center"/>
            <w:hideMark/>
          </w:tcPr>
          <w:p w14:paraId="54383D1E" w14:textId="77777777" w:rsidR="00704CBA" w:rsidRPr="00704CBA" w:rsidRDefault="00704CBA" w:rsidP="00704CBA">
            <w:pPr>
              <w:spacing w:after="0" w:line="240" w:lineRule="auto"/>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 xml:space="preserve">            prijaté preddavky</w:t>
            </w:r>
          </w:p>
        </w:tc>
        <w:tc>
          <w:tcPr>
            <w:tcW w:w="625" w:type="pct"/>
            <w:tcBorders>
              <w:top w:val="nil"/>
              <w:left w:val="nil"/>
              <w:bottom w:val="nil"/>
              <w:right w:val="nil"/>
            </w:tcBorders>
            <w:noWrap/>
            <w:vAlign w:val="center"/>
            <w:hideMark/>
          </w:tcPr>
          <w:p w14:paraId="0C8D8F27"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260 988</w:t>
            </w:r>
          </w:p>
        </w:tc>
        <w:tc>
          <w:tcPr>
            <w:tcW w:w="625" w:type="pct"/>
            <w:tcBorders>
              <w:top w:val="nil"/>
              <w:left w:val="nil"/>
              <w:bottom w:val="nil"/>
              <w:right w:val="nil"/>
            </w:tcBorders>
            <w:noWrap/>
            <w:vAlign w:val="center"/>
            <w:hideMark/>
          </w:tcPr>
          <w:p w14:paraId="2DB995A6"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203 416</w:t>
            </w:r>
          </w:p>
        </w:tc>
      </w:tr>
      <w:tr w:rsidR="00704CBA" w:rsidRPr="00704CBA" w14:paraId="1B88DB56" w14:textId="77777777" w:rsidTr="00704CBA">
        <w:trPr>
          <w:trHeight w:val="284"/>
          <w:jc w:val="center"/>
        </w:trPr>
        <w:tc>
          <w:tcPr>
            <w:tcW w:w="320" w:type="pct"/>
            <w:tcBorders>
              <w:top w:val="nil"/>
              <w:left w:val="nil"/>
              <w:bottom w:val="nil"/>
              <w:right w:val="nil"/>
            </w:tcBorders>
            <w:noWrap/>
            <w:vAlign w:val="center"/>
            <w:hideMark/>
          </w:tcPr>
          <w:p w14:paraId="2384C9DC"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p>
        </w:tc>
        <w:tc>
          <w:tcPr>
            <w:tcW w:w="312" w:type="pct"/>
            <w:tcBorders>
              <w:top w:val="nil"/>
              <w:left w:val="nil"/>
              <w:bottom w:val="nil"/>
              <w:right w:val="nil"/>
            </w:tcBorders>
            <w:noWrap/>
            <w:vAlign w:val="center"/>
            <w:hideMark/>
          </w:tcPr>
          <w:p w14:paraId="3840CB13" w14:textId="6726D1A3" w:rsidR="00704CBA" w:rsidRPr="00704CBA" w:rsidRDefault="00704CBA" w:rsidP="00704CBA">
            <w:pPr>
              <w:spacing w:after="0" w:line="240" w:lineRule="auto"/>
              <w:jc w:val="center"/>
              <w:rPr>
                <w:rFonts w:ascii="Times New Roman" w:hAnsi="Times New Roman"/>
                <w:i/>
                <w:iCs/>
                <w:color w:val="000000"/>
                <w:sz w:val="19"/>
                <w:szCs w:val="19"/>
                <w:lang w:eastAsia="sk-SK"/>
              </w:rPr>
            </w:pPr>
            <w:hyperlink w:anchor="_Ostatné_záväzky" w:history="1">
              <w:r w:rsidRPr="00E760C1">
                <w:rPr>
                  <w:rStyle w:val="Hypertextovprepojenie"/>
                  <w:rFonts w:ascii="Times New Roman" w:hAnsi="Times New Roman"/>
                  <w:i/>
                  <w:iCs/>
                  <w:sz w:val="19"/>
                  <w:szCs w:val="19"/>
                  <w:lang w:eastAsia="sk-SK"/>
                </w:rPr>
                <w:t>45</w:t>
              </w:r>
            </w:hyperlink>
          </w:p>
        </w:tc>
        <w:tc>
          <w:tcPr>
            <w:tcW w:w="3118" w:type="pct"/>
            <w:tcBorders>
              <w:top w:val="nil"/>
              <w:left w:val="nil"/>
              <w:bottom w:val="nil"/>
              <w:right w:val="nil"/>
            </w:tcBorders>
            <w:noWrap/>
            <w:vAlign w:val="center"/>
            <w:hideMark/>
          </w:tcPr>
          <w:p w14:paraId="28BB5CB0" w14:textId="77777777" w:rsidR="00704CBA" w:rsidRPr="00704CBA" w:rsidRDefault="00704CBA" w:rsidP="00704CBA">
            <w:pPr>
              <w:spacing w:after="0" w:line="240" w:lineRule="auto"/>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 xml:space="preserve">            ostatné záväzky</w:t>
            </w:r>
          </w:p>
        </w:tc>
        <w:tc>
          <w:tcPr>
            <w:tcW w:w="625" w:type="pct"/>
            <w:tcBorders>
              <w:top w:val="nil"/>
              <w:left w:val="nil"/>
              <w:bottom w:val="nil"/>
              <w:right w:val="nil"/>
            </w:tcBorders>
            <w:noWrap/>
            <w:vAlign w:val="center"/>
            <w:hideMark/>
          </w:tcPr>
          <w:p w14:paraId="36DF9C09"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4 651 384</w:t>
            </w:r>
          </w:p>
        </w:tc>
        <w:tc>
          <w:tcPr>
            <w:tcW w:w="625" w:type="pct"/>
            <w:tcBorders>
              <w:top w:val="nil"/>
              <w:left w:val="nil"/>
              <w:bottom w:val="nil"/>
              <w:right w:val="nil"/>
            </w:tcBorders>
            <w:noWrap/>
            <w:vAlign w:val="center"/>
            <w:hideMark/>
          </w:tcPr>
          <w:p w14:paraId="3B71E5C7" w14:textId="77777777" w:rsidR="00704CBA" w:rsidRPr="00704CBA" w:rsidRDefault="00704CBA" w:rsidP="00704CBA">
            <w:pPr>
              <w:spacing w:after="0" w:line="240" w:lineRule="auto"/>
              <w:jc w:val="right"/>
              <w:rPr>
                <w:rFonts w:ascii="Times New Roman" w:hAnsi="Times New Roman"/>
                <w:i/>
                <w:iCs/>
                <w:color w:val="000000"/>
                <w:sz w:val="19"/>
                <w:szCs w:val="19"/>
                <w:lang w:eastAsia="sk-SK"/>
              </w:rPr>
            </w:pPr>
            <w:r w:rsidRPr="00704CBA">
              <w:rPr>
                <w:rFonts w:ascii="Times New Roman" w:hAnsi="Times New Roman"/>
                <w:i/>
                <w:iCs/>
                <w:color w:val="000000"/>
                <w:sz w:val="19"/>
                <w:szCs w:val="19"/>
                <w:lang w:eastAsia="sk-SK"/>
              </w:rPr>
              <w:t>4 697 503</w:t>
            </w:r>
          </w:p>
        </w:tc>
      </w:tr>
      <w:tr w:rsidR="00704CBA" w:rsidRPr="00704CBA" w14:paraId="03E08D24" w14:textId="77777777" w:rsidTr="00704CBA">
        <w:trPr>
          <w:trHeight w:val="284"/>
          <w:jc w:val="center"/>
        </w:trPr>
        <w:tc>
          <w:tcPr>
            <w:tcW w:w="320" w:type="pct"/>
            <w:tcBorders>
              <w:top w:val="nil"/>
              <w:left w:val="nil"/>
              <w:bottom w:val="nil"/>
              <w:right w:val="nil"/>
            </w:tcBorders>
            <w:noWrap/>
            <w:vAlign w:val="center"/>
            <w:hideMark/>
          </w:tcPr>
          <w:p w14:paraId="6C533620"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B.IV.</w:t>
            </w:r>
          </w:p>
        </w:tc>
        <w:tc>
          <w:tcPr>
            <w:tcW w:w="312" w:type="pct"/>
            <w:tcBorders>
              <w:top w:val="nil"/>
              <w:left w:val="nil"/>
              <w:bottom w:val="nil"/>
              <w:right w:val="nil"/>
            </w:tcBorders>
            <w:noWrap/>
            <w:vAlign w:val="center"/>
            <w:hideMark/>
          </w:tcPr>
          <w:p w14:paraId="4F505931"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p>
        </w:tc>
        <w:tc>
          <w:tcPr>
            <w:tcW w:w="3118" w:type="pct"/>
            <w:tcBorders>
              <w:top w:val="nil"/>
              <w:left w:val="nil"/>
              <w:bottom w:val="nil"/>
              <w:right w:val="nil"/>
            </w:tcBorders>
            <w:noWrap/>
            <w:vAlign w:val="center"/>
            <w:hideMark/>
          </w:tcPr>
          <w:p w14:paraId="587A9879" w14:textId="77777777" w:rsidR="00704CBA" w:rsidRPr="00704CBA" w:rsidRDefault="00704CBA" w:rsidP="00704CBA">
            <w:pPr>
              <w:spacing w:after="0" w:line="240" w:lineRule="auto"/>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 xml:space="preserve">Krátkodobé rezervy </w:t>
            </w:r>
          </w:p>
        </w:tc>
        <w:tc>
          <w:tcPr>
            <w:tcW w:w="625" w:type="pct"/>
            <w:tcBorders>
              <w:top w:val="nil"/>
              <w:left w:val="nil"/>
              <w:bottom w:val="nil"/>
              <w:right w:val="nil"/>
            </w:tcBorders>
            <w:noWrap/>
            <w:vAlign w:val="center"/>
            <w:hideMark/>
          </w:tcPr>
          <w:p w14:paraId="72383478"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1 271 463</w:t>
            </w:r>
          </w:p>
        </w:tc>
        <w:tc>
          <w:tcPr>
            <w:tcW w:w="625" w:type="pct"/>
            <w:tcBorders>
              <w:top w:val="nil"/>
              <w:left w:val="nil"/>
              <w:bottom w:val="nil"/>
              <w:right w:val="nil"/>
            </w:tcBorders>
            <w:noWrap/>
            <w:vAlign w:val="center"/>
            <w:hideMark/>
          </w:tcPr>
          <w:p w14:paraId="7141C99D"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1 206 087</w:t>
            </w:r>
          </w:p>
        </w:tc>
      </w:tr>
      <w:tr w:rsidR="00704CBA" w:rsidRPr="00704CBA" w14:paraId="03C28EF7" w14:textId="77777777" w:rsidTr="00704CBA">
        <w:trPr>
          <w:trHeight w:val="284"/>
          <w:jc w:val="center"/>
        </w:trPr>
        <w:tc>
          <w:tcPr>
            <w:tcW w:w="320" w:type="pct"/>
            <w:tcBorders>
              <w:top w:val="nil"/>
              <w:left w:val="nil"/>
              <w:bottom w:val="single" w:sz="8" w:space="0" w:color="auto"/>
              <w:right w:val="nil"/>
            </w:tcBorders>
            <w:noWrap/>
            <w:vAlign w:val="center"/>
            <w:hideMark/>
          </w:tcPr>
          <w:p w14:paraId="5893505B" w14:textId="77777777" w:rsidR="00704CBA" w:rsidRPr="00704CBA" w:rsidRDefault="00704CBA" w:rsidP="00704CBA">
            <w:pPr>
              <w:spacing w:after="0" w:line="240" w:lineRule="auto"/>
              <w:jc w:val="center"/>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C.</w:t>
            </w:r>
          </w:p>
        </w:tc>
        <w:tc>
          <w:tcPr>
            <w:tcW w:w="312" w:type="pct"/>
            <w:tcBorders>
              <w:top w:val="nil"/>
              <w:left w:val="nil"/>
              <w:bottom w:val="single" w:sz="8" w:space="0" w:color="auto"/>
              <w:right w:val="nil"/>
            </w:tcBorders>
            <w:noWrap/>
            <w:vAlign w:val="center"/>
            <w:hideMark/>
          </w:tcPr>
          <w:p w14:paraId="267E8854" w14:textId="77777777" w:rsidR="00704CBA" w:rsidRPr="00704CBA" w:rsidRDefault="00704CBA" w:rsidP="00704CBA">
            <w:pPr>
              <w:spacing w:after="0" w:line="240" w:lineRule="auto"/>
              <w:rPr>
                <w:rFonts w:ascii="Times New Roman" w:hAnsi="Times New Roman"/>
                <w:color w:val="000000"/>
                <w:sz w:val="20"/>
                <w:szCs w:val="20"/>
                <w:lang w:eastAsia="sk-SK"/>
              </w:rPr>
            </w:pPr>
            <w:r w:rsidRPr="00704CBA">
              <w:rPr>
                <w:rFonts w:ascii="Times New Roman" w:hAnsi="Times New Roman"/>
                <w:color w:val="000000"/>
                <w:sz w:val="20"/>
                <w:szCs w:val="20"/>
                <w:lang w:eastAsia="sk-SK"/>
              </w:rPr>
              <w:t> </w:t>
            </w:r>
          </w:p>
        </w:tc>
        <w:tc>
          <w:tcPr>
            <w:tcW w:w="3118" w:type="pct"/>
            <w:tcBorders>
              <w:top w:val="nil"/>
              <w:left w:val="nil"/>
              <w:bottom w:val="single" w:sz="8" w:space="0" w:color="auto"/>
              <w:right w:val="nil"/>
            </w:tcBorders>
            <w:noWrap/>
            <w:vAlign w:val="center"/>
            <w:hideMark/>
          </w:tcPr>
          <w:p w14:paraId="5F40CD1D" w14:textId="77777777" w:rsidR="00704CBA" w:rsidRPr="00704CBA" w:rsidRDefault="00704CBA" w:rsidP="00704CBA">
            <w:pPr>
              <w:spacing w:after="0" w:line="240" w:lineRule="auto"/>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 xml:space="preserve">Časové rozlíšenie </w:t>
            </w:r>
          </w:p>
        </w:tc>
        <w:tc>
          <w:tcPr>
            <w:tcW w:w="625" w:type="pct"/>
            <w:tcBorders>
              <w:top w:val="nil"/>
              <w:left w:val="nil"/>
              <w:bottom w:val="single" w:sz="8" w:space="0" w:color="auto"/>
              <w:right w:val="nil"/>
            </w:tcBorders>
            <w:noWrap/>
            <w:vAlign w:val="center"/>
            <w:hideMark/>
          </w:tcPr>
          <w:p w14:paraId="5409C021"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13 004 699</w:t>
            </w:r>
          </w:p>
        </w:tc>
        <w:tc>
          <w:tcPr>
            <w:tcW w:w="625" w:type="pct"/>
            <w:tcBorders>
              <w:top w:val="nil"/>
              <w:left w:val="nil"/>
              <w:bottom w:val="single" w:sz="8" w:space="0" w:color="auto"/>
              <w:right w:val="nil"/>
            </w:tcBorders>
            <w:noWrap/>
            <w:vAlign w:val="center"/>
            <w:hideMark/>
          </w:tcPr>
          <w:p w14:paraId="151C8FBA" w14:textId="77777777" w:rsidR="00704CBA" w:rsidRPr="00704CBA" w:rsidRDefault="00704CBA" w:rsidP="00704CBA">
            <w:pPr>
              <w:spacing w:after="0" w:line="240" w:lineRule="auto"/>
              <w:jc w:val="right"/>
              <w:rPr>
                <w:rFonts w:ascii="Times New Roman" w:hAnsi="Times New Roman"/>
                <w:b/>
                <w:bCs/>
                <w:color w:val="000000"/>
                <w:sz w:val="20"/>
                <w:szCs w:val="20"/>
                <w:lang w:eastAsia="sk-SK"/>
              </w:rPr>
            </w:pPr>
            <w:r w:rsidRPr="00704CBA">
              <w:rPr>
                <w:rFonts w:ascii="Times New Roman" w:hAnsi="Times New Roman"/>
                <w:b/>
                <w:bCs/>
                <w:color w:val="000000"/>
                <w:sz w:val="20"/>
                <w:szCs w:val="20"/>
                <w:lang w:eastAsia="sk-SK"/>
              </w:rPr>
              <w:t>13 024 724</w:t>
            </w:r>
          </w:p>
        </w:tc>
      </w:tr>
    </w:tbl>
    <w:p w14:paraId="10F3676A" w14:textId="77777777" w:rsidR="00B90870" w:rsidRPr="0085799C" w:rsidRDefault="00B90870" w:rsidP="0085799C">
      <w:pPr>
        <w:spacing w:after="0" w:line="240" w:lineRule="auto"/>
        <w:rPr>
          <w:rFonts w:ascii="Times New Roman" w:hAnsi="Times New Roman"/>
          <w:b/>
          <w:szCs w:val="22"/>
        </w:rPr>
      </w:pPr>
    </w:p>
    <w:p w14:paraId="0E9D0C6E" w14:textId="77777777" w:rsidR="00B90870" w:rsidRDefault="00B90870" w:rsidP="009F2253">
      <w:pPr>
        <w:spacing w:after="0" w:line="240" w:lineRule="auto"/>
        <w:rPr>
          <w:rFonts w:ascii="Times New Roman" w:hAnsi="Times New Roman"/>
          <w:b/>
          <w:szCs w:val="22"/>
        </w:rPr>
      </w:pPr>
    </w:p>
    <w:p w14:paraId="4440D3D8" w14:textId="77777777" w:rsidR="009F2253" w:rsidRDefault="009F2253" w:rsidP="00615E48">
      <w:pPr>
        <w:spacing w:after="0" w:line="240" w:lineRule="auto"/>
        <w:rPr>
          <w:rFonts w:ascii="Times New Roman" w:hAnsi="Times New Roman"/>
          <w:b/>
          <w:bCs/>
          <w:szCs w:val="22"/>
        </w:rPr>
      </w:pPr>
    </w:p>
    <w:p w14:paraId="0E40E55E" w14:textId="77777777" w:rsidR="009F2253" w:rsidRDefault="009F2253" w:rsidP="00615E48">
      <w:pPr>
        <w:spacing w:after="0" w:line="240" w:lineRule="auto"/>
        <w:rPr>
          <w:rFonts w:ascii="Times New Roman" w:hAnsi="Times New Roman"/>
          <w:b/>
          <w:bCs/>
          <w:szCs w:val="22"/>
        </w:rPr>
      </w:pPr>
    </w:p>
    <w:p w14:paraId="66105763" w14:textId="77777777" w:rsidR="009F2253" w:rsidRDefault="009F2253" w:rsidP="00615E48">
      <w:pPr>
        <w:spacing w:after="0" w:line="240" w:lineRule="auto"/>
        <w:rPr>
          <w:rFonts w:ascii="Times New Roman" w:hAnsi="Times New Roman"/>
          <w:b/>
          <w:bCs/>
          <w:szCs w:val="22"/>
        </w:rPr>
      </w:pPr>
    </w:p>
    <w:p w14:paraId="2CBF2CF3" w14:textId="77777777" w:rsidR="009F2253" w:rsidRDefault="009F2253" w:rsidP="00615E48">
      <w:pPr>
        <w:spacing w:after="0" w:line="240" w:lineRule="auto"/>
        <w:rPr>
          <w:rFonts w:ascii="Times New Roman" w:hAnsi="Times New Roman"/>
          <w:b/>
          <w:bCs/>
          <w:szCs w:val="22"/>
        </w:rPr>
      </w:pPr>
    </w:p>
    <w:p w14:paraId="62041A57" w14:textId="77777777" w:rsidR="009F2253" w:rsidRDefault="009F2253" w:rsidP="00615E48">
      <w:pPr>
        <w:spacing w:after="0" w:line="240" w:lineRule="auto"/>
        <w:rPr>
          <w:rFonts w:ascii="Times New Roman" w:hAnsi="Times New Roman"/>
          <w:b/>
          <w:bCs/>
          <w:szCs w:val="22"/>
        </w:rPr>
      </w:pPr>
    </w:p>
    <w:p w14:paraId="3192BAB2" w14:textId="77777777" w:rsidR="009F2253" w:rsidRDefault="009F2253" w:rsidP="00615E48">
      <w:pPr>
        <w:spacing w:after="0" w:line="240" w:lineRule="auto"/>
        <w:rPr>
          <w:rFonts w:ascii="Times New Roman" w:hAnsi="Times New Roman"/>
          <w:b/>
          <w:bCs/>
          <w:szCs w:val="22"/>
        </w:rPr>
      </w:pPr>
    </w:p>
    <w:p w14:paraId="57C6EDFF" w14:textId="77777777" w:rsidR="009F2253" w:rsidRDefault="009F2253" w:rsidP="00615E48">
      <w:pPr>
        <w:spacing w:after="0" w:line="240" w:lineRule="auto"/>
        <w:rPr>
          <w:rFonts w:ascii="Times New Roman" w:hAnsi="Times New Roman"/>
          <w:b/>
          <w:bCs/>
          <w:szCs w:val="22"/>
        </w:rPr>
      </w:pPr>
    </w:p>
    <w:p w14:paraId="2E9383B5" w14:textId="77777777" w:rsidR="009F2253" w:rsidRDefault="009F2253" w:rsidP="00615E48">
      <w:pPr>
        <w:spacing w:after="0" w:line="240" w:lineRule="auto"/>
        <w:rPr>
          <w:rFonts w:ascii="Times New Roman" w:hAnsi="Times New Roman"/>
          <w:b/>
          <w:bCs/>
          <w:szCs w:val="22"/>
        </w:rPr>
      </w:pPr>
    </w:p>
    <w:p w14:paraId="1A4275C5" w14:textId="77777777" w:rsidR="009F2253" w:rsidRDefault="009F2253" w:rsidP="00615E48">
      <w:pPr>
        <w:spacing w:after="0" w:line="240" w:lineRule="auto"/>
        <w:rPr>
          <w:rFonts w:ascii="Times New Roman" w:hAnsi="Times New Roman"/>
          <w:b/>
          <w:bCs/>
          <w:szCs w:val="22"/>
        </w:rPr>
      </w:pPr>
    </w:p>
    <w:p w14:paraId="38F0F815" w14:textId="77777777" w:rsidR="009F2253" w:rsidRDefault="009F2253" w:rsidP="00615E48">
      <w:pPr>
        <w:spacing w:after="0" w:line="240" w:lineRule="auto"/>
        <w:rPr>
          <w:rFonts w:ascii="Times New Roman" w:hAnsi="Times New Roman"/>
          <w:b/>
          <w:bCs/>
          <w:szCs w:val="22"/>
        </w:rPr>
      </w:pPr>
    </w:p>
    <w:p w14:paraId="298C1F55" w14:textId="77777777" w:rsidR="009F2253" w:rsidRDefault="009F2253" w:rsidP="00615E48">
      <w:pPr>
        <w:spacing w:after="0" w:line="240" w:lineRule="auto"/>
        <w:rPr>
          <w:rFonts w:ascii="Times New Roman" w:hAnsi="Times New Roman"/>
          <w:b/>
          <w:bCs/>
          <w:szCs w:val="22"/>
        </w:rPr>
      </w:pPr>
    </w:p>
    <w:p w14:paraId="03B1075A" w14:textId="77777777" w:rsidR="00505C0F" w:rsidRDefault="00505C0F" w:rsidP="00615E48">
      <w:pPr>
        <w:spacing w:after="0" w:line="240" w:lineRule="auto"/>
        <w:rPr>
          <w:rFonts w:ascii="Times New Roman" w:hAnsi="Times New Roman"/>
          <w:b/>
          <w:bCs/>
          <w:szCs w:val="22"/>
        </w:rPr>
      </w:pPr>
    </w:p>
    <w:p w14:paraId="1E386983" w14:textId="77777777" w:rsidR="00505C0F" w:rsidRDefault="00505C0F" w:rsidP="00615E48">
      <w:pPr>
        <w:spacing w:after="0" w:line="240" w:lineRule="auto"/>
        <w:rPr>
          <w:rFonts w:ascii="Times New Roman" w:hAnsi="Times New Roman"/>
          <w:b/>
          <w:bCs/>
          <w:szCs w:val="22"/>
        </w:rPr>
      </w:pPr>
    </w:p>
    <w:p w14:paraId="42E90EEF" w14:textId="77777777" w:rsidR="00505C0F" w:rsidRDefault="00505C0F" w:rsidP="00615E48">
      <w:pPr>
        <w:spacing w:after="0" w:line="240" w:lineRule="auto"/>
        <w:rPr>
          <w:rFonts w:ascii="Times New Roman" w:hAnsi="Times New Roman"/>
          <w:b/>
          <w:bCs/>
          <w:szCs w:val="22"/>
        </w:rPr>
      </w:pPr>
    </w:p>
    <w:p w14:paraId="23E289C3" w14:textId="77777777" w:rsidR="00505C0F" w:rsidRDefault="00505C0F" w:rsidP="00615E48">
      <w:pPr>
        <w:spacing w:after="0" w:line="240" w:lineRule="auto"/>
        <w:rPr>
          <w:rFonts w:ascii="Times New Roman" w:hAnsi="Times New Roman"/>
          <w:b/>
          <w:bCs/>
          <w:szCs w:val="22"/>
        </w:rPr>
      </w:pPr>
    </w:p>
    <w:p w14:paraId="7F4A8575" w14:textId="77777777" w:rsidR="00505C0F" w:rsidRDefault="00505C0F" w:rsidP="00615E48">
      <w:pPr>
        <w:spacing w:after="0" w:line="240" w:lineRule="auto"/>
        <w:rPr>
          <w:rFonts w:ascii="Times New Roman" w:hAnsi="Times New Roman"/>
          <w:b/>
          <w:bCs/>
          <w:szCs w:val="22"/>
        </w:rPr>
      </w:pPr>
    </w:p>
    <w:p w14:paraId="7199A548" w14:textId="77777777" w:rsidR="009F2253" w:rsidRDefault="009F2253" w:rsidP="00615E48">
      <w:pPr>
        <w:spacing w:after="0" w:line="240" w:lineRule="auto"/>
        <w:rPr>
          <w:rFonts w:ascii="Times New Roman" w:hAnsi="Times New Roman"/>
          <w:b/>
          <w:bCs/>
          <w:szCs w:val="22"/>
        </w:rPr>
      </w:pPr>
    </w:p>
    <w:p w14:paraId="34D599B0" w14:textId="77777777" w:rsidR="009F2253" w:rsidRDefault="009F2253" w:rsidP="00615E48">
      <w:pPr>
        <w:spacing w:after="0" w:line="240" w:lineRule="auto"/>
        <w:rPr>
          <w:rFonts w:ascii="Times New Roman" w:hAnsi="Times New Roman"/>
          <w:b/>
          <w:bCs/>
          <w:szCs w:val="22"/>
        </w:rPr>
      </w:pPr>
    </w:p>
    <w:p w14:paraId="0F487F47" w14:textId="1DC67F78" w:rsidR="009F2253" w:rsidRPr="0085799C" w:rsidRDefault="00505C0F" w:rsidP="0085799C">
      <w:pPr>
        <w:spacing w:before="120" w:after="120" w:line="240" w:lineRule="auto"/>
        <w:jc w:val="both"/>
        <w:rPr>
          <w:rFonts w:ascii="Times New Roman" w:hAnsi="Times New Roman"/>
          <w:b/>
          <w:iCs/>
          <w:sz w:val="18"/>
          <w:szCs w:val="18"/>
        </w:rPr>
      </w:pPr>
      <w:r w:rsidRPr="00CB4D8B">
        <w:rPr>
          <w:rFonts w:ascii="Times New Roman" w:hAnsi="Times New Roman"/>
        </w:rPr>
        <w:br w:type="page"/>
      </w:r>
    </w:p>
    <w:tbl>
      <w:tblPr>
        <w:tblW w:w="9356" w:type="dxa"/>
        <w:jc w:val="center"/>
        <w:tblCellMar>
          <w:left w:w="70" w:type="dxa"/>
          <w:right w:w="70" w:type="dxa"/>
        </w:tblCellMar>
        <w:tblLook w:val="04A0" w:firstRow="1" w:lastRow="0" w:firstColumn="1" w:lastColumn="0" w:noHBand="0" w:noVBand="1"/>
      </w:tblPr>
      <w:tblGrid>
        <w:gridCol w:w="512"/>
        <w:gridCol w:w="631"/>
        <w:gridCol w:w="5827"/>
        <w:gridCol w:w="1194"/>
        <w:gridCol w:w="1192"/>
      </w:tblGrid>
      <w:tr w:rsidR="009F2253" w:rsidRPr="009F2253" w14:paraId="674BB736" w14:textId="77777777" w:rsidTr="0085799C">
        <w:trPr>
          <w:trHeight w:val="227"/>
          <w:jc w:val="center"/>
        </w:trPr>
        <w:tc>
          <w:tcPr>
            <w:tcW w:w="5000" w:type="pct"/>
            <w:gridSpan w:val="5"/>
            <w:tcBorders>
              <w:top w:val="single" w:sz="8" w:space="0" w:color="auto"/>
              <w:left w:val="nil"/>
              <w:bottom w:val="nil"/>
              <w:right w:val="nil"/>
            </w:tcBorders>
            <w:shd w:val="clear" w:color="000000" w:fill="F4B084"/>
            <w:noWrap/>
            <w:vAlign w:val="center"/>
            <w:hideMark/>
          </w:tcPr>
          <w:p w14:paraId="3C06ADF0" w14:textId="093898C8" w:rsidR="009F2253" w:rsidRPr="009F2253" w:rsidRDefault="009F2253" w:rsidP="009F2253">
            <w:pPr>
              <w:spacing w:after="0" w:line="240" w:lineRule="auto"/>
              <w:jc w:val="center"/>
              <w:rPr>
                <w:rFonts w:ascii="Times New Roman" w:hAnsi="Times New Roman"/>
                <w:b/>
                <w:bCs/>
                <w:color w:val="000000"/>
                <w:sz w:val="24"/>
                <w:szCs w:val="24"/>
                <w:lang w:eastAsia="sk-SK"/>
              </w:rPr>
            </w:pPr>
            <w:r w:rsidRPr="009F2253">
              <w:rPr>
                <w:rFonts w:ascii="Times New Roman" w:hAnsi="Times New Roman"/>
                <w:b/>
                <w:bCs/>
                <w:color w:val="000000"/>
                <w:sz w:val="24"/>
                <w:szCs w:val="24"/>
                <w:lang w:eastAsia="sk-SK"/>
              </w:rPr>
              <w:lastRenderedPageBreak/>
              <w:t xml:space="preserve">VÝKAZ ZISKOV A STRÁT K </w:t>
            </w:r>
            <w:r w:rsidR="00F418A2">
              <w:rPr>
                <w:rFonts w:ascii="Times New Roman" w:hAnsi="Times New Roman"/>
                <w:b/>
                <w:bCs/>
                <w:color w:val="000000"/>
                <w:sz w:val="24"/>
                <w:szCs w:val="24"/>
                <w:lang w:eastAsia="sk-SK"/>
              </w:rPr>
              <w:t>31.</w:t>
            </w:r>
            <w:r w:rsidR="00CE5A24">
              <w:rPr>
                <w:rFonts w:ascii="Times New Roman" w:hAnsi="Times New Roman"/>
                <w:b/>
                <w:bCs/>
                <w:color w:val="000000"/>
                <w:sz w:val="24"/>
                <w:szCs w:val="24"/>
                <w:lang w:eastAsia="sk-SK"/>
              </w:rPr>
              <w:t xml:space="preserve"> </w:t>
            </w:r>
            <w:r w:rsidR="00F418A2">
              <w:rPr>
                <w:rFonts w:ascii="Times New Roman" w:hAnsi="Times New Roman"/>
                <w:b/>
                <w:bCs/>
                <w:color w:val="000000"/>
                <w:sz w:val="24"/>
                <w:szCs w:val="24"/>
                <w:lang w:eastAsia="sk-SK"/>
              </w:rPr>
              <w:t>12.</w:t>
            </w:r>
            <w:r w:rsidR="00CE5A24">
              <w:rPr>
                <w:rFonts w:ascii="Times New Roman" w:hAnsi="Times New Roman"/>
                <w:b/>
                <w:bCs/>
                <w:color w:val="000000"/>
                <w:sz w:val="24"/>
                <w:szCs w:val="24"/>
                <w:lang w:eastAsia="sk-SK"/>
              </w:rPr>
              <w:t xml:space="preserve"> </w:t>
            </w:r>
            <w:r w:rsidR="00F418A2">
              <w:rPr>
                <w:rFonts w:ascii="Times New Roman" w:hAnsi="Times New Roman"/>
                <w:b/>
                <w:bCs/>
                <w:color w:val="000000"/>
                <w:sz w:val="24"/>
                <w:szCs w:val="24"/>
                <w:lang w:eastAsia="sk-SK"/>
              </w:rPr>
              <w:t>2024</w:t>
            </w:r>
          </w:p>
        </w:tc>
      </w:tr>
      <w:tr w:rsidR="009F2253" w:rsidRPr="009F2253" w14:paraId="1B660421" w14:textId="77777777" w:rsidTr="0085799C">
        <w:trPr>
          <w:trHeight w:val="227"/>
          <w:jc w:val="center"/>
        </w:trPr>
        <w:tc>
          <w:tcPr>
            <w:tcW w:w="5000" w:type="pct"/>
            <w:gridSpan w:val="5"/>
            <w:tcBorders>
              <w:top w:val="nil"/>
              <w:left w:val="nil"/>
              <w:bottom w:val="single" w:sz="8" w:space="0" w:color="auto"/>
              <w:right w:val="nil"/>
            </w:tcBorders>
            <w:shd w:val="clear" w:color="000000" w:fill="F4B084"/>
            <w:noWrap/>
            <w:vAlign w:val="center"/>
            <w:hideMark/>
          </w:tcPr>
          <w:p w14:paraId="5EC08974" w14:textId="77777777" w:rsidR="009F2253" w:rsidRPr="009F2253" w:rsidRDefault="009F2253" w:rsidP="009F2253">
            <w:pPr>
              <w:spacing w:after="0" w:line="240" w:lineRule="auto"/>
              <w:jc w:val="center"/>
              <w:rPr>
                <w:rFonts w:ascii="Times New Roman" w:hAnsi="Times New Roman"/>
                <w:b/>
                <w:bCs/>
                <w:color w:val="000000"/>
                <w:sz w:val="24"/>
                <w:szCs w:val="24"/>
                <w:lang w:eastAsia="sk-SK"/>
              </w:rPr>
            </w:pPr>
            <w:r w:rsidRPr="009F2253">
              <w:rPr>
                <w:rFonts w:ascii="Times New Roman" w:hAnsi="Times New Roman"/>
                <w:b/>
                <w:bCs/>
                <w:color w:val="000000"/>
                <w:sz w:val="24"/>
                <w:szCs w:val="24"/>
                <w:lang w:eastAsia="sk-SK"/>
              </w:rPr>
              <w:t>(v tis. eur)</w:t>
            </w:r>
          </w:p>
        </w:tc>
      </w:tr>
      <w:tr w:rsidR="009F2253" w:rsidRPr="009F2253" w14:paraId="7163973E" w14:textId="77777777" w:rsidTr="0085799C">
        <w:trPr>
          <w:trHeight w:val="227"/>
          <w:jc w:val="center"/>
        </w:trPr>
        <w:tc>
          <w:tcPr>
            <w:tcW w:w="274" w:type="pct"/>
            <w:tcBorders>
              <w:top w:val="nil"/>
              <w:left w:val="nil"/>
              <w:bottom w:val="single" w:sz="8" w:space="0" w:color="auto"/>
              <w:right w:val="nil"/>
            </w:tcBorders>
            <w:shd w:val="clear" w:color="000000" w:fill="BDD7EE"/>
            <w:noWrap/>
            <w:vAlign w:val="center"/>
            <w:hideMark/>
          </w:tcPr>
          <w:p w14:paraId="33B9296D" w14:textId="77777777" w:rsidR="009F2253" w:rsidRPr="009F2253" w:rsidRDefault="009F2253" w:rsidP="009F2253">
            <w:pPr>
              <w:spacing w:after="0" w:line="240" w:lineRule="auto"/>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 </w:t>
            </w:r>
          </w:p>
        </w:tc>
        <w:tc>
          <w:tcPr>
            <w:tcW w:w="337" w:type="pct"/>
            <w:tcBorders>
              <w:top w:val="nil"/>
              <w:left w:val="nil"/>
              <w:bottom w:val="single" w:sz="8" w:space="0" w:color="auto"/>
              <w:right w:val="nil"/>
            </w:tcBorders>
            <w:shd w:val="clear" w:color="000000" w:fill="BDD7EE"/>
            <w:noWrap/>
            <w:vAlign w:val="center"/>
            <w:hideMark/>
          </w:tcPr>
          <w:p w14:paraId="6177005B" w14:textId="77777777" w:rsidR="009F2253" w:rsidRPr="009F2253" w:rsidRDefault="009F2253" w:rsidP="009F2253">
            <w:pPr>
              <w:spacing w:after="0" w:line="240" w:lineRule="auto"/>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 </w:t>
            </w:r>
          </w:p>
        </w:tc>
        <w:tc>
          <w:tcPr>
            <w:tcW w:w="3114" w:type="pct"/>
            <w:tcBorders>
              <w:top w:val="nil"/>
              <w:left w:val="nil"/>
              <w:bottom w:val="single" w:sz="8" w:space="0" w:color="auto"/>
              <w:right w:val="nil"/>
            </w:tcBorders>
            <w:shd w:val="clear" w:color="000000" w:fill="BDD7EE"/>
            <w:noWrap/>
            <w:vAlign w:val="center"/>
            <w:hideMark/>
          </w:tcPr>
          <w:p w14:paraId="2D558105"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VÝNOSY </w:t>
            </w:r>
          </w:p>
        </w:tc>
        <w:tc>
          <w:tcPr>
            <w:tcW w:w="638" w:type="pct"/>
            <w:tcBorders>
              <w:top w:val="nil"/>
              <w:left w:val="nil"/>
              <w:bottom w:val="single" w:sz="8" w:space="0" w:color="auto"/>
              <w:right w:val="nil"/>
            </w:tcBorders>
            <w:shd w:val="clear" w:color="000000" w:fill="BDD7EE"/>
            <w:noWrap/>
            <w:vAlign w:val="center"/>
            <w:hideMark/>
          </w:tcPr>
          <w:p w14:paraId="44436E1D"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2024</w:t>
            </w:r>
          </w:p>
        </w:tc>
        <w:tc>
          <w:tcPr>
            <w:tcW w:w="638" w:type="pct"/>
            <w:tcBorders>
              <w:top w:val="nil"/>
              <w:left w:val="nil"/>
              <w:bottom w:val="single" w:sz="8" w:space="0" w:color="auto"/>
              <w:right w:val="nil"/>
            </w:tcBorders>
            <w:shd w:val="clear" w:color="000000" w:fill="BDD7EE"/>
            <w:noWrap/>
            <w:vAlign w:val="center"/>
            <w:hideMark/>
          </w:tcPr>
          <w:p w14:paraId="69E42B72"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2023</w:t>
            </w:r>
          </w:p>
        </w:tc>
      </w:tr>
      <w:tr w:rsidR="009F2253" w:rsidRPr="009F2253" w14:paraId="716E51A5" w14:textId="77777777" w:rsidTr="0085799C">
        <w:trPr>
          <w:trHeight w:val="227"/>
          <w:jc w:val="center"/>
        </w:trPr>
        <w:tc>
          <w:tcPr>
            <w:tcW w:w="274" w:type="pct"/>
            <w:tcBorders>
              <w:top w:val="nil"/>
              <w:left w:val="nil"/>
              <w:bottom w:val="nil"/>
              <w:right w:val="nil"/>
            </w:tcBorders>
            <w:noWrap/>
            <w:vAlign w:val="center"/>
            <w:hideMark/>
          </w:tcPr>
          <w:p w14:paraId="14AE15C5"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I.</w:t>
            </w:r>
          </w:p>
        </w:tc>
        <w:tc>
          <w:tcPr>
            <w:tcW w:w="337" w:type="pct"/>
            <w:tcBorders>
              <w:top w:val="nil"/>
              <w:left w:val="nil"/>
              <w:bottom w:val="nil"/>
              <w:right w:val="nil"/>
            </w:tcBorders>
            <w:noWrap/>
            <w:vAlign w:val="center"/>
            <w:hideMark/>
          </w:tcPr>
          <w:p w14:paraId="7585DDEF"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pozn.</w:t>
            </w:r>
          </w:p>
        </w:tc>
        <w:tc>
          <w:tcPr>
            <w:tcW w:w="3114" w:type="pct"/>
            <w:tcBorders>
              <w:top w:val="nil"/>
              <w:left w:val="nil"/>
              <w:bottom w:val="nil"/>
              <w:right w:val="nil"/>
            </w:tcBorders>
            <w:noWrap/>
            <w:vAlign w:val="center"/>
            <w:hideMark/>
          </w:tcPr>
          <w:p w14:paraId="2BA022F2" w14:textId="77777777" w:rsidR="009F2253" w:rsidRPr="009F2253" w:rsidRDefault="009F2253" w:rsidP="009F2253">
            <w:pPr>
              <w:spacing w:after="0" w:line="240" w:lineRule="auto"/>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 xml:space="preserve">Daňové a colné výnosy a výnosy z poplatkov </w:t>
            </w:r>
          </w:p>
        </w:tc>
        <w:tc>
          <w:tcPr>
            <w:tcW w:w="638" w:type="pct"/>
            <w:tcBorders>
              <w:top w:val="nil"/>
              <w:left w:val="nil"/>
              <w:bottom w:val="nil"/>
              <w:right w:val="nil"/>
            </w:tcBorders>
            <w:noWrap/>
            <w:vAlign w:val="center"/>
            <w:hideMark/>
          </w:tcPr>
          <w:p w14:paraId="396960FA"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24 696 482</w:t>
            </w:r>
          </w:p>
        </w:tc>
        <w:tc>
          <w:tcPr>
            <w:tcW w:w="638" w:type="pct"/>
            <w:tcBorders>
              <w:top w:val="nil"/>
              <w:left w:val="nil"/>
              <w:bottom w:val="nil"/>
              <w:right w:val="nil"/>
            </w:tcBorders>
            <w:noWrap/>
            <w:vAlign w:val="center"/>
            <w:hideMark/>
          </w:tcPr>
          <w:p w14:paraId="1ABA201A"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23 823 914</w:t>
            </w:r>
          </w:p>
        </w:tc>
      </w:tr>
      <w:tr w:rsidR="009F2253" w:rsidRPr="009F2253" w14:paraId="1B59F16F" w14:textId="77777777" w:rsidTr="0085799C">
        <w:trPr>
          <w:trHeight w:val="227"/>
          <w:jc w:val="center"/>
        </w:trPr>
        <w:tc>
          <w:tcPr>
            <w:tcW w:w="274" w:type="pct"/>
            <w:tcBorders>
              <w:top w:val="nil"/>
              <w:left w:val="nil"/>
              <w:bottom w:val="nil"/>
              <w:right w:val="nil"/>
            </w:tcBorders>
            <w:noWrap/>
            <w:vAlign w:val="center"/>
            <w:hideMark/>
          </w:tcPr>
          <w:p w14:paraId="303F1CBB"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p>
        </w:tc>
        <w:tc>
          <w:tcPr>
            <w:tcW w:w="337" w:type="pct"/>
            <w:tcBorders>
              <w:top w:val="nil"/>
              <w:left w:val="nil"/>
              <w:bottom w:val="nil"/>
              <w:right w:val="nil"/>
            </w:tcBorders>
            <w:noWrap/>
            <w:vAlign w:val="center"/>
            <w:hideMark/>
          </w:tcPr>
          <w:p w14:paraId="003DFA18" w14:textId="11857E5F"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Daňové_výnosy_štátu" w:history="1">
              <w:r w:rsidRPr="00E760C1">
                <w:rPr>
                  <w:rStyle w:val="Hypertextovprepojenie"/>
                  <w:rFonts w:ascii="Times New Roman" w:hAnsi="Times New Roman"/>
                  <w:i/>
                  <w:iCs/>
                  <w:sz w:val="19"/>
                  <w:szCs w:val="19"/>
                  <w:lang w:eastAsia="sk-SK"/>
                </w:rPr>
                <w:t>46</w:t>
              </w:r>
            </w:hyperlink>
          </w:p>
        </w:tc>
        <w:tc>
          <w:tcPr>
            <w:tcW w:w="3114" w:type="pct"/>
            <w:tcBorders>
              <w:top w:val="nil"/>
              <w:left w:val="nil"/>
              <w:bottom w:val="nil"/>
              <w:right w:val="nil"/>
            </w:tcBorders>
            <w:noWrap/>
            <w:vAlign w:val="center"/>
            <w:hideMark/>
          </w:tcPr>
          <w:p w14:paraId="64B01B1F"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v tom    daňové výnosy štátu</w:t>
            </w:r>
          </w:p>
        </w:tc>
        <w:tc>
          <w:tcPr>
            <w:tcW w:w="638" w:type="pct"/>
            <w:tcBorders>
              <w:top w:val="nil"/>
              <w:left w:val="nil"/>
              <w:bottom w:val="nil"/>
              <w:right w:val="nil"/>
            </w:tcBorders>
            <w:noWrap/>
            <w:vAlign w:val="center"/>
            <w:hideMark/>
          </w:tcPr>
          <w:p w14:paraId="530D5B24"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18 651 657</w:t>
            </w:r>
          </w:p>
        </w:tc>
        <w:tc>
          <w:tcPr>
            <w:tcW w:w="638" w:type="pct"/>
            <w:tcBorders>
              <w:top w:val="nil"/>
              <w:left w:val="nil"/>
              <w:bottom w:val="nil"/>
              <w:right w:val="nil"/>
            </w:tcBorders>
            <w:noWrap/>
            <w:vAlign w:val="center"/>
            <w:hideMark/>
          </w:tcPr>
          <w:p w14:paraId="426E4500"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17 716 767</w:t>
            </w:r>
          </w:p>
        </w:tc>
      </w:tr>
      <w:tr w:rsidR="009F2253" w:rsidRPr="009F2253" w14:paraId="0B3EB4D6" w14:textId="77777777" w:rsidTr="0085799C">
        <w:trPr>
          <w:trHeight w:val="227"/>
          <w:jc w:val="center"/>
        </w:trPr>
        <w:tc>
          <w:tcPr>
            <w:tcW w:w="274" w:type="pct"/>
            <w:tcBorders>
              <w:top w:val="nil"/>
              <w:left w:val="nil"/>
              <w:bottom w:val="nil"/>
              <w:right w:val="nil"/>
            </w:tcBorders>
            <w:noWrap/>
            <w:vAlign w:val="center"/>
            <w:hideMark/>
          </w:tcPr>
          <w:p w14:paraId="64900065"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p>
        </w:tc>
        <w:tc>
          <w:tcPr>
            <w:tcW w:w="337" w:type="pct"/>
            <w:tcBorders>
              <w:top w:val="nil"/>
              <w:left w:val="nil"/>
              <w:bottom w:val="nil"/>
              <w:right w:val="nil"/>
            </w:tcBorders>
            <w:noWrap/>
            <w:vAlign w:val="center"/>
            <w:hideMark/>
          </w:tcPr>
          <w:p w14:paraId="036C1111" w14:textId="6549B630"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Daňové_výnosy_územnej" w:history="1">
              <w:r w:rsidRPr="00E760C1">
                <w:rPr>
                  <w:rStyle w:val="Hypertextovprepojenie"/>
                  <w:rFonts w:ascii="Times New Roman" w:hAnsi="Times New Roman"/>
                  <w:i/>
                  <w:iCs/>
                  <w:sz w:val="19"/>
                  <w:szCs w:val="19"/>
                  <w:lang w:eastAsia="sk-SK"/>
                </w:rPr>
                <w:t>47</w:t>
              </w:r>
            </w:hyperlink>
          </w:p>
        </w:tc>
        <w:tc>
          <w:tcPr>
            <w:tcW w:w="3114" w:type="pct"/>
            <w:tcBorders>
              <w:top w:val="nil"/>
              <w:left w:val="nil"/>
              <w:bottom w:val="nil"/>
              <w:right w:val="nil"/>
            </w:tcBorders>
            <w:noWrap/>
            <w:vAlign w:val="center"/>
            <w:hideMark/>
          </w:tcPr>
          <w:p w14:paraId="63D75BA4"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 xml:space="preserve">            daňové výnosy územnej samosprávy</w:t>
            </w:r>
          </w:p>
        </w:tc>
        <w:tc>
          <w:tcPr>
            <w:tcW w:w="638" w:type="pct"/>
            <w:tcBorders>
              <w:top w:val="nil"/>
              <w:left w:val="nil"/>
              <w:bottom w:val="nil"/>
              <w:right w:val="nil"/>
            </w:tcBorders>
            <w:noWrap/>
            <w:vAlign w:val="center"/>
            <w:hideMark/>
          </w:tcPr>
          <w:p w14:paraId="57E391B2"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4 779 515</w:t>
            </w:r>
          </w:p>
        </w:tc>
        <w:tc>
          <w:tcPr>
            <w:tcW w:w="638" w:type="pct"/>
            <w:tcBorders>
              <w:top w:val="nil"/>
              <w:left w:val="nil"/>
              <w:bottom w:val="nil"/>
              <w:right w:val="nil"/>
            </w:tcBorders>
            <w:noWrap/>
            <w:vAlign w:val="center"/>
            <w:hideMark/>
          </w:tcPr>
          <w:p w14:paraId="505941D0"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4 821 277</w:t>
            </w:r>
          </w:p>
        </w:tc>
      </w:tr>
      <w:tr w:rsidR="009F2253" w:rsidRPr="009F2253" w14:paraId="65A48A80" w14:textId="77777777" w:rsidTr="0085799C">
        <w:trPr>
          <w:trHeight w:val="227"/>
          <w:jc w:val="center"/>
        </w:trPr>
        <w:tc>
          <w:tcPr>
            <w:tcW w:w="274" w:type="pct"/>
            <w:tcBorders>
              <w:top w:val="nil"/>
              <w:left w:val="nil"/>
              <w:bottom w:val="nil"/>
              <w:right w:val="nil"/>
            </w:tcBorders>
            <w:noWrap/>
            <w:vAlign w:val="center"/>
            <w:hideMark/>
          </w:tcPr>
          <w:p w14:paraId="7FAC3B46"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p>
        </w:tc>
        <w:tc>
          <w:tcPr>
            <w:tcW w:w="337" w:type="pct"/>
            <w:tcBorders>
              <w:top w:val="nil"/>
              <w:left w:val="nil"/>
              <w:bottom w:val="nil"/>
              <w:right w:val="nil"/>
            </w:tcBorders>
            <w:noWrap/>
            <w:vAlign w:val="center"/>
            <w:hideMark/>
          </w:tcPr>
          <w:p w14:paraId="0D6ADBDA" w14:textId="029CA992"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Poplatky" w:history="1">
              <w:r w:rsidRPr="00E760C1">
                <w:rPr>
                  <w:rStyle w:val="Hypertextovprepojenie"/>
                  <w:rFonts w:ascii="Times New Roman" w:hAnsi="Times New Roman"/>
                  <w:i/>
                  <w:iCs/>
                  <w:sz w:val="19"/>
                  <w:szCs w:val="19"/>
                  <w:lang w:eastAsia="sk-SK"/>
                </w:rPr>
                <w:t>48</w:t>
              </w:r>
            </w:hyperlink>
          </w:p>
        </w:tc>
        <w:tc>
          <w:tcPr>
            <w:tcW w:w="3114" w:type="pct"/>
            <w:tcBorders>
              <w:top w:val="nil"/>
              <w:left w:val="nil"/>
              <w:bottom w:val="nil"/>
              <w:right w:val="nil"/>
            </w:tcBorders>
            <w:noWrap/>
            <w:vAlign w:val="center"/>
            <w:hideMark/>
          </w:tcPr>
          <w:p w14:paraId="5780F191"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 xml:space="preserve">            poplatky</w:t>
            </w:r>
          </w:p>
        </w:tc>
        <w:tc>
          <w:tcPr>
            <w:tcW w:w="638" w:type="pct"/>
            <w:tcBorders>
              <w:top w:val="nil"/>
              <w:left w:val="nil"/>
              <w:bottom w:val="nil"/>
              <w:right w:val="nil"/>
            </w:tcBorders>
            <w:noWrap/>
            <w:vAlign w:val="center"/>
            <w:hideMark/>
          </w:tcPr>
          <w:p w14:paraId="08C02A6F"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1 265 310</w:t>
            </w:r>
          </w:p>
        </w:tc>
        <w:tc>
          <w:tcPr>
            <w:tcW w:w="638" w:type="pct"/>
            <w:tcBorders>
              <w:top w:val="nil"/>
              <w:left w:val="nil"/>
              <w:bottom w:val="nil"/>
              <w:right w:val="nil"/>
            </w:tcBorders>
            <w:noWrap/>
            <w:vAlign w:val="center"/>
            <w:hideMark/>
          </w:tcPr>
          <w:p w14:paraId="4F28A73C"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1 285 870</w:t>
            </w:r>
          </w:p>
        </w:tc>
      </w:tr>
      <w:tr w:rsidR="009F2253" w:rsidRPr="009F2253" w14:paraId="76192BC1" w14:textId="77777777" w:rsidTr="0085799C">
        <w:trPr>
          <w:trHeight w:val="227"/>
          <w:jc w:val="center"/>
        </w:trPr>
        <w:tc>
          <w:tcPr>
            <w:tcW w:w="274" w:type="pct"/>
            <w:tcBorders>
              <w:top w:val="nil"/>
              <w:left w:val="nil"/>
              <w:bottom w:val="nil"/>
              <w:right w:val="nil"/>
            </w:tcBorders>
            <w:noWrap/>
            <w:vAlign w:val="center"/>
            <w:hideMark/>
          </w:tcPr>
          <w:p w14:paraId="74624B4E"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II.</w:t>
            </w:r>
          </w:p>
        </w:tc>
        <w:tc>
          <w:tcPr>
            <w:tcW w:w="337" w:type="pct"/>
            <w:tcBorders>
              <w:top w:val="nil"/>
              <w:left w:val="nil"/>
              <w:bottom w:val="nil"/>
              <w:right w:val="nil"/>
            </w:tcBorders>
            <w:noWrap/>
            <w:vAlign w:val="center"/>
            <w:hideMark/>
          </w:tcPr>
          <w:p w14:paraId="79EFE45F"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p>
        </w:tc>
        <w:tc>
          <w:tcPr>
            <w:tcW w:w="3114" w:type="pct"/>
            <w:tcBorders>
              <w:top w:val="nil"/>
              <w:left w:val="nil"/>
              <w:bottom w:val="nil"/>
              <w:right w:val="nil"/>
            </w:tcBorders>
            <w:noWrap/>
            <w:vAlign w:val="center"/>
            <w:hideMark/>
          </w:tcPr>
          <w:p w14:paraId="0319063A" w14:textId="77777777" w:rsidR="009F2253" w:rsidRPr="009F2253" w:rsidRDefault="009F2253" w:rsidP="009F2253">
            <w:pPr>
              <w:spacing w:after="0" w:line="240" w:lineRule="auto"/>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Výnosy z transferov</w:t>
            </w:r>
          </w:p>
        </w:tc>
        <w:tc>
          <w:tcPr>
            <w:tcW w:w="638" w:type="pct"/>
            <w:tcBorders>
              <w:top w:val="nil"/>
              <w:left w:val="nil"/>
              <w:bottom w:val="nil"/>
              <w:right w:val="nil"/>
            </w:tcBorders>
            <w:noWrap/>
            <w:vAlign w:val="center"/>
            <w:hideMark/>
          </w:tcPr>
          <w:p w14:paraId="7210A055"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8 333 052</w:t>
            </w:r>
          </w:p>
        </w:tc>
        <w:tc>
          <w:tcPr>
            <w:tcW w:w="638" w:type="pct"/>
            <w:tcBorders>
              <w:top w:val="nil"/>
              <w:left w:val="nil"/>
              <w:bottom w:val="nil"/>
              <w:right w:val="nil"/>
            </w:tcBorders>
            <w:noWrap/>
            <w:vAlign w:val="center"/>
            <w:hideMark/>
          </w:tcPr>
          <w:p w14:paraId="02E3BEBE"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8 655 316</w:t>
            </w:r>
          </w:p>
        </w:tc>
      </w:tr>
      <w:tr w:rsidR="009F2253" w:rsidRPr="009F2253" w14:paraId="1E08867F" w14:textId="77777777" w:rsidTr="0085799C">
        <w:trPr>
          <w:trHeight w:val="227"/>
          <w:jc w:val="center"/>
        </w:trPr>
        <w:tc>
          <w:tcPr>
            <w:tcW w:w="274" w:type="pct"/>
            <w:tcBorders>
              <w:top w:val="nil"/>
              <w:left w:val="nil"/>
              <w:bottom w:val="nil"/>
              <w:right w:val="nil"/>
            </w:tcBorders>
            <w:noWrap/>
            <w:vAlign w:val="center"/>
            <w:hideMark/>
          </w:tcPr>
          <w:p w14:paraId="3EB075D0"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p>
        </w:tc>
        <w:tc>
          <w:tcPr>
            <w:tcW w:w="337" w:type="pct"/>
            <w:tcBorders>
              <w:top w:val="nil"/>
              <w:left w:val="nil"/>
              <w:bottom w:val="nil"/>
              <w:right w:val="nil"/>
            </w:tcBorders>
            <w:noWrap/>
            <w:vAlign w:val="center"/>
            <w:hideMark/>
          </w:tcPr>
          <w:p w14:paraId="12A4904C" w14:textId="50024799"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Výnosy_z_rozpočtu" w:history="1">
              <w:r w:rsidRPr="00E760C1">
                <w:rPr>
                  <w:rStyle w:val="Hypertextovprepojenie"/>
                  <w:rFonts w:ascii="Times New Roman" w:hAnsi="Times New Roman"/>
                  <w:i/>
                  <w:iCs/>
                  <w:sz w:val="19"/>
                  <w:szCs w:val="19"/>
                  <w:lang w:eastAsia="sk-SK"/>
                </w:rPr>
                <w:t>49</w:t>
              </w:r>
            </w:hyperlink>
          </w:p>
        </w:tc>
        <w:tc>
          <w:tcPr>
            <w:tcW w:w="3114" w:type="pct"/>
            <w:tcBorders>
              <w:top w:val="nil"/>
              <w:left w:val="nil"/>
              <w:bottom w:val="nil"/>
              <w:right w:val="nil"/>
            </w:tcBorders>
            <w:noWrap/>
            <w:vAlign w:val="center"/>
            <w:hideMark/>
          </w:tcPr>
          <w:p w14:paraId="4E405E05"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v tom    výnosy z rozpočtu EÚ</w:t>
            </w:r>
          </w:p>
        </w:tc>
        <w:tc>
          <w:tcPr>
            <w:tcW w:w="638" w:type="pct"/>
            <w:tcBorders>
              <w:top w:val="nil"/>
              <w:left w:val="nil"/>
              <w:bottom w:val="nil"/>
              <w:right w:val="nil"/>
            </w:tcBorders>
            <w:noWrap/>
            <w:vAlign w:val="center"/>
            <w:hideMark/>
          </w:tcPr>
          <w:p w14:paraId="1663B851"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4 934 450</w:t>
            </w:r>
          </w:p>
        </w:tc>
        <w:tc>
          <w:tcPr>
            <w:tcW w:w="638" w:type="pct"/>
            <w:tcBorders>
              <w:top w:val="nil"/>
              <w:left w:val="nil"/>
              <w:bottom w:val="nil"/>
              <w:right w:val="nil"/>
            </w:tcBorders>
            <w:noWrap/>
            <w:vAlign w:val="center"/>
            <w:hideMark/>
          </w:tcPr>
          <w:p w14:paraId="0AA2AE61"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4 412 306</w:t>
            </w:r>
          </w:p>
        </w:tc>
      </w:tr>
      <w:tr w:rsidR="009F2253" w:rsidRPr="009F2253" w14:paraId="525414E4" w14:textId="77777777" w:rsidTr="0085799C">
        <w:trPr>
          <w:trHeight w:val="227"/>
          <w:jc w:val="center"/>
        </w:trPr>
        <w:tc>
          <w:tcPr>
            <w:tcW w:w="274" w:type="pct"/>
            <w:tcBorders>
              <w:top w:val="nil"/>
              <w:left w:val="nil"/>
              <w:bottom w:val="nil"/>
              <w:right w:val="nil"/>
            </w:tcBorders>
            <w:noWrap/>
            <w:vAlign w:val="center"/>
            <w:hideMark/>
          </w:tcPr>
          <w:p w14:paraId="481C8603"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p>
        </w:tc>
        <w:tc>
          <w:tcPr>
            <w:tcW w:w="337" w:type="pct"/>
            <w:tcBorders>
              <w:top w:val="nil"/>
              <w:left w:val="nil"/>
              <w:bottom w:val="nil"/>
              <w:right w:val="nil"/>
            </w:tcBorders>
            <w:noWrap/>
            <w:vAlign w:val="center"/>
            <w:hideMark/>
          </w:tcPr>
          <w:p w14:paraId="094DECB2" w14:textId="073FBA55"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Výnosy_z_ostatných" w:history="1">
              <w:r w:rsidRPr="00E760C1">
                <w:rPr>
                  <w:rStyle w:val="Hypertextovprepojenie"/>
                  <w:rFonts w:ascii="Times New Roman" w:hAnsi="Times New Roman"/>
                  <w:i/>
                  <w:iCs/>
                  <w:sz w:val="19"/>
                  <w:szCs w:val="19"/>
                  <w:lang w:eastAsia="sk-SK"/>
                </w:rPr>
                <w:t>50</w:t>
              </w:r>
            </w:hyperlink>
          </w:p>
        </w:tc>
        <w:tc>
          <w:tcPr>
            <w:tcW w:w="3114" w:type="pct"/>
            <w:tcBorders>
              <w:top w:val="nil"/>
              <w:left w:val="nil"/>
              <w:bottom w:val="nil"/>
              <w:right w:val="nil"/>
            </w:tcBorders>
            <w:noWrap/>
            <w:vAlign w:val="center"/>
            <w:hideMark/>
          </w:tcPr>
          <w:p w14:paraId="0D7E26B5"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 xml:space="preserve">            výnosy z ostatných transferov</w:t>
            </w:r>
          </w:p>
        </w:tc>
        <w:tc>
          <w:tcPr>
            <w:tcW w:w="638" w:type="pct"/>
            <w:tcBorders>
              <w:top w:val="nil"/>
              <w:left w:val="nil"/>
              <w:bottom w:val="nil"/>
              <w:right w:val="nil"/>
            </w:tcBorders>
            <w:noWrap/>
            <w:vAlign w:val="center"/>
            <w:hideMark/>
          </w:tcPr>
          <w:p w14:paraId="3B9FB084"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3 398 602</w:t>
            </w:r>
          </w:p>
        </w:tc>
        <w:tc>
          <w:tcPr>
            <w:tcW w:w="638" w:type="pct"/>
            <w:tcBorders>
              <w:top w:val="nil"/>
              <w:left w:val="nil"/>
              <w:bottom w:val="nil"/>
              <w:right w:val="nil"/>
            </w:tcBorders>
            <w:noWrap/>
            <w:vAlign w:val="center"/>
            <w:hideMark/>
          </w:tcPr>
          <w:p w14:paraId="78438BB8"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4 243 010</w:t>
            </w:r>
          </w:p>
        </w:tc>
      </w:tr>
      <w:tr w:rsidR="009F2253" w:rsidRPr="009F2253" w14:paraId="026F13F0" w14:textId="77777777" w:rsidTr="0085799C">
        <w:trPr>
          <w:trHeight w:val="227"/>
          <w:jc w:val="center"/>
        </w:trPr>
        <w:tc>
          <w:tcPr>
            <w:tcW w:w="274" w:type="pct"/>
            <w:tcBorders>
              <w:top w:val="nil"/>
              <w:left w:val="nil"/>
              <w:bottom w:val="nil"/>
              <w:right w:val="nil"/>
            </w:tcBorders>
            <w:noWrap/>
            <w:vAlign w:val="center"/>
            <w:hideMark/>
          </w:tcPr>
          <w:p w14:paraId="7EB26330"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III.</w:t>
            </w:r>
          </w:p>
        </w:tc>
        <w:tc>
          <w:tcPr>
            <w:tcW w:w="337" w:type="pct"/>
            <w:tcBorders>
              <w:top w:val="nil"/>
              <w:left w:val="nil"/>
              <w:bottom w:val="nil"/>
              <w:right w:val="nil"/>
            </w:tcBorders>
            <w:noWrap/>
            <w:vAlign w:val="center"/>
            <w:hideMark/>
          </w:tcPr>
          <w:p w14:paraId="1C942C04"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p>
        </w:tc>
        <w:tc>
          <w:tcPr>
            <w:tcW w:w="3114" w:type="pct"/>
            <w:tcBorders>
              <w:top w:val="nil"/>
              <w:left w:val="nil"/>
              <w:bottom w:val="nil"/>
              <w:right w:val="nil"/>
            </w:tcBorders>
            <w:noWrap/>
            <w:vAlign w:val="center"/>
            <w:hideMark/>
          </w:tcPr>
          <w:p w14:paraId="7B69476D" w14:textId="77777777" w:rsidR="009F2253" w:rsidRPr="009F2253" w:rsidRDefault="009F2253" w:rsidP="009F2253">
            <w:pPr>
              <w:spacing w:after="0" w:line="240" w:lineRule="auto"/>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Tržby za vlastné výkony a tovar</w:t>
            </w:r>
          </w:p>
        </w:tc>
        <w:tc>
          <w:tcPr>
            <w:tcW w:w="638" w:type="pct"/>
            <w:tcBorders>
              <w:top w:val="nil"/>
              <w:left w:val="nil"/>
              <w:bottom w:val="nil"/>
              <w:right w:val="nil"/>
            </w:tcBorders>
            <w:noWrap/>
            <w:vAlign w:val="center"/>
            <w:hideMark/>
          </w:tcPr>
          <w:p w14:paraId="10E626B9"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29 513 194</w:t>
            </w:r>
          </w:p>
        </w:tc>
        <w:tc>
          <w:tcPr>
            <w:tcW w:w="638" w:type="pct"/>
            <w:tcBorders>
              <w:top w:val="nil"/>
              <w:left w:val="nil"/>
              <w:bottom w:val="nil"/>
              <w:right w:val="nil"/>
            </w:tcBorders>
            <w:noWrap/>
            <w:vAlign w:val="center"/>
            <w:hideMark/>
          </w:tcPr>
          <w:p w14:paraId="68684013"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29 513 487</w:t>
            </w:r>
          </w:p>
        </w:tc>
      </w:tr>
      <w:tr w:rsidR="009F2253" w:rsidRPr="009F2253" w14:paraId="07521FAE" w14:textId="77777777" w:rsidTr="0085799C">
        <w:trPr>
          <w:trHeight w:val="227"/>
          <w:jc w:val="center"/>
        </w:trPr>
        <w:tc>
          <w:tcPr>
            <w:tcW w:w="274" w:type="pct"/>
            <w:tcBorders>
              <w:top w:val="nil"/>
              <w:left w:val="nil"/>
              <w:bottom w:val="nil"/>
              <w:right w:val="nil"/>
            </w:tcBorders>
            <w:noWrap/>
            <w:vAlign w:val="center"/>
            <w:hideMark/>
          </w:tcPr>
          <w:p w14:paraId="7A5C9B67"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p>
        </w:tc>
        <w:tc>
          <w:tcPr>
            <w:tcW w:w="337" w:type="pct"/>
            <w:tcBorders>
              <w:top w:val="nil"/>
              <w:left w:val="nil"/>
              <w:bottom w:val="nil"/>
              <w:right w:val="nil"/>
            </w:tcBorders>
            <w:noWrap/>
            <w:vAlign w:val="center"/>
            <w:hideMark/>
          </w:tcPr>
          <w:p w14:paraId="4DC2A79E" w14:textId="4A1F3EFB"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Služby" w:history="1">
              <w:r w:rsidRPr="00E760C1">
                <w:rPr>
                  <w:rStyle w:val="Hypertextovprepojenie"/>
                  <w:rFonts w:ascii="Times New Roman" w:hAnsi="Times New Roman"/>
                  <w:i/>
                  <w:iCs/>
                  <w:sz w:val="19"/>
                  <w:szCs w:val="19"/>
                  <w:lang w:eastAsia="sk-SK"/>
                </w:rPr>
                <w:t>51</w:t>
              </w:r>
            </w:hyperlink>
          </w:p>
        </w:tc>
        <w:tc>
          <w:tcPr>
            <w:tcW w:w="3114" w:type="pct"/>
            <w:tcBorders>
              <w:top w:val="nil"/>
              <w:left w:val="nil"/>
              <w:bottom w:val="nil"/>
              <w:right w:val="nil"/>
            </w:tcBorders>
            <w:noWrap/>
            <w:vAlign w:val="center"/>
            <w:hideMark/>
          </w:tcPr>
          <w:p w14:paraId="3FA54A37"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 xml:space="preserve">v tom    služby   </w:t>
            </w:r>
          </w:p>
        </w:tc>
        <w:tc>
          <w:tcPr>
            <w:tcW w:w="638" w:type="pct"/>
            <w:tcBorders>
              <w:top w:val="nil"/>
              <w:left w:val="nil"/>
              <w:bottom w:val="nil"/>
              <w:right w:val="nil"/>
            </w:tcBorders>
            <w:noWrap/>
            <w:vAlign w:val="center"/>
            <w:hideMark/>
          </w:tcPr>
          <w:p w14:paraId="431CF673"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21 571 170</w:t>
            </w:r>
          </w:p>
        </w:tc>
        <w:tc>
          <w:tcPr>
            <w:tcW w:w="638" w:type="pct"/>
            <w:tcBorders>
              <w:top w:val="nil"/>
              <w:left w:val="nil"/>
              <w:bottom w:val="nil"/>
              <w:right w:val="nil"/>
            </w:tcBorders>
            <w:noWrap/>
            <w:vAlign w:val="center"/>
            <w:hideMark/>
          </w:tcPr>
          <w:p w14:paraId="492764C8"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21 455 324</w:t>
            </w:r>
          </w:p>
        </w:tc>
      </w:tr>
      <w:tr w:rsidR="009F2253" w:rsidRPr="009F2253" w14:paraId="1C534D00" w14:textId="77777777" w:rsidTr="0085799C">
        <w:trPr>
          <w:trHeight w:val="227"/>
          <w:jc w:val="center"/>
        </w:trPr>
        <w:tc>
          <w:tcPr>
            <w:tcW w:w="274" w:type="pct"/>
            <w:tcBorders>
              <w:top w:val="nil"/>
              <w:left w:val="nil"/>
              <w:bottom w:val="nil"/>
              <w:right w:val="nil"/>
            </w:tcBorders>
            <w:noWrap/>
            <w:vAlign w:val="center"/>
            <w:hideMark/>
          </w:tcPr>
          <w:p w14:paraId="74961393"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p>
        </w:tc>
        <w:tc>
          <w:tcPr>
            <w:tcW w:w="337" w:type="pct"/>
            <w:tcBorders>
              <w:top w:val="nil"/>
              <w:left w:val="nil"/>
              <w:bottom w:val="nil"/>
              <w:right w:val="nil"/>
            </w:tcBorders>
            <w:noWrap/>
            <w:vAlign w:val="center"/>
            <w:hideMark/>
          </w:tcPr>
          <w:p w14:paraId="3C79E58A" w14:textId="78A61320"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Výrobky_1" w:history="1">
              <w:r w:rsidRPr="00E760C1">
                <w:rPr>
                  <w:rStyle w:val="Hypertextovprepojenie"/>
                  <w:rFonts w:ascii="Times New Roman" w:hAnsi="Times New Roman"/>
                  <w:i/>
                  <w:iCs/>
                  <w:sz w:val="19"/>
                  <w:szCs w:val="19"/>
                  <w:lang w:eastAsia="sk-SK"/>
                </w:rPr>
                <w:t>52</w:t>
              </w:r>
            </w:hyperlink>
          </w:p>
        </w:tc>
        <w:tc>
          <w:tcPr>
            <w:tcW w:w="3114" w:type="pct"/>
            <w:tcBorders>
              <w:top w:val="nil"/>
              <w:left w:val="nil"/>
              <w:bottom w:val="nil"/>
              <w:right w:val="nil"/>
            </w:tcBorders>
            <w:noWrap/>
            <w:vAlign w:val="center"/>
            <w:hideMark/>
          </w:tcPr>
          <w:p w14:paraId="2B67B1C8"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 xml:space="preserve">            výrobky </w:t>
            </w:r>
          </w:p>
        </w:tc>
        <w:tc>
          <w:tcPr>
            <w:tcW w:w="638" w:type="pct"/>
            <w:tcBorders>
              <w:top w:val="nil"/>
              <w:left w:val="nil"/>
              <w:bottom w:val="nil"/>
              <w:right w:val="nil"/>
            </w:tcBorders>
            <w:noWrap/>
            <w:vAlign w:val="center"/>
            <w:hideMark/>
          </w:tcPr>
          <w:p w14:paraId="441C068B"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3 503 151</w:t>
            </w:r>
          </w:p>
        </w:tc>
        <w:tc>
          <w:tcPr>
            <w:tcW w:w="638" w:type="pct"/>
            <w:tcBorders>
              <w:top w:val="nil"/>
              <w:left w:val="nil"/>
              <w:bottom w:val="nil"/>
              <w:right w:val="nil"/>
            </w:tcBorders>
            <w:noWrap/>
            <w:vAlign w:val="center"/>
            <w:hideMark/>
          </w:tcPr>
          <w:p w14:paraId="0233E7E1"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4 734 938</w:t>
            </w:r>
          </w:p>
        </w:tc>
      </w:tr>
      <w:tr w:rsidR="009F2253" w:rsidRPr="009F2253" w14:paraId="148016E7" w14:textId="77777777" w:rsidTr="0085799C">
        <w:trPr>
          <w:trHeight w:val="227"/>
          <w:jc w:val="center"/>
        </w:trPr>
        <w:tc>
          <w:tcPr>
            <w:tcW w:w="274" w:type="pct"/>
            <w:tcBorders>
              <w:top w:val="nil"/>
              <w:left w:val="nil"/>
              <w:bottom w:val="nil"/>
              <w:right w:val="nil"/>
            </w:tcBorders>
            <w:noWrap/>
            <w:vAlign w:val="center"/>
            <w:hideMark/>
          </w:tcPr>
          <w:p w14:paraId="42BDBD90"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p>
        </w:tc>
        <w:tc>
          <w:tcPr>
            <w:tcW w:w="337" w:type="pct"/>
            <w:tcBorders>
              <w:top w:val="nil"/>
              <w:left w:val="nil"/>
              <w:bottom w:val="nil"/>
              <w:right w:val="nil"/>
            </w:tcBorders>
            <w:noWrap/>
            <w:vAlign w:val="center"/>
            <w:hideMark/>
          </w:tcPr>
          <w:p w14:paraId="041E0F83" w14:textId="201E9C66"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Tovar_1" w:history="1">
              <w:r w:rsidRPr="00E760C1">
                <w:rPr>
                  <w:rStyle w:val="Hypertextovprepojenie"/>
                  <w:rFonts w:ascii="Times New Roman" w:hAnsi="Times New Roman"/>
                  <w:i/>
                  <w:iCs/>
                  <w:sz w:val="19"/>
                  <w:szCs w:val="19"/>
                  <w:lang w:eastAsia="sk-SK"/>
                </w:rPr>
                <w:t>53</w:t>
              </w:r>
            </w:hyperlink>
          </w:p>
        </w:tc>
        <w:tc>
          <w:tcPr>
            <w:tcW w:w="3114" w:type="pct"/>
            <w:tcBorders>
              <w:top w:val="nil"/>
              <w:left w:val="nil"/>
              <w:bottom w:val="nil"/>
              <w:right w:val="nil"/>
            </w:tcBorders>
            <w:noWrap/>
            <w:vAlign w:val="center"/>
            <w:hideMark/>
          </w:tcPr>
          <w:p w14:paraId="1045D209"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 xml:space="preserve">            tovar</w:t>
            </w:r>
          </w:p>
        </w:tc>
        <w:tc>
          <w:tcPr>
            <w:tcW w:w="638" w:type="pct"/>
            <w:tcBorders>
              <w:top w:val="nil"/>
              <w:left w:val="nil"/>
              <w:bottom w:val="nil"/>
              <w:right w:val="nil"/>
            </w:tcBorders>
            <w:noWrap/>
            <w:vAlign w:val="center"/>
            <w:hideMark/>
          </w:tcPr>
          <w:p w14:paraId="619754A5"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4 368 670</w:t>
            </w:r>
          </w:p>
        </w:tc>
        <w:tc>
          <w:tcPr>
            <w:tcW w:w="638" w:type="pct"/>
            <w:tcBorders>
              <w:top w:val="nil"/>
              <w:left w:val="nil"/>
              <w:bottom w:val="nil"/>
              <w:right w:val="nil"/>
            </w:tcBorders>
            <w:noWrap/>
            <w:vAlign w:val="center"/>
            <w:hideMark/>
          </w:tcPr>
          <w:p w14:paraId="059732AF"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4 078 679</w:t>
            </w:r>
          </w:p>
        </w:tc>
      </w:tr>
      <w:tr w:rsidR="009F2253" w:rsidRPr="009F2253" w14:paraId="1EA75835" w14:textId="77777777" w:rsidTr="0085799C">
        <w:trPr>
          <w:trHeight w:val="227"/>
          <w:jc w:val="center"/>
        </w:trPr>
        <w:tc>
          <w:tcPr>
            <w:tcW w:w="274" w:type="pct"/>
            <w:tcBorders>
              <w:top w:val="nil"/>
              <w:left w:val="nil"/>
              <w:bottom w:val="nil"/>
              <w:right w:val="nil"/>
            </w:tcBorders>
            <w:noWrap/>
            <w:vAlign w:val="center"/>
            <w:hideMark/>
          </w:tcPr>
          <w:p w14:paraId="10FB5FA8"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p>
        </w:tc>
        <w:tc>
          <w:tcPr>
            <w:tcW w:w="337" w:type="pct"/>
            <w:tcBorders>
              <w:top w:val="nil"/>
              <w:left w:val="nil"/>
              <w:bottom w:val="nil"/>
              <w:right w:val="nil"/>
            </w:tcBorders>
            <w:noWrap/>
            <w:vAlign w:val="center"/>
            <w:hideMark/>
          </w:tcPr>
          <w:p w14:paraId="16916B4D" w14:textId="428C694D" w:rsidR="009F2253" w:rsidRPr="009F2253" w:rsidRDefault="009F2253" w:rsidP="009F2253">
            <w:pPr>
              <w:spacing w:after="0" w:line="240" w:lineRule="auto"/>
              <w:jc w:val="center"/>
              <w:rPr>
                <w:rFonts w:ascii="Times New Roman" w:hAnsi="Times New Roman"/>
                <w:i/>
                <w:iCs/>
                <w:color w:val="000000"/>
                <w:sz w:val="20"/>
                <w:szCs w:val="20"/>
                <w:lang w:eastAsia="sk-SK"/>
              </w:rPr>
            </w:pPr>
            <w:hyperlink w:anchor="_Ostatné_výnosy" w:history="1">
              <w:r w:rsidRPr="00E760C1">
                <w:rPr>
                  <w:rStyle w:val="Hypertextovprepojenie"/>
                  <w:rFonts w:ascii="Times New Roman" w:hAnsi="Times New Roman"/>
                  <w:i/>
                  <w:iCs/>
                  <w:sz w:val="20"/>
                  <w:szCs w:val="20"/>
                  <w:lang w:eastAsia="sk-SK"/>
                </w:rPr>
                <w:t>54</w:t>
              </w:r>
            </w:hyperlink>
          </w:p>
        </w:tc>
        <w:tc>
          <w:tcPr>
            <w:tcW w:w="3114" w:type="pct"/>
            <w:tcBorders>
              <w:top w:val="nil"/>
              <w:left w:val="nil"/>
              <w:bottom w:val="nil"/>
              <w:right w:val="nil"/>
            </w:tcBorders>
            <w:noWrap/>
            <w:vAlign w:val="center"/>
            <w:hideMark/>
          </w:tcPr>
          <w:p w14:paraId="63CE3672"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 xml:space="preserve">            ostatné výnosy</w:t>
            </w:r>
          </w:p>
        </w:tc>
        <w:tc>
          <w:tcPr>
            <w:tcW w:w="638" w:type="pct"/>
            <w:tcBorders>
              <w:top w:val="nil"/>
              <w:left w:val="nil"/>
              <w:bottom w:val="nil"/>
              <w:right w:val="nil"/>
            </w:tcBorders>
            <w:noWrap/>
            <w:vAlign w:val="center"/>
            <w:hideMark/>
          </w:tcPr>
          <w:p w14:paraId="790BAC92"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70 203</w:t>
            </w:r>
          </w:p>
        </w:tc>
        <w:tc>
          <w:tcPr>
            <w:tcW w:w="638" w:type="pct"/>
            <w:tcBorders>
              <w:top w:val="nil"/>
              <w:left w:val="nil"/>
              <w:bottom w:val="nil"/>
              <w:right w:val="nil"/>
            </w:tcBorders>
            <w:noWrap/>
            <w:vAlign w:val="center"/>
            <w:hideMark/>
          </w:tcPr>
          <w:p w14:paraId="4FE8523A"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-755 454</w:t>
            </w:r>
          </w:p>
        </w:tc>
      </w:tr>
      <w:tr w:rsidR="009F2253" w:rsidRPr="009F2253" w14:paraId="0FC5A9CD" w14:textId="77777777" w:rsidTr="0085799C">
        <w:trPr>
          <w:trHeight w:val="227"/>
          <w:jc w:val="center"/>
        </w:trPr>
        <w:tc>
          <w:tcPr>
            <w:tcW w:w="274" w:type="pct"/>
            <w:tcBorders>
              <w:top w:val="nil"/>
              <w:left w:val="nil"/>
              <w:bottom w:val="nil"/>
              <w:right w:val="nil"/>
            </w:tcBorders>
            <w:noWrap/>
            <w:vAlign w:val="center"/>
            <w:hideMark/>
          </w:tcPr>
          <w:p w14:paraId="14EFBAA1"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IV.</w:t>
            </w:r>
          </w:p>
        </w:tc>
        <w:tc>
          <w:tcPr>
            <w:tcW w:w="337" w:type="pct"/>
            <w:tcBorders>
              <w:top w:val="nil"/>
              <w:left w:val="nil"/>
              <w:bottom w:val="nil"/>
              <w:right w:val="nil"/>
            </w:tcBorders>
            <w:noWrap/>
            <w:vAlign w:val="center"/>
            <w:hideMark/>
          </w:tcPr>
          <w:p w14:paraId="4BD77001"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p>
        </w:tc>
        <w:tc>
          <w:tcPr>
            <w:tcW w:w="3114" w:type="pct"/>
            <w:tcBorders>
              <w:top w:val="nil"/>
              <w:left w:val="nil"/>
              <w:bottom w:val="nil"/>
              <w:right w:val="nil"/>
            </w:tcBorders>
            <w:noWrap/>
            <w:vAlign w:val="center"/>
            <w:hideMark/>
          </w:tcPr>
          <w:p w14:paraId="22F0B513" w14:textId="77777777" w:rsidR="009F2253" w:rsidRPr="009F2253" w:rsidRDefault="009F2253" w:rsidP="009F2253">
            <w:pPr>
              <w:spacing w:after="0" w:line="240" w:lineRule="auto"/>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Finančné výnosy</w:t>
            </w:r>
          </w:p>
        </w:tc>
        <w:tc>
          <w:tcPr>
            <w:tcW w:w="638" w:type="pct"/>
            <w:tcBorders>
              <w:top w:val="nil"/>
              <w:left w:val="nil"/>
              <w:bottom w:val="nil"/>
              <w:right w:val="nil"/>
            </w:tcBorders>
            <w:noWrap/>
            <w:vAlign w:val="center"/>
            <w:hideMark/>
          </w:tcPr>
          <w:p w14:paraId="075F6429"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1 725 698</w:t>
            </w:r>
          </w:p>
        </w:tc>
        <w:tc>
          <w:tcPr>
            <w:tcW w:w="638" w:type="pct"/>
            <w:tcBorders>
              <w:top w:val="nil"/>
              <w:left w:val="nil"/>
              <w:bottom w:val="nil"/>
              <w:right w:val="nil"/>
            </w:tcBorders>
            <w:noWrap/>
            <w:vAlign w:val="center"/>
            <w:hideMark/>
          </w:tcPr>
          <w:p w14:paraId="71922C98"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2 677 352</w:t>
            </w:r>
          </w:p>
        </w:tc>
      </w:tr>
      <w:tr w:rsidR="009F2253" w:rsidRPr="009F2253" w14:paraId="56B46BF3" w14:textId="77777777" w:rsidTr="0085799C">
        <w:trPr>
          <w:trHeight w:val="227"/>
          <w:jc w:val="center"/>
        </w:trPr>
        <w:tc>
          <w:tcPr>
            <w:tcW w:w="274" w:type="pct"/>
            <w:tcBorders>
              <w:top w:val="nil"/>
              <w:left w:val="nil"/>
              <w:bottom w:val="nil"/>
              <w:right w:val="nil"/>
            </w:tcBorders>
            <w:noWrap/>
            <w:vAlign w:val="center"/>
            <w:hideMark/>
          </w:tcPr>
          <w:p w14:paraId="2D0FC436"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p>
        </w:tc>
        <w:tc>
          <w:tcPr>
            <w:tcW w:w="337" w:type="pct"/>
            <w:tcBorders>
              <w:top w:val="nil"/>
              <w:left w:val="nil"/>
              <w:bottom w:val="nil"/>
              <w:right w:val="nil"/>
            </w:tcBorders>
            <w:noWrap/>
            <w:vAlign w:val="center"/>
            <w:hideMark/>
          </w:tcPr>
          <w:p w14:paraId="50E721EF" w14:textId="54495C2E"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Úroky" w:history="1">
              <w:r w:rsidRPr="00E760C1">
                <w:rPr>
                  <w:rStyle w:val="Hypertextovprepojenie"/>
                  <w:rFonts w:ascii="Times New Roman" w:hAnsi="Times New Roman"/>
                  <w:i/>
                  <w:iCs/>
                  <w:sz w:val="19"/>
                  <w:szCs w:val="19"/>
                  <w:lang w:eastAsia="sk-SK"/>
                </w:rPr>
                <w:t>55</w:t>
              </w:r>
            </w:hyperlink>
          </w:p>
        </w:tc>
        <w:tc>
          <w:tcPr>
            <w:tcW w:w="3114" w:type="pct"/>
            <w:tcBorders>
              <w:top w:val="nil"/>
              <w:left w:val="nil"/>
              <w:bottom w:val="nil"/>
              <w:right w:val="nil"/>
            </w:tcBorders>
            <w:noWrap/>
            <w:vAlign w:val="center"/>
            <w:hideMark/>
          </w:tcPr>
          <w:p w14:paraId="4E0DB141"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v tom    úroky</w:t>
            </w:r>
          </w:p>
        </w:tc>
        <w:tc>
          <w:tcPr>
            <w:tcW w:w="638" w:type="pct"/>
            <w:tcBorders>
              <w:top w:val="nil"/>
              <w:left w:val="nil"/>
              <w:bottom w:val="nil"/>
              <w:right w:val="nil"/>
            </w:tcBorders>
            <w:noWrap/>
            <w:vAlign w:val="center"/>
            <w:hideMark/>
          </w:tcPr>
          <w:p w14:paraId="7E55E5DF"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826 876</w:t>
            </w:r>
          </w:p>
        </w:tc>
        <w:tc>
          <w:tcPr>
            <w:tcW w:w="638" w:type="pct"/>
            <w:tcBorders>
              <w:top w:val="nil"/>
              <w:left w:val="nil"/>
              <w:bottom w:val="nil"/>
              <w:right w:val="nil"/>
            </w:tcBorders>
            <w:noWrap/>
            <w:vAlign w:val="center"/>
            <w:hideMark/>
          </w:tcPr>
          <w:p w14:paraId="4060A55B"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687 418</w:t>
            </w:r>
          </w:p>
        </w:tc>
      </w:tr>
      <w:tr w:rsidR="009F2253" w:rsidRPr="009F2253" w14:paraId="1D1F1FB1" w14:textId="77777777" w:rsidTr="0085799C">
        <w:trPr>
          <w:trHeight w:val="227"/>
          <w:jc w:val="center"/>
        </w:trPr>
        <w:tc>
          <w:tcPr>
            <w:tcW w:w="274" w:type="pct"/>
            <w:tcBorders>
              <w:top w:val="nil"/>
              <w:left w:val="nil"/>
              <w:bottom w:val="nil"/>
              <w:right w:val="nil"/>
            </w:tcBorders>
            <w:noWrap/>
            <w:vAlign w:val="center"/>
            <w:hideMark/>
          </w:tcPr>
          <w:p w14:paraId="629E2596"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p>
        </w:tc>
        <w:tc>
          <w:tcPr>
            <w:tcW w:w="337" w:type="pct"/>
            <w:tcBorders>
              <w:top w:val="nil"/>
              <w:left w:val="nil"/>
              <w:bottom w:val="nil"/>
              <w:right w:val="nil"/>
            </w:tcBorders>
            <w:noWrap/>
            <w:vAlign w:val="center"/>
            <w:hideMark/>
          </w:tcPr>
          <w:p w14:paraId="6814E34D" w14:textId="37B8CED8"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Kurzové_zisky" w:history="1">
              <w:r w:rsidRPr="00E760C1">
                <w:rPr>
                  <w:rStyle w:val="Hypertextovprepojenie"/>
                  <w:rFonts w:ascii="Times New Roman" w:hAnsi="Times New Roman"/>
                  <w:i/>
                  <w:iCs/>
                  <w:sz w:val="19"/>
                  <w:szCs w:val="19"/>
                  <w:lang w:eastAsia="sk-SK"/>
                </w:rPr>
                <w:t>56</w:t>
              </w:r>
            </w:hyperlink>
          </w:p>
        </w:tc>
        <w:tc>
          <w:tcPr>
            <w:tcW w:w="3114" w:type="pct"/>
            <w:tcBorders>
              <w:top w:val="nil"/>
              <w:left w:val="nil"/>
              <w:bottom w:val="nil"/>
              <w:right w:val="nil"/>
            </w:tcBorders>
            <w:noWrap/>
            <w:vAlign w:val="center"/>
            <w:hideMark/>
          </w:tcPr>
          <w:p w14:paraId="0460EBD3"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 xml:space="preserve">            kurzové zisky</w:t>
            </w:r>
          </w:p>
        </w:tc>
        <w:tc>
          <w:tcPr>
            <w:tcW w:w="638" w:type="pct"/>
            <w:tcBorders>
              <w:top w:val="nil"/>
              <w:left w:val="nil"/>
              <w:bottom w:val="nil"/>
              <w:right w:val="nil"/>
            </w:tcBorders>
            <w:noWrap/>
            <w:vAlign w:val="center"/>
            <w:hideMark/>
          </w:tcPr>
          <w:p w14:paraId="1543B1E1"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78 672</w:t>
            </w:r>
          </w:p>
        </w:tc>
        <w:tc>
          <w:tcPr>
            <w:tcW w:w="638" w:type="pct"/>
            <w:tcBorders>
              <w:top w:val="nil"/>
              <w:left w:val="nil"/>
              <w:bottom w:val="nil"/>
              <w:right w:val="nil"/>
            </w:tcBorders>
            <w:noWrap/>
            <w:vAlign w:val="center"/>
            <w:hideMark/>
          </w:tcPr>
          <w:p w14:paraId="610BCF5D"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56 464</w:t>
            </w:r>
          </w:p>
        </w:tc>
      </w:tr>
      <w:tr w:rsidR="009F2253" w:rsidRPr="009F2253" w14:paraId="722AFC27" w14:textId="77777777" w:rsidTr="0085799C">
        <w:trPr>
          <w:trHeight w:val="227"/>
          <w:jc w:val="center"/>
        </w:trPr>
        <w:tc>
          <w:tcPr>
            <w:tcW w:w="274" w:type="pct"/>
            <w:tcBorders>
              <w:top w:val="nil"/>
              <w:left w:val="nil"/>
              <w:bottom w:val="nil"/>
              <w:right w:val="nil"/>
            </w:tcBorders>
            <w:noWrap/>
            <w:vAlign w:val="center"/>
            <w:hideMark/>
          </w:tcPr>
          <w:p w14:paraId="4E0F9B46"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p>
        </w:tc>
        <w:tc>
          <w:tcPr>
            <w:tcW w:w="337" w:type="pct"/>
            <w:tcBorders>
              <w:top w:val="nil"/>
              <w:left w:val="nil"/>
              <w:bottom w:val="nil"/>
              <w:right w:val="nil"/>
            </w:tcBorders>
            <w:noWrap/>
            <w:vAlign w:val="center"/>
            <w:hideMark/>
          </w:tcPr>
          <w:p w14:paraId="47C49B54" w14:textId="12336811"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Podiel_na_výsledku" w:history="1">
              <w:r w:rsidRPr="00E760C1">
                <w:rPr>
                  <w:rStyle w:val="Hypertextovprepojenie"/>
                  <w:rFonts w:ascii="Times New Roman" w:hAnsi="Times New Roman"/>
                  <w:i/>
                  <w:iCs/>
                  <w:sz w:val="19"/>
                  <w:szCs w:val="19"/>
                  <w:lang w:eastAsia="sk-SK"/>
                </w:rPr>
                <w:t>57</w:t>
              </w:r>
            </w:hyperlink>
          </w:p>
        </w:tc>
        <w:tc>
          <w:tcPr>
            <w:tcW w:w="3114" w:type="pct"/>
            <w:tcBorders>
              <w:top w:val="nil"/>
              <w:left w:val="nil"/>
              <w:bottom w:val="nil"/>
              <w:right w:val="nil"/>
            </w:tcBorders>
            <w:noWrap/>
            <w:vAlign w:val="center"/>
            <w:hideMark/>
          </w:tcPr>
          <w:p w14:paraId="5C87C99E"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 xml:space="preserve">            podiel na výsledku hospodárenia pridružených ÚJ </w:t>
            </w:r>
          </w:p>
        </w:tc>
        <w:tc>
          <w:tcPr>
            <w:tcW w:w="638" w:type="pct"/>
            <w:tcBorders>
              <w:top w:val="nil"/>
              <w:left w:val="nil"/>
              <w:bottom w:val="nil"/>
              <w:right w:val="nil"/>
            </w:tcBorders>
            <w:noWrap/>
            <w:vAlign w:val="center"/>
            <w:hideMark/>
          </w:tcPr>
          <w:p w14:paraId="604EA603"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653 392</w:t>
            </w:r>
          </w:p>
        </w:tc>
        <w:tc>
          <w:tcPr>
            <w:tcW w:w="638" w:type="pct"/>
            <w:tcBorders>
              <w:top w:val="nil"/>
              <w:left w:val="nil"/>
              <w:bottom w:val="nil"/>
              <w:right w:val="nil"/>
            </w:tcBorders>
            <w:noWrap/>
            <w:vAlign w:val="center"/>
            <w:hideMark/>
          </w:tcPr>
          <w:p w14:paraId="4443A558"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1 232 379</w:t>
            </w:r>
          </w:p>
        </w:tc>
      </w:tr>
      <w:tr w:rsidR="009F2253" w:rsidRPr="009F2253" w14:paraId="2A1A8972" w14:textId="77777777" w:rsidTr="0085799C">
        <w:trPr>
          <w:trHeight w:val="227"/>
          <w:jc w:val="center"/>
        </w:trPr>
        <w:tc>
          <w:tcPr>
            <w:tcW w:w="274" w:type="pct"/>
            <w:tcBorders>
              <w:top w:val="nil"/>
              <w:left w:val="nil"/>
              <w:bottom w:val="nil"/>
              <w:right w:val="nil"/>
            </w:tcBorders>
            <w:noWrap/>
            <w:vAlign w:val="center"/>
            <w:hideMark/>
          </w:tcPr>
          <w:p w14:paraId="7618668A"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p>
        </w:tc>
        <w:tc>
          <w:tcPr>
            <w:tcW w:w="337" w:type="pct"/>
            <w:tcBorders>
              <w:top w:val="nil"/>
              <w:left w:val="nil"/>
              <w:bottom w:val="nil"/>
              <w:right w:val="nil"/>
            </w:tcBorders>
            <w:noWrap/>
            <w:vAlign w:val="center"/>
            <w:hideMark/>
          </w:tcPr>
          <w:p w14:paraId="2122BE6F" w14:textId="540B6325"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Ostatné_finančné_výnosy" w:history="1">
              <w:r w:rsidRPr="00E760C1">
                <w:rPr>
                  <w:rStyle w:val="Hypertextovprepojenie"/>
                  <w:rFonts w:ascii="Times New Roman" w:hAnsi="Times New Roman"/>
                  <w:i/>
                  <w:iCs/>
                  <w:sz w:val="19"/>
                  <w:szCs w:val="19"/>
                  <w:lang w:eastAsia="sk-SK"/>
                </w:rPr>
                <w:t>58</w:t>
              </w:r>
            </w:hyperlink>
          </w:p>
        </w:tc>
        <w:tc>
          <w:tcPr>
            <w:tcW w:w="3114" w:type="pct"/>
            <w:tcBorders>
              <w:top w:val="nil"/>
              <w:left w:val="nil"/>
              <w:bottom w:val="nil"/>
              <w:right w:val="nil"/>
            </w:tcBorders>
            <w:noWrap/>
            <w:vAlign w:val="center"/>
            <w:hideMark/>
          </w:tcPr>
          <w:p w14:paraId="4CF07D5E"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 xml:space="preserve">            ostatné finančné výnosy</w:t>
            </w:r>
          </w:p>
        </w:tc>
        <w:tc>
          <w:tcPr>
            <w:tcW w:w="638" w:type="pct"/>
            <w:tcBorders>
              <w:top w:val="nil"/>
              <w:left w:val="nil"/>
              <w:bottom w:val="nil"/>
              <w:right w:val="nil"/>
            </w:tcBorders>
            <w:noWrap/>
            <w:vAlign w:val="center"/>
            <w:hideMark/>
          </w:tcPr>
          <w:p w14:paraId="41065F35"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166 758</w:t>
            </w:r>
          </w:p>
        </w:tc>
        <w:tc>
          <w:tcPr>
            <w:tcW w:w="638" w:type="pct"/>
            <w:tcBorders>
              <w:top w:val="nil"/>
              <w:left w:val="nil"/>
              <w:bottom w:val="nil"/>
              <w:right w:val="nil"/>
            </w:tcBorders>
            <w:noWrap/>
            <w:vAlign w:val="center"/>
            <w:hideMark/>
          </w:tcPr>
          <w:p w14:paraId="2C7F48D9"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701 091</w:t>
            </w:r>
          </w:p>
        </w:tc>
      </w:tr>
      <w:tr w:rsidR="009F2253" w:rsidRPr="009F2253" w14:paraId="2731B4D6" w14:textId="77777777" w:rsidTr="0085799C">
        <w:trPr>
          <w:trHeight w:val="227"/>
          <w:jc w:val="center"/>
        </w:trPr>
        <w:tc>
          <w:tcPr>
            <w:tcW w:w="274" w:type="pct"/>
            <w:tcBorders>
              <w:top w:val="nil"/>
              <w:left w:val="nil"/>
              <w:bottom w:val="nil"/>
              <w:right w:val="nil"/>
            </w:tcBorders>
            <w:noWrap/>
            <w:vAlign w:val="center"/>
            <w:hideMark/>
          </w:tcPr>
          <w:p w14:paraId="5717A15F"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V.</w:t>
            </w:r>
          </w:p>
        </w:tc>
        <w:tc>
          <w:tcPr>
            <w:tcW w:w="337" w:type="pct"/>
            <w:tcBorders>
              <w:top w:val="nil"/>
              <w:left w:val="nil"/>
              <w:bottom w:val="nil"/>
              <w:right w:val="nil"/>
            </w:tcBorders>
            <w:noWrap/>
            <w:vAlign w:val="center"/>
            <w:hideMark/>
          </w:tcPr>
          <w:p w14:paraId="409693E0"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p>
        </w:tc>
        <w:tc>
          <w:tcPr>
            <w:tcW w:w="3114" w:type="pct"/>
            <w:tcBorders>
              <w:top w:val="nil"/>
              <w:left w:val="nil"/>
              <w:bottom w:val="nil"/>
              <w:right w:val="nil"/>
            </w:tcBorders>
            <w:noWrap/>
            <w:vAlign w:val="center"/>
            <w:hideMark/>
          </w:tcPr>
          <w:p w14:paraId="6BB3D476" w14:textId="77777777" w:rsidR="009F2253" w:rsidRPr="009F2253" w:rsidRDefault="009F2253" w:rsidP="009F2253">
            <w:pPr>
              <w:spacing w:after="0" w:line="240" w:lineRule="auto"/>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Zúčtovanie rezerv a opravných položiek</w:t>
            </w:r>
          </w:p>
        </w:tc>
        <w:tc>
          <w:tcPr>
            <w:tcW w:w="638" w:type="pct"/>
            <w:tcBorders>
              <w:top w:val="nil"/>
              <w:left w:val="nil"/>
              <w:bottom w:val="nil"/>
              <w:right w:val="nil"/>
            </w:tcBorders>
            <w:noWrap/>
            <w:vAlign w:val="center"/>
            <w:hideMark/>
          </w:tcPr>
          <w:p w14:paraId="6CEA95C5"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2 451 146</w:t>
            </w:r>
          </w:p>
        </w:tc>
        <w:tc>
          <w:tcPr>
            <w:tcW w:w="638" w:type="pct"/>
            <w:tcBorders>
              <w:top w:val="nil"/>
              <w:left w:val="nil"/>
              <w:bottom w:val="nil"/>
              <w:right w:val="nil"/>
            </w:tcBorders>
            <w:noWrap/>
            <w:vAlign w:val="center"/>
            <w:hideMark/>
          </w:tcPr>
          <w:p w14:paraId="7E809DC6"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4 514 321</w:t>
            </w:r>
          </w:p>
        </w:tc>
      </w:tr>
      <w:tr w:rsidR="009F2253" w:rsidRPr="009F2253" w14:paraId="71969AED" w14:textId="77777777" w:rsidTr="0085799C">
        <w:trPr>
          <w:trHeight w:val="227"/>
          <w:jc w:val="center"/>
        </w:trPr>
        <w:tc>
          <w:tcPr>
            <w:tcW w:w="274" w:type="pct"/>
            <w:tcBorders>
              <w:top w:val="nil"/>
              <w:left w:val="nil"/>
              <w:bottom w:val="nil"/>
              <w:right w:val="nil"/>
            </w:tcBorders>
            <w:noWrap/>
            <w:vAlign w:val="center"/>
            <w:hideMark/>
          </w:tcPr>
          <w:p w14:paraId="38F32B9E"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p>
        </w:tc>
        <w:tc>
          <w:tcPr>
            <w:tcW w:w="337" w:type="pct"/>
            <w:tcBorders>
              <w:top w:val="nil"/>
              <w:left w:val="nil"/>
              <w:bottom w:val="nil"/>
              <w:right w:val="nil"/>
            </w:tcBorders>
            <w:noWrap/>
            <w:vAlign w:val="center"/>
            <w:hideMark/>
          </w:tcPr>
          <w:p w14:paraId="63DD16E0" w14:textId="5BE39685"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Rezervy" w:history="1">
              <w:r w:rsidRPr="00E760C1">
                <w:rPr>
                  <w:rStyle w:val="Hypertextovprepojenie"/>
                  <w:rFonts w:ascii="Times New Roman" w:hAnsi="Times New Roman"/>
                  <w:i/>
                  <w:iCs/>
                  <w:sz w:val="19"/>
                  <w:szCs w:val="19"/>
                  <w:lang w:eastAsia="sk-SK"/>
                </w:rPr>
                <w:t>59</w:t>
              </w:r>
            </w:hyperlink>
          </w:p>
        </w:tc>
        <w:tc>
          <w:tcPr>
            <w:tcW w:w="3114" w:type="pct"/>
            <w:tcBorders>
              <w:top w:val="nil"/>
              <w:left w:val="nil"/>
              <w:bottom w:val="nil"/>
              <w:right w:val="nil"/>
            </w:tcBorders>
            <w:noWrap/>
            <w:vAlign w:val="center"/>
            <w:hideMark/>
          </w:tcPr>
          <w:p w14:paraId="33C37E58"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v tom    rezervy</w:t>
            </w:r>
          </w:p>
        </w:tc>
        <w:tc>
          <w:tcPr>
            <w:tcW w:w="638" w:type="pct"/>
            <w:tcBorders>
              <w:top w:val="nil"/>
              <w:left w:val="nil"/>
              <w:bottom w:val="nil"/>
              <w:right w:val="nil"/>
            </w:tcBorders>
            <w:noWrap/>
            <w:vAlign w:val="center"/>
            <w:hideMark/>
          </w:tcPr>
          <w:p w14:paraId="6DD2D02E"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1 276 686</w:t>
            </w:r>
          </w:p>
        </w:tc>
        <w:tc>
          <w:tcPr>
            <w:tcW w:w="638" w:type="pct"/>
            <w:tcBorders>
              <w:top w:val="nil"/>
              <w:left w:val="nil"/>
              <w:bottom w:val="nil"/>
              <w:right w:val="nil"/>
            </w:tcBorders>
            <w:noWrap/>
            <w:vAlign w:val="center"/>
            <w:hideMark/>
          </w:tcPr>
          <w:p w14:paraId="4B896939"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3 571 216</w:t>
            </w:r>
          </w:p>
        </w:tc>
      </w:tr>
      <w:tr w:rsidR="009F2253" w:rsidRPr="009F2253" w14:paraId="0DA0DD46" w14:textId="77777777" w:rsidTr="0085799C">
        <w:trPr>
          <w:trHeight w:val="227"/>
          <w:jc w:val="center"/>
        </w:trPr>
        <w:tc>
          <w:tcPr>
            <w:tcW w:w="274" w:type="pct"/>
            <w:tcBorders>
              <w:top w:val="nil"/>
              <w:left w:val="nil"/>
              <w:bottom w:val="nil"/>
              <w:right w:val="nil"/>
            </w:tcBorders>
            <w:noWrap/>
            <w:vAlign w:val="center"/>
            <w:hideMark/>
          </w:tcPr>
          <w:p w14:paraId="39C27387"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p>
        </w:tc>
        <w:tc>
          <w:tcPr>
            <w:tcW w:w="337" w:type="pct"/>
            <w:tcBorders>
              <w:top w:val="nil"/>
              <w:left w:val="nil"/>
              <w:bottom w:val="nil"/>
              <w:right w:val="nil"/>
            </w:tcBorders>
            <w:noWrap/>
            <w:vAlign w:val="center"/>
            <w:hideMark/>
          </w:tcPr>
          <w:p w14:paraId="73D6DE94" w14:textId="0B7A503E"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Opravné_položky" w:history="1">
              <w:r w:rsidRPr="00E760C1">
                <w:rPr>
                  <w:rStyle w:val="Hypertextovprepojenie"/>
                  <w:rFonts w:ascii="Times New Roman" w:hAnsi="Times New Roman"/>
                  <w:i/>
                  <w:iCs/>
                  <w:sz w:val="19"/>
                  <w:szCs w:val="19"/>
                  <w:lang w:eastAsia="sk-SK"/>
                </w:rPr>
                <w:t>60</w:t>
              </w:r>
            </w:hyperlink>
          </w:p>
        </w:tc>
        <w:tc>
          <w:tcPr>
            <w:tcW w:w="3114" w:type="pct"/>
            <w:tcBorders>
              <w:top w:val="nil"/>
              <w:left w:val="nil"/>
              <w:bottom w:val="nil"/>
              <w:right w:val="nil"/>
            </w:tcBorders>
            <w:noWrap/>
            <w:vAlign w:val="center"/>
            <w:hideMark/>
          </w:tcPr>
          <w:p w14:paraId="1525BA1F"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 xml:space="preserve">            opravné položky</w:t>
            </w:r>
          </w:p>
        </w:tc>
        <w:tc>
          <w:tcPr>
            <w:tcW w:w="638" w:type="pct"/>
            <w:tcBorders>
              <w:top w:val="nil"/>
              <w:left w:val="nil"/>
              <w:bottom w:val="nil"/>
              <w:right w:val="nil"/>
            </w:tcBorders>
            <w:noWrap/>
            <w:vAlign w:val="center"/>
            <w:hideMark/>
          </w:tcPr>
          <w:p w14:paraId="6361EF88"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1 174 460</w:t>
            </w:r>
          </w:p>
        </w:tc>
        <w:tc>
          <w:tcPr>
            <w:tcW w:w="638" w:type="pct"/>
            <w:tcBorders>
              <w:top w:val="nil"/>
              <w:left w:val="nil"/>
              <w:bottom w:val="nil"/>
              <w:right w:val="nil"/>
            </w:tcBorders>
            <w:noWrap/>
            <w:vAlign w:val="center"/>
            <w:hideMark/>
          </w:tcPr>
          <w:p w14:paraId="3F2F1E0E"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943 105</w:t>
            </w:r>
          </w:p>
        </w:tc>
      </w:tr>
      <w:tr w:rsidR="009F2253" w:rsidRPr="009F2253" w14:paraId="25E9A08E" w14:textId="77777777" w:rsidTr="0085799C">
        <w:trPr>
          <w:trHeight w:val="227"/>
          <w:jc w:val="center"/>
        </w:trPr>
        <w:tc>
          <w:tcPr>
            <w:tcW w:w="274" w:type="pct"/>
            <w:tcBorders>
              <w:top w:val="nil"/>
              <w:left w:val="nil"/>
              <w:bottom w:val="nil"/>
              <w:right w:val="nil"/>
            </w:tcBorders>
            <w:noWrap/>
            <w:vAlign w:val="center"/>
            <w:hideMark/>
          </w:tcPr>
          <w:p w14:paraId="6F558644"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VI.</w:t>
            </w:r>
          </w:p>
        </w:tc>
        <w:tc>
          <w:tcPr>
            <w:tcW w:w="337" w:type="pct"/>
            <w:tcBorders>
              <w:top w:val="nil"/>
              <w:left w:val="nil"/>
              <w:bottom w:val="nil"/>
              <w:right w:val="nil"/>
            </w:tcBorders>
            <w:noWrap/>
            <w:vAlign w:val="center"/>
            <w:hideMark/>
          </w:tcPr>
          <w:p w14:paraId="3F0CD59D"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p>
        </w:tc>
        <w:tc>
          <w:tcPr>
            <w:tcW w:w="3114" w:type="pct"/>
            <w:tcBorders>
              <w:top w:val="nil"/>
              <w:left w:val="nil"/>
              <w:bottom w:val="nil"/>
              <w:right w:val="nil"/>
            </w:tcBorders>
            <w:noWrap/>
            <w:vAlign w:val="center"/>
            <w:hideMark/>
          </w:tcPr>
          <w:p w14:paraId="6A6BCC10" w14:textId="77777777" w:rsidR="009F2253" w:rsidRPr="009F2253" w:rsidRDefault="009F2253" w:rsidP="009F2253">
            <w:pPr>
              <w:spacing w:after="0" w:line="240" w:lineRule="auto"/>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Ostatné výnosy z prevádzkovej činnosti</w:t>
            </w:r>
          </w:p>
        </w:tc>
        <w:tc>
          <w:tcPr>
            <w:tcW w:w="638" w:type="pct"/>
            <w:tcBorders>
              <w:top w:val="nil"/>
              <w:left w:val="nil"/>
              <w:bottom w:val="nil"/>
              <w:right w:val="nil"/>
            </w:tcBorders>
            <w:noWrap/>
            <w:vAlign w:val="center"/>
            <w:hideMark/>
          </w:tcPr>
          <w:p w14:paraId="44806E75"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3 350 292</w:t>
            </w:r>
          </w:p>
        </w:tc>
        <w:tc>
          <w:tcPr>
            <w:tcW w:w="638" w:type="pct"/>
            <w:tcBorders>
              <w:top w:val="nil"/>
              <w:left w:val="nil"/>
              <w:bottom w:val="nil"/>
              <w:right w:val="nil"/>
            </w:tcBorders>
            <w:noWrap/>
            <w:vAlign w:val="center"/>
            <w:hideMark/>
          </w:tcPr>
          <w:p w14:paraId="0E1A66E2"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2 873 226</w:t>
            </w:r>
          </w:p>
        </w:tc>
      </w:tr>
      <w:tr w:rsidR="009F2253" w:rsidRPr="009F2253" w14:paraId="493D9FB5" w14:textId="77777777" w:rsidTr="0085799C">
        <w:trPr>
          <w:trHeight w:val="227"/>
          <w:jc w:val="center"/>
        </w:trPr>
        <w:tc>
          <w:tcPr>
            <w:tcW w:w="274" w:type="pct"/>
            <w:tcBorders>
              <w:top w:val="nil"/>
              <w:left w:val="nil"/>
              <w:bottom w:val="single" w:sz="8" w:space="0" w:color="auto"/>
              <w:right w:val="nil"/>
            </w:tcBorders>
            <w:noWrap/>
            <w:vAlign w:val="center"/>
            <w:hideMark/>
          </w:tcPr>
          <w:p w14:paraId="0EC120C2" w14:textId="77777777" w:rsidR="009F2253" w:rsidRPr="0085799C" w:rsidRDefault="009F2253" w:rsidP="009F2253">
            <w:pPr>
              <w:spacing w:after="0" w:line="240" w:lineRule="auto"/>
              <w:rPr>
                <w:rFonts w:ascii="Times New Roman" w:hAnsi="Times New Roman"/>
                <w:color w:val="000000"/>
                <w:sz w:val="20"/>
                <w:szCs w:val="20"/>
                <w:lang w:eastAsia="sk-SK"/>
              </w:rPr>
            </w:pPr>
            <w:r w:rsidRPr="0085799C">
              <w:rPr>
                <w:rFonts w:ascii="Times New Roman" w:hAnsi="Times New Roman"/>
                <w:color w:val="000000"/>
                <w:sz w:val="20"/>
                <w:szCs w:val="20"/>
                <w:lang w:eastAsia="sk-SK"/>
              </w:rPr>
              <w:t> </w:t>
            </w:r>
          </w:p>
        </w:tc>
        <w:tc>
          <w:tcPr>
            <w:tcW w:w="337" w:type="pct"/>
            <w:tcBorders>
              <w:top w:val="nil"/>
              <w:left w:val="nil"/>
              <w:bottom w:val="single" w:sz="8" w:space="0" w:color="auto"/>
              <w:right w:val="nil"/>
            </w:tcBorders>
            <w:noWrap/>
            <w:vAlign w:val="center"/>
            <w:hideMark/>
          </w:tcPr>
          <w:p w14:paraId="22127CA8"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 </w:t>
            </w:r>
          </w:p>
        </w:tc>
        <w:tc>
          <w:tcPr>
            <w:tcW w:w="3114" w:type="pct"/>
            <w:tcBorders>
              <w:top w:val="nil"/>
              <w:left w:val="nil"/>
              <w:bottom w:val="single" w:sz="8" w:space="0" w:color="auto"/>
              <w:right w:val="nil"/>
            </w:tcBorders>
            <w:noWrap/>
            <w:vAlign w:val="center"/>
            <w:hideMark/>
          </w:tcPr>
          <w:p w14:paraId="3A450C21" w14:textId="77777777" w:rsidR="009F2253" w:rsidRPr="009F2253" w:rsidRDefault="009F2253" w:rsidP="009F2253">
            <w:pPr>
              <w:spacing w:after="0" w:line="240" w:lineRule="auto"/>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VÝNOSY SPOLU (I. až VI.)</w:t>
            </w:r>
          </w:p>
        </w:tc>
        <w:tc>
          <w:tcPr>
            <w:tcW w:w="638" w:type="pct"/>
            <w:tcBorders>
              <w:top w:val="nil"/>
              <w:left w:val="nil"/>
              <w:bottom w:val="single" w:sz="8" w:space="0" w:color="auto"/>
              <w:right w:val="nil"/>
            </w:tcBorders>
            <w:noWrap/>
            <w:vAlign w:val="center"/>
            <w:hideMark/>
          </w:tcPr>
          <w:p w14:paraId="05EF1254"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70 069 864</w:t>
            </w:r>
          </w:p>
        </w:tc>
        <w:tc>
          <w:tcPr>
            <w:tcW w:w="638" w:type="pct"/>
            <w:tcBorders>
              <w:top w:val="nil"/>
              <w:left w:val="nil"/>
              <w:bottom w:val="single" w:sz="8" w:space="0" w:color="auto"/>
              <w:right w:val="nil"/>
            </w:tcBorders>
            <w:noWrap/>
            <w:vAlign w:val="center"/>
            <w:hideMark/>
          </w:tcPr>
          <w:p w14:paraId="3F9EC6CE"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72 057 616</w:t>
            </w:r>
          </w:p>
        </w:tc>
      </w:tr>
      <w:tr w:rsidR="009F2253" w:rsidRPr="009F2253" w14:paraId="279C10C7" w14:textId="77777777" w:rsidTr="0085799C">
        <w:trPr>
          <w:trHeight w:val="227"/>
          <w:jc w:val="center"/>
        </w:trPr>
        <w:tc>
          <w:tcPr>
            <w:tcW w:w="274" w:type="pct"/>
            <w:tcBorders>
              <w:top w:val="nil"/>
              <w:left w:val="nil"/>
              <w:bottom w:val="single" w:sz="8" w:space="0" w:color="auto"/>
              <w:right w:val="nil"/>
            </w:tcBorders>
            <w:shd w:val="clear" w:color="000000" w:fill="BDD7EE"/>
            <w:noWrap/>
            <w:vAlign w:val="center"/>
            <w:hideMark/>
          </w:tcPr>
          <w:p w14:paraId="5C24B88C" w14:textId="77777777" w:rsidR="009F2253" w:rsidRPr="009F2253" w:rsidRDefault="009F2253" w:rsidP="009F2253">
            <w:pPr>
              <w:spacing w:after="0" w:line="240" w:lineRule="auto"/>
              <w:rPr>
                <w:rFonts w:ascii="Times New Roman" w:hAnsi="Times New Roman"/>
                <w:b/>
                <w:bCs/>
                <w:color w:val="FF0000"/>
                <w:sz w:val="20"/>
                <w:szCs w:val="20"/>
                <w:lang w:eastAsia="sk-SK"/>
              </w:rPr>
            </w:pPr>
            <w:r w:rsidRPr="009F2253">
              <w:rPr>
                <w:rFonts w:ascii="Times New Roman" w:hAnsi="Times New Roman"/>
                <w:b/>
                <w:bCs/>
                <w:color w:val="FF0000"/>
                <w:sz w:val="20"/>
                <w:szCs w:val="20"/>
                <w:lang w:eastAsia="sk-SK"/>
              </w:rPr>
              <w:t> </w:t>
            </w:r>
          </w:p>
        </w:tc>
        <w:tc>
          <w:tcPr>
            <w:tcW w:w="337" w:type="pct"/>
            <w:tcBorders>
              <w:top w:val="nil"/>
              <w:left w:val="nil"/>
              <w:bottom w:val="single" w:sz="8" w:space="0" w:color="auto"/>
              <w:right w:val="nil"/>
            </w:tcBorders>
            <w:shd w:val="clear" w:color="000000" w:fill="BDD7EE"/>
            <w:noWrap/>
            <w:vAlign w:val="center"/>
            <w:hideMark/>
          </w:tcPr>
          <w:p w14:paraId="07C8ABE1" w14:textId="77777777" w:rsidR="009F2253" w:rsidRPr="009F2253" w:rsidRDefault="009F2253" w:rsidP="009F2253">
            <w:pPr>
              <w:spacing w:after="0" w:line="240" w:lineRule="auto"/>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 </w:t>
            </w:r>
          </w:p>
        </w:tc>
        <w:tc>
          <w:tcPr>
            <w:tcW w:w="3114" w:type="pct"/>
            <w:tcBorders>
              <w:top w:val="nil"/>
              <w:left w:val="nil"/>
              <w:bottom w:val="single" w:sz="8" w:space="0" w:color="auto"/>
              <w:right w:val="nil"/>
            </w:tcBorders>
            <w:shd w:val="clear" w:color="000000" w:fill="BDD7EE"/>
            <w:noWrap/>
            <w:vAlign w:val="center"/>
            <w:hideMark/>
          </w:tcPr>
          <w:p w14:paraId="3876821F"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NÁKLADY</w:t>
            </w:r>
          </w:p>
        </w:tc>
        <w:tc>
          <w:tcPr>
            <w:tcW w:w="638" w:type="pct"/>
            <w:tcBorders>
              <w:top w:val="nil"/>
              <w:left w:val="nil"/>
              <w:bottom w:val="single" w:sz="8" w:space="0" w:color="auto"/>
              <w:right w:val="nil"/>
            </w:tcBorders>
            <w:shd w:val="clear" w:color="000000" w:fill="BDD7EE"/>
            <w:noWrap/>
            <w:vAlign w:val="center"/>
            <w:hideMark/>
          </w:tcPr>
          <w:p w14:paraId="356ABF9F"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2024</w:t>
            </w:r>
          </w:p>
        </w:tc>
        <w:tc>
          <w:tcPr>
            <w:tcW w:w="638" w:type="pct"/>
            <w:tcBorders>
              <w:top w:val="nil"/>
              <w:left w:val="nil"/>
              <w:bottom w:val="single" w:sz="8" w:space="0" w:color="auto"/>
              <w:right w:val="nil"/>
            </w:tcBorders>
            <w:shd w:val="clear" w:color="000000" w:fill="BDD7EE"/>
            <w:noWrap/>
            <w:vAlign w:val="center"/>
            <w:hideMark/>
          </w:tcPr>
          <w:p w14:paraId="5B4600DD"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2023</w:t>
            </w:r>
          </w:p>
        </w:tc>
      </w:tr>
      <w:tr w:rsidR="009F2253" w:rsidRPr="009F2253" w14:paraId="59F33630" w14:textId="77777777" w:rsidTr="0085799C">
        <w:trPr>
          <w:trHeight w:val="227"/>
          <w:jc w:val="center"/>
        </w:trPr>
        <w:tc>
          <w:tcPr>
            <w:tcW w:w="274" w:type="pct"/>
            <w:tcBorders>
              <w:top w:val="nil"/>
              <w:left w:val="nil"/>
              <w:bottom w:val="nil"/>
              <w:right w:val="nil"/>
            </w:tcBorders>
            <w:noWrap/>
            <w:vAlign w:val="center"/>
            <w:hideMark/>
          </w:tcPr>
          <w:p w14:paraId="293C6AC0"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I.</w:t>
            </w:r>
          </w:p>
        </w:tc>
        <w:tc>
          <w:tcPr>
            <w:tcW w:w="337" w:type="pct"/>
            <w:tcBorders>
              <w:top w:val="nil"/>
              <w:left w:val="nil"/>
              <w:bottom w:val="nil"/>
              <w:right w:val="nil"/>
            </w:tcBorders>
            <w:noWrap/>
            <w:vAlign w:val="center"/>
            <w:hideMark/>
          </w:tcPr>
          <w:p w14:paraId="0DD81408"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p>
        </w:tc>
        <w:tc>
          <w:tcPr>
            <w:tcW w:w="3114" w:type="pct"/>
            <w:tcBorders>
              <w:top w:val="nil"/>
              <w:left w:val="nil"/>
              <w:bottom w:val="nil"/>
              <w:right w:val="nil"/>
            </w:tcBorders>
            <w:noWrap/>
            <w:vAlign w:val="center"/>
            <w:hideMark/>
          </w:tcPr>
          <w:p w14:paraId="358526F0" w14:textId="77777777" w:rsidR="009F2253" w:rsidRPr="009F2253" w:rsidRDefault="009F2253" w:rsidP="009F2253">
            <w:pPr>
              <w:spacing w:after="0" w:line="240" w:lineRule="auto"/>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Náklady na transfery</w:t>
            </w:r>
          </w:p>
        </w:tc>
        <w:tc>
          <w:tcPr>
            <w:tcW w:w="638" w:type="pct"/>
            <w:tcBorders>
              <w:top w:val="nil"/>
              <w:left w:val="nil"/>
              <w:bottom w:val="nil"/>
              <w:right w:val="nil"/>
            </w:tcBorders>
            <w:noWrap/>
            <w:vAlign w:val="center"/>
            <w:hideMark/>
          </w:tcPr>
          <w:p w14:paraId="50338939"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30 370 131</w:t>
            </w:r>
          </w:p>
        </w:tc>
        <w:tc>
          <w:tcPr>
            <w:tcW w:w="638" w:type="pct"/>
            <w:tcBorders>
              <w:top w:val="nil"/>
              <w:left w:val="nil"/>
              <w:bottom w:val="nil"/>
              <w:right w:val="nil"/>
            </w:tcBorders>
            <w:noWrap/>
            <w:vAlign w:val="center"/>
            <w:hideMark/>
          </w:tcPr>
          <w:p w14:paraId="642426D9"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30 578 185</w:t>
            </w:r>
          </w:p>
        </w:tc>
      </w:tr>
      <w:tr w:rsidR="009F2253" w:rsidRPr="009F2253" w14:paraId="5D8578A8" w14:textId="77777777" w:rsidTr="0085799C">
        <w:trPr>
          <w:trHeight w:val="227"/>
          <w:jc w:val="center"/>
        </w:trPr>
        <w:tc>
          <w:tcPr>
            <w:tcW w:w="274" w:type="pct"/>
            <w:tcBorders>
              <w:top w:val="nil"/>
              <w:left w:val="nil"/>
              <w:bottom w:val="nil"/>
              <w:right w:val="nil"/>
            </w:tcBorders>
            <w:noWrap/>
            <w:vAlign w:val="center"/>
            <w:hideMark/>
          </w:tcPr>
          <w:p w14:paraId="6272A3BB"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p>
        </w:tc>
        <w:tc>
          <w:tcPr>
            <w:tcW w:w="337" w:type="pct"/>
            <w:tcBorders>
              <w:top w:val="nil"/>
              <w:left w:val="nil"/>
              <w:bottom w:val="nil"/>
              <w:right w:val="nil"/>
            </w:tcBorders>
            <w:noWrap/>
            <w:vAlign w:val="center"/>
            <w:hideMark/>
          </w:tcPr>
          <w:p w14:paraId="63002408" w14:textId="409B6930" w:rsidR="009F2253" w:rsidRPr="0085799C" w:rsidRDefault="009F2253" w:rsidP="009F2253">
            <w:pPr>
              <w:spacing w:after="0" w:line="240" w:lineRule="auto"/>
              <w:jc w:val="center"/>
              <w:rPr>
                <w:rFonts w:ascii="Times New Roman" w:hAnsi="Times New Roman"/>
                <w:i/>
                <w:iCs/>
                <w:color w:val="000000"/>
                <w:sz w:val="19"/>
                <w:szCs w:val="19"/>
                <w:lang w:eastAsia="sk-SK"/>
              </w:rPr>
            </w:pPr>
            <w:hyperlink w:anchor="_Odvod_do_rozpočtu" w:history="1">
              <w:r w:rsidRPr="0085799C">
                <w:rPr>
                  <w:rStyle w:val="Hypertextovprepojenie"/>
                  <w:sz w:val="19"/>
                  <w:szCs w:val="19"/>
                </w:rPr>
                <w:t>61</w:t>
              </w:r>
            </w:hyperlink>
          </w:p>
        </w:tc>
        <w:tc>
          <w:tcPr>
            <w:tcW w:w="3114" w:type="pct"/>
            <w:tcBorders>
              <w:top w:val="nil"/>
              <w:left w:val="nil"/>
              <w:bottom w:val="nil"/>
              <w:right w:val="nil"/>
            </w:tcBorders>
            <w:noWrap/>
            <w:vAlign w:val="center"/>
            <w:hideMark/>
          </w:tcPr>
          <w:p w14:paraId="177344B7"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v tom   Odvod do rozpočtu EÚ</w:t>
            </w:r>
          </w:p>
        </w:tc>
        <w:tc>
          <w:tcPr>
            <w:tcW w:w="638" w:type="pct"/>
            <w:tcBorders>
              <w:top w:val="nil"/>
              <w:left w:val="nil"/>
              <w:bottom w:val="nil"/>
              <w:right w:val="nil"/>
            </w:tcBorders>
            <w:noWrap/>
            <w:vAlign w:val="center"/>
            <w:hideMark/>
          </w:tcPr>
          <w:p w14:paraId="3C1FD2FC"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822 107</w:t>
            </w:r>
          </w:p>
        </w:tc>
        <w:tc>
          <w:tcPr>
            <w:tcW w:w="638" w:type="pct"/>
            <w:tcBorders>
              <w:top w:val="nil"/>
              <w:left w:val="nil"/>
              <w:bottom w:val="nil"/>
              <w:right w:val="nil"/>
            </w:tcBorders>
            <w:noWrap/>
            <w:vAlign w:val="center"/>
            <w:hideMark/>
          </w:tcPr>
          <w:p w14:paraId="2BEDD15C"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943 226</w:t>
            </w:r>
          </w:p>
        </w:tc>
      </w:tr>
      <w:tr w:rsidR="009F2253" w:rsidRPr="009F2253" w14:paraId="375B1E23" w14:textId="77777777" w:rsidTr="0085799C">
        <w:trPr>
          <w:trHeight w:val="227"/>
          <w:jc w:val="center"/>
        </w:trPr>
        <w:tc>
          <w:tcPr>
            <w:tcW w:w="274" w:type="pct"/>
            <w:tcBorders>
              <w:top w:val="nil"/>
              <w:left w:val="nil"/>
              <w:bottom w:val="nil"/>
              <w:right w:val="nil"/>
            </w:tcBorders>
            <w:noWrap/>
            <w:vAlign w:val="center"/>
            <w:hideMark/>
          </w:tcPr>
          <w:p w14:paraId="6472B4BF"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p>
        </w:tc>
        <w:tc>
          <w:tcPr>
            <w:tcW w:w="337" w:type="pct"/>
            <w:tcBorders>
              <w:top w:val="nil"/>
              <w:left w:val="nil"/>
              <w:bottom w:val="nil"/>
              <w:right w:val="nil"/>
            </w:tcBorders>
            <w:noWrap/>
            <w:vAlign w:val="center"/>
            <w:hideMark/>
          </w:tcPr>
          <w:p w14:paraId="1F8CFCEC" w14:textId="38F5261A" w:rsidR="009F2253" w:rsidRPr="0085799C" w:rsidRDefault="009F2253" w:rsidP="009F2253">
            <w:pPr>
              <w:spacing w:after="0" w:line="240" w:lineRule="auto"/>
              <w:jc w:val="center"/>
              <w:rPr>
                <w:rFonts w:ascii="Times New Roman" w:hAnsi="Times New Roman"/>
                <w:i/>
                <w:iCs/>
                <w:color w:val="000000"/>
                <w:sz w:val="19"/>
                <w:szCs w:val="19"/>
                <w:lang w:eastAsia="sk-SK"/>
              </w:rPr>
            </w:pPr>
            <w:hyperlink w:anchor="_Ostatné_transfery" w:history="1">
              <w:r w:rsidRPr="0085799C">
                <w:rPr>
                  <w:rStyle w:val="Hypertextovprepojenie"/>
                  <w:sz w:val="19"/>
                  <w:szCs w:val="19"/>
                </w:rPr>
                <w:t>62</w:t>
              </w:r>
            </w:hyperlink>
          </w:p>
        </w:tc>
        <w:tc>
          <w:tcPr>
            <w:tcW w:w="3114" w:type="pct"/>
            <w:tcBorders>
              <w:top w:val="nil"/>
              <w:left w:val="nil"/>
              <w:bottom w:val="nil"/>
              <w:right w:val="nil"/>
            </w:tcBorders>
            <w:noWrap/>
            <w:vAlign w:val="center"/>
            <w:hideMark/>
          </w:tcPr>
          <w:p w14:paraId="7ECFB509"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 xml:space="preserve">           ostatné transfery</w:t>
            </w:r>
          </w:p>
        </w:tc>
        <w:tc>
          <w:tcPr>
            <w:tcW w:w="638" w:type="pct"/>
            <w:tcBorders>
              <w:top w:val="nil"/>
              <w:left w:val="nil"/>
              <w:bottom w:val="nil"/>
              <w:right w:val="nil"/>
            </w:tcBorders>
            <w:noWrap/>
            <w:vAlign w:val="center"/>
            <w:hideMark/>
          </w:tcPr>
          <w:p w14:paraId="0161092B"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29 548 024</w:t>
            </w:r>
          </w:p>
        </w:tc>
        <w:tc>
          <w:tcPr>
            <w:tcW w:w="638" w:type="pct"/>
            <w:tcBorders>
              <w:top w:val="nil"/>
              <w:left w:val="nil"/>
              <w:bottom w:val="nil"/>
              <w:right w:val="nil"/>
            </w:tcBorders>
            <w:noWrap/>
            <w:vAlign w:val="center"/>
            <w:hideMark/>
          </w:tcPr>
          <w:p w14:paraId="02A96382"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29 634 959</w:t>
            </w:r>
          </w:p>
        </w:tc>
      </w:tr>
      <w:tr w:rsidR="009F2253" w:rsidRPr="009F2253" w14:paraId="13724AA4" w14:textId="77777777" w:rsidTr="0085799C">
        <w:trPr>
          <w:trHeight w:val="227"/>
          <w:jc w:val="center"/>
        </w:trPr>
        <w:tc>
          <w:tcPr>
            <w:tcW w:w="274" w:type="pct"/>
            <w:tcBorders>
              <w:top w:val="nil"/>
              <w:left w:val="nil"/>
              <w:bottom w:val="nil"/>
              <w:right w:val="nil"/>
            </w:tcBorders>
            <w:noWrap/>
            <w:vAlign w:val="center"/>
            <w:hideMark/>
          </w:tcPr>
          <w:p w14:paraId="3D9FF4A0"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II.</w:t>
            </w:r>
          </w:p>
        </w:tc>
        <w:tc>
          <w:tcPr>
            <w:tcW w:w="337" w:type="pct"/>
            <w:tcBorders>
              <w:top w:val="nil"/>
              <w:left w:val="nil"/>
              <w:bottom w:val="nil"/>
              <w:right w:val="nil"/>
            </w:tcBorders>
            <w:noWrap/>
            <w:vAlign w:val="center"/>
            <w:hideMark/>
          </w:tcPr>
          <w:p w14:paraId="3C78696E"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p>
        </w:tc>
        <w:tc>
          <w:tcPr>
            <w:tcW w:w="3114" w:type="pct"/>
            <w:tcBorders>
              <w:top w:val="nil"/>
              <w:left w:val="nil"/>
              <w:bottom w:val="nil"/>
              <w:right w:val="nil"/>
            </w:tcBorders>
            <w:noWrap/>
            <w:vAlign w:val="center"/>
            <w:hideMark/>
          </w:tcPr>
          <w:p w14:paraId="7271697D" w14:textId="77777777" w:rsidR="009F2253" w:rsidRPr="009F2253" w:rsidRDefault="009F2253" w:rsidP="009F2253">
            <w:pPr>
              <w:spacing w:after="0" w:line="240" w:lineRule="auto"/>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Spotrebované nákupy a služby</w:t>
            </w:r>
          </w:p>
        </w:tc>
        <w:tc>
          <w:tcPr>
            <w:tcW w:w="638" w:type="pct"/>
            <w:tcBorders>
              <w:top w:val="nil"/>
              <w:left w:val="nil"/>
              <w:bottom w:val="nil"/>
              <w:right w:val="nil"/>
            </w:tcBorders>
            <w:noWrap/>
            <w:vAlign w:val="center"/>
            <w:hideMark/>
          </w:tcPr>
          <w:p w14:paraId="03E8DA06"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17 794 008</w:t>
            </w:r>
          </w:p>
        </w:tc>
        <w:tc>
          <w:tcPr>
            <w:tcW w:w="638" w:type="pct"/>
            <w:tcBorders>
              <w:top w:val="nil"/>
              <w:left w:val="nil"/>
              <w:bottom w:val="nil"/>
              <w:right w:val="nil"/>
            </w:tcBorders>
            <w:noWrap/>
            <w:vAlign w:val="center"/>
            <w:hideMark/>
          </w:tcPr>
          <w:p w14:paraId="1700C42A"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18 244 432</w:t>
            </w:r>
          </w:p>
        </w:tc>
      </w:tr>
      <w:tr w:rsidR="009F2253" w:rsidRPr="009F2253" w14:paraId="65BA2DE0" w14:textId="77777777" w:rsidTr="0085799C">
        <w:trPr>
          <w:trHeight w:val="227"/>
          <w:jc w:val="center"/>
        </w:trPr>
        <w:tc>
          <w:tcPr>
            <w:tcW w:w="274" w:type="pct"/>
            <w:tcBorders>
              <w:top w:val="nil"/>
              <w:left w:val="nil"/>
              <w:bottom w:val="nil"/>
              <w:right w:val="nil"/>
            </w:tcBorders>
            <w:noWrap/>
            <w:vAlign w:val="center"/>
            <w:hideMark/>
          </w:tcPr>
          <w:p w14:paraId="22A61EB7"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p>
        </w:tc>
        <w:tc>
          <w:tcPr>
            <w:tcW w:w="337" w:type="pct"/>
            <w:tcBorders>
              <w:top w:val="nil"/>
              <w:left w:val="nil"/>
              <w:bottom w:val="nil"/>
              <w:right w:val="nil"/>
            </w:tcBorders>
            <w:noWrap/>
            <w:vAlign w:val="center"/>
            <w:hideMark/>
          </w:tcPr>
          <w:p w14:paraId="59F5219A" w14:textId="11D87DBA"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Služby_1" w:history="1">
              <w:r w:rsidRPr="00E760C1">
                <w:rPr>
                  <w:rStyle w:val="Hypertextovprepojenie"/>
                  <w:rFonts w:ascii="Times New Roman" w:hAnsi="Times New Roman"/>
                  <w:i/>
                  <w:iCs/>
                  <w:sz w:val="19"/>
                  <w:szCs w:val="19"/>
                  <w:lang w:eastAsia="sk-SK"/>
                </w:rPr>
                <w:t>63</w:t>
              </w:r>
            </w:hyperlink>
          </w:p>
        </w:tc>
        <w:tc>
          <w:tcPr>
            <w:tcW w:w="3114" w:type="pct"/>
            <w:tcBorders>
              <w:top w:val="nil"/>
              <w:left w:val="nil"/>
              <w:bottom w:val="nil"/>
              <w:right w:val="nil"/>
            </w:tcBorders>
            <w:noWrap/>
            <w:vAlign w:val="center"/>
            <w:hideMark/>
          </w:tcPr>
          <w:p w14:paraId="2C1709F5"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 xml:space="preserve">v tom    služby   </w:t>
            </w:r>
          </w:p>
        </w:tc>
        <w:tc>
          <w:tcPr>
            <w:tcW w:w="638" w:type="pct"/>
            <w:tcBorders>
              <w:top w:val="nil"/>
              <w:left w:val="nil"/>
              <w:bottom w:val="nil"/>
              <w:right w:val="nil"/>
            </w:tcBorders>
            <w:noWrap/>
            <w:vAlign w:val="center"/>
            <w:hideMark/>
          </w:tcPr>
          <w:p w14:paraId="0AE5BCE5"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8 134 911</w:t>
            </w:r>
          </w:p>
        </w:tc>
        <w:tc>
          <w:tcPr>
            <w:tcW w:w="638" w:type="pct"/>
            <w:tcBorders>
              <w:top w:val="nil"/>
              <w:left w:val="nil"/>
              <w:bottom w:val="nil"/>
              <w:right w:val="nil"/>
            </w:tcBorders>
            <w:noWrap/>
            <w:vAlign w:val="center"/>
            <w:hideMark/>
          </w:tcPr>
          <w:p w14:paraId="2A8C5C35"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7 823 594</w:t>
            </w:r>
          </w:p>
        </w:tc>
      </w:tr>
      <w:tr w:rsidR="009F2253" w:rsidRPr="009F2253" w14:paraId="04459698" w14:textId="77777777" w:rsidTr="0085799C">
        <w:trPr>
          <w:trHeight w:val="227"/>
          <w:jc w:val="center"/>
        </w:trPr>
        <w:tc>
          <w:tcPr>
            <w:tcW w:w="274" w:type="pct"/>
            <w:tcBorders>
              <w:top w:val="nil"/>
              <w:left w:val="nil"/>
              <w:bottom w:val="nil"/>
              <w:right w:val="nil"/>
            </w:tcBorders>
            <w:noWrap/>
            <w:vAlign w:val="center"/>
            <w:hideMark/>
          </w:tcPr>
          <w:p w14:paraId="327ED54C"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p>
        </w:tc>
        <w:tc>
          <w:tcPr>
            <w:tcW w:w="337" w:type="pct"/>
            <w:tcBorders>
              <w:top w:val="nil"/>
              <w:left w:val="nil"/>
              <w:bottom w:val="nil"/>
              <w:right w:val="nil"/>
            </w:tcBorders>
            <w:noWrap/>
            <w:vAlign w:val="center"/>
            <w:hideMark/>
          </w:tcPr>
          <w:p w14:paraId="46C9A62A" w14:textId="27DD14AB"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Spotreba_materiálu" w:history="1">
              <w:r w:rsidRPr="00E760C1">
                <w:rPr>
                  <w:rStyle w:val="Hypertextovprepojenie"/>
                  <w:rFonts w:ascii="Times New Roman" w:hAnsi="Times New Roman"/>
                  <w:i/>
                  <w:iCs/>
                  <w:sz w:val="19"/>
                  <w:szCs w:val="19"/>
                  <w:lang w:eastAsia="sk-SK"/>
                </w:rPr>
                <w:t>64</w:t>
              </w:r>
            </w:hyperlink>
          </w:p>
        </w:tc>
        <w:tc>
          <w:tcPr>
            <w:tcW w:w="3114" w:type="pct"/>
            <w:tcBorders>
              <w:top w:val="nil"/>
              <w:left w:val="nil"/>
              <w:bottom w:val="nil"/>
              <w:right w:val="nil"/>
            </w:tcBorders>
            <w:noWrap/>
            <w:vAlign w:val="center"/>
            <w:hideMark/>
          </w:tcPr>
          <w:p w14:paraId="40F88621"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 xml:space="preserve">            spotreba materiálu</w:t>
            </w:r>
          </w:p>
        </w:tc>
        <w:tc>
          <w:tcPr>
            <w:tcW w:w="638" w:type="pct"/>
            <w:tcBorders>
              <w:top w:val="nil"/>
              <w:left w:val="nil"/>
              <w:bottom w:val="nil"/>
              <w:right w:val="nil"/>
            </w:tcBorders>
            <w:noWrap/>
            <w:vAlign w:val="center"/>
            <w:hideMark/>
          </w:tcPr>
          <w:p w14:paraId="193E76E8"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4 604 609</w:t>
            </w:r>
          </w:p>
        </w:tc>
        <w:tc>
          <w:tcPr>
            <w:tcW w:w="638" w:type="pct"/>
            <w:tcBorders>
              <w:top w:val="nil"/>
              <w:left w:val="nil"/>
              <w:bottom w:val="nil"/>
              <w:right w:val="nil"/>
            </w:tcBorders>
            <w:noWrap/>
            <w:vAlign w:val="center"/>
            <w:hideMark/>
          </w:tcPr>
          <w:p w14:paraId="0C6470BC"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5 101 650</w:t>
            </w:r>
          </w:p>
        </w:tc>
      </w:tr>
      <w:tr w:rsidR="009F2253" w:rsidRPr="009F2253" w14:paraId="55AD40A3" w14:textId="77777777" w:rsidTr="0085799C">
        <w:trPr>
          <w:trHeight w:val="227"/>
          <w:jc w:val="center"/>
        </w:trPr>
        <w:tc>
          <w:tcPr>
            <w:tcW w:w="274" w:type="pct"/>
            <w:tcBorders>
              <w:top w:val="nil"/>
              <w:left w:val="nil"/>
              <w:bottom w:val="nil"/>
              <w:right w:val="nil"/>
            </w:tcBorders>
            <w:noWrap/>
            <w:vAlign w:val="center"/>
            <w:hideMark/>
          </w:tcPr>
          <w:p w14:paraId="7CAF04D4"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p>
        </w:tc>
        <w:tc>
          <w:tcPr>
            <w:tcW w:w="337" w:type="pct"/>
            <w:tcBorders>
              <w:top w:val="nil"/>
              <w:left w:val="nil"/>
              <w:bottom w:val="nil"/>
              <w:right w:val="nil"/>
            </w:tcBorders>
            <w:noWrap/>
            <w:vAlign w:val="center"/>
            <w:hideMark/>
          </w:tcPr>
          <w:p w14:paraId="61594162" w14:textId="4D2AB972"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Predaný_tovar" w:history="1">
              <w:r w:rsidRPr="00E760C1">
                <w:rPr>
                  <w:rStyle w:val="Hypertextovprepojenie"/>
                  <w:rFonts w:ascii="Times New Roman" w:hAnsi="Times New Roman"/>
                  <w:i/>
                  <w:iCs/>
                  <w:sz w:val="19"/>
                  <w:szCs w:val="19"/>
                  <w:lang w:eastAsia="sk-SK"/>
                </w:rPr>
                <w:t>65</w:t>
              </w:r>
            </w:hyperlink>
          </w:p>
        </w:tc>
        <w:tc>
          <w:tcPr>
            <w:tcW w:w="3114" w:type="pct"/>
            <w:tcBorders>
              <w:top w:val="nil"/>
              <w:left w:val="nil"/>
              <w:bottom w:val="nil"/>
              <w:right w:val="nil"/>
            </w:tcBorders>
            <w:noWrap/>
            <w:vAlign w:val="center"/>
            <w:hideMark/>
          </w:tcPr>
          <w:p w14:paraId="382E3CEB"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 xml:space="preserve">            predaný tovar</w:t>
            </w:r>
          </w:p>
        </w:tc>
        <w:tc>
          <w:tcPr>
            <w:tcW w:w="638" w:type="pct"/>
            <w:tcBorders>
              <w:top w:val="nil"/>
              <w:left w:val="nil"/>
              <w:bottom w:val="nil"/>
              <w:right w:val="nil"/>
            </w:tcBorders>
            <w:noWrap/>
            <w:vAlign w:val="center"/>
            <w:hideMark/>
          </w:tcPr>
          <w:p w14:paraId="60E3E7EC"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4 113 385</w:t>
            </w:r>
          </w:p>
        </w:tc>
        <w:tc>
          <w:tcPr>
            <w:tcW w:w="638" w:type="pct"/>
            <w:tcBorders>
              <w:top w:val="nil"/>
              <w:left w:val="nil"/>
              <w:bottom w:val="nil"/>
              <w:right w:val="nil"/>
            </w:tcBorders>
            <w:noWrap/>
            <w:vAlign w:val="center"/>
            <w:hideMark/>
          </w:tcPr>
          <w:p w14:paraId="22453FCC"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4 103 249</w:t>
            </w:r>
          </w:p>
        </w:tc>
      </w:tr>
      <w:tr w:rsidR="009F2253" w:rsidRPr="009F2253" w14:paraId="2287DAEC" w14:textId="77777777" w:rsidTr="0085799C">
        <w:trPr>
          <w:trHeight w:val="227"/>
          <w:jc w:val="center"/>
        </w:trPr>
        <w:tc>
          <w:tcPr>
            <w:tcW w:w="274" w:type="pct"/>
            <w:tcBorders>
              <w:top w:val="nil"/>
              <w:left w:val="nil"/>
              <w:bottom w:val="nil"/>
              <w:right w:val="nil"/>
            </w:tcBorders>
            <w:noWrap/>
            <w:vAlign w:val="center"/>
            <w:hideMark/>
          </w:tcPr>
          <w:p w14:paraId="72958AA6"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p>
        </w:tc>
        <w:tc>
          <w:tcPr>
            <w:tcW w:w="337" w:type="pct"/>
            <w:tcBorders>
              <w:top w:val="nil"/>
              <w:left w:val="nil"/>
              <w:bottom w:val="nil"/>
              <w:right w:val="nil"/>
            </w:tcBorders>
            <w:noWrap/>
            <w:vAlign w:val="center"/>
            <w:hideMark/>
          </w:tcPr>
          <w:p w14:paraId="6DF4EF8C" w14:textId="448BEBEA"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Spotreba_energií" w:history="1">
              <w:r w:rsidRPr="00E760C1">
                <w:rPr>
                  <w:rStyle w:val="Hypertextovprepojenie"/>
                  <w:rFonts w:ascii="Times New Roman" w:hAnsi="Times New Roman"/>
                  <w:i/>
                  <w:iCs/>
                  <w:sz w:val="19"/>
                  <w:szCs w:val="19"/>
                  <w:lang w:eastAsia="sk-SK"/>
                </w:rPr>
                <w:t>66</w:t>
              </w:r>
            </w:hyperlink>
          </w:p>
        </w:tc>
        <w:tc>
          <w:tcPr>
            <w:tcW w:w="3114" w:type="pct"/>
            <w:tcBorders>
              <w:top w:val="nil"/>
              <w:left w:val="nil"/>
              <w:bottom w:val="nil"/>
              <w:right w:val="nil"/>
            </w:tcBorders>
            <w:noWrap/>
            <w:vAlign w:val="center"/>
            <w:hideMark/>
          </w:tcPr>
          <w:p w14:paraId="6896C7C4"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 xml:space="preserve">            spotreba energií</w:t>
            </w:r>
          </w:p>
        </w:tc>
        <w:tc>
          <w:tcPr>
            <w:tcW w:w="638" w:type="pct"/>
            <w:tcBorders>
              <w:top w:val="nil"/>
              <w:left w:val="nil"/>
              <w:bottom w:val="nil"/>
              <w:right w:val="nil"/>
            </w:tcBorders>
            <w:noWrap/>
            <w:vAlign w:val="center"/>
            <w:hideMark/>
          </w:tcPr>
          <w:p w14:paraId="7B7A986B"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928 076</w:t>
            </w:r>
          </w:p>
        </w:tc>
        <w:tc>
          <w:tcPr>
            <w:tcW w:w="638" w:type="pct"/>
            <w:tcBorders>
              <w:top w:val="nil"/>
              <w:left w:val="nil"/>
              <w:bottom w:val="nil"/>
              <w:right w:val="nil"/>
            </w:tcBorders>
            <w:noWrap/>
            <w:vAlign w:val="center"/>
            <w:hideMark/>
          </w:tcPr>
          <w:p w14:paraId="2936487E"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1 197 480</w:t>
            </w:r>
          </w:p>
        </w:tc>
      </w:tr>
      <w:tr w:rsidR="009F2253" w:rsidRPr="009F2253" w14:paraId="0B31C0D0" w14:textId="77777777" w:rsidTr="0085799C">
        <w:trPr>
          <w:trHeight w:val="227"/>
          <w:jc w:val="center"/>
        </w:trPr>
        <w:tc>
          <w:tcPr>
            <w:tcW w:w="274" w:type="pct"/>
            <w:tcBorders>
              <w:top w:val="nil"/>
              <w:left w:val="nil"/>
              <w:bottom w:val="nil"/>
              <w:right w:val="nil"/>
            </w:tcBorders>
            <w:noWrap/>
            <w:vAlign w:val="center"/>
            <w:hideMark/>
          </w:tcPr>
          <w:p w14:paraId="50E65EB5"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p>
        </w:tc>
        <w:tc>
          <w:tcPr>
            <w:tcW w:w="337" w:type="pct"/>
            <w:tcBorders>
              <w:top w:val="nil"/>
              <w:left w:val="nil"/>
              <w:bottom w:val="nil"/>
              <w:right w:val="nil"/>
            </w:tcBorders>
            <w:noWrap/>
            <w:vAlign w:val="center"/>
            <w:hideMark/>
          </w:tcPr>
          <w:p w14:paraId="30CC30D4" w14:textId="195092C3"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Ostatné" w:history="1">
              <w:r w:rsidRPr="00E760C1">
                <w:rPr>
                  <w:rStyle w:val="Hypertextovprepojenie"/>
                  <w:rFonts w:ascii="Times New Roman" w:hAnsi="Times New Roman"/>
                  <w:i/>
                  <w:iCs/>
                  <w:sz w:val="19"/>
                  <w:szCs w:val="19"/>
                  <w:lang w:eastAsia="sk-SK"/>
                </w:rPr>
                <w:t>67</w:t>
              </w:r>
            </w:hyperlink>
          </w:p>
        </w:tc>
        <w:tc>
          <w:tcPr>
            <w:tcW w:w="3114" w:type="pct"/>
            <w:tcBorders>
              <w:top w:val="nil"/>
              <w:left w:val="nil"/>
              <w:bottom w:val="nil"/>
              <w:right w:val="nil"/>
            </w:tcBorders>
            <w:noWrap/>
            <w:vAlign w:val="center"/>
            <w:hideMark/>
          </w:tcPr>
          <w:p w14:paraId="2479FE26"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 xml:space="preserve">            ostatné</w:t>
            </w:r>
          </w:p>
        </w:tc>
        <w:tc>
          <w:tcPr>
            <w:tcW w:w="638" w:type="pct"/>
            <w:tcBorders>
              <w:top w:val="nil"/>
              <w:left w:val="nil"/>
              <w:bottom w:val="nil"/>
              <w:right w:val="nil"/>
            </w:tcBorders>
            <w:noWrap/>
            <w:vAlign w:val="center"/>
            <w:hideMark/>
          </w:tcPr>
          <w:p w14:paraId="7717B611"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13 027</w:t>
            </w:r>
          </w:p>
        </w:tc>
        <w:tc>
          <w:tcPr>
            <w:tcW w:w="638" w:type="pct"/>
            <w:tcBorders>
              <w:top w:val="nil"/>
              <w:left w:val="nil"/>
              <w:bottom w:val="nil"/>
              <w:right w:val="nil"/>
            </w:tcBorders>
            <w:noWrap/>
            <w:vAlign w:val="center"/>
            <w:hideMark/>
          </w:tcPr>
          <w:p w14:paraId="63B0A834"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18 459</w:t>
            </w:r>
          </w:p>
        </w:tc>
      </w:tr>
      <w:tr w:rsidR="009F2253" w:rsidRPr="009F2253" w14:paraId="3AE7DFC6" w14:textId="77777777" w:rsidTr="0085799C">
        <w:trPr>
          <w:trHeight w:val="227"/>
          <w:jc w:val="center"/>
        </w:trPr>
        <w:tc>
          <w:tcPr>
            <w:tcW w:w="274" w:type="pct"/>
            <w:tcBorders>
              <w:top w:val="nil"/>
              <w:left w:val="nil"/>
              <w:bottom w:val="nil"/>
              <w:right w:val="nil"/>
            </w:tcBorders>
            <w:noWrap/>
            <w:vAlign w:val="center"/>
            <w:hideMark/>
          </w:tcPr>
          <w:p w14:paraId="0EBEB0F3"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III.</w:t>
            </w:r>
          </w:p>
        </w:tc>
        <w:tc>
          <w:tcPr>
            <w:tcW w:w="337" w:type="pct"/>
            <w:tcBorders>
              <w:top w:val="nil"/>
              <w:left w:val="nil"/>
              <w:bottom w:val="nil"/>
              <w:right w:val="nil"/>
            </w:tcBorders>
            <w:noWrap/>
            <w:vAlign w:val="center"/>
            <w:hideMark/>
          </w:tcPr>
          <w:p w14:paraId="44971565"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p>
        </w:tc>
        <w:tc>
          <w:tcPr>
            <w:tcW w:w="3114" w:type="pct"/>
            <w:tcBorders>
              <w:top w:val="nil"/>
              <w:left w:val="nil"/>
              <w:bottom w:val="nil"/>
              <w:right w:val="nil"/>
            </w:tcBorders>
            <w:noWrap/>
            <w:vAlign w:val="center"/>
            <w:hideMark/>
          </w:tcPr>
          <w:p w14:paraId="731CA997" w14:textId="77777777" w:rsidR="009F2253" w:rsidRPr="009F2253" w:rsidRDefault="009F2253" w:rsidP="009F2253">
            <w:pPr>
              <w:spacing w:after="0" w:line="240" w:lineRule="auto"/>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Osobné náklady</w:t>
            </w:r>
          </w:p>
        </w:tc>
        <w:tc>
          <w:tcPr>
            <w:tcW w:w="638" w:type="pct"/>
            <w:tcBorders>
              <w:top w:val="nil"/>
              <w:left w:val="nil"/>
              <w:bottom w:val="nil"/>
              <w:right w:val="nil"/>
            </w:tcBorders>
            <w:noWrap/>
            <w:vAlign w:val="center"/>
            <w:hideMark/>
          </w:tcPr>
          <w:p w14:paraId="2DA30742"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14 502 295</w:t>
            </w:r>
          </w:p>
        </w:tc>
        <w:tc>
          <w:tcPr>
            <w:tcW w:w="638" w:type="pct"/>
            <w:tcBorders>
              <w:top w:val="nil"/>
              <w:left w:val="nil"/>
              <w:bottom w:val="nil"/>
              <w:right w:val="nil"/>
            </w:tcBorders>
            <w:noWrap/>
            <w:vAlign w:val="center"/>
            <w:hideMark/>
          </w:tcPr>
          <w:p w14:paraId="625A3D20"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13 332 531</w:t>
            </w:r>
          </w:p>
        </w:tc>
      </w:tr>
      <w:tr w:rsidR="009F2253" w:rsidRPr="009F2253" w14:paraId="6BC3458B" w14:textId="77777777" w:rsidTr="0085799C">
        <w:trPr>
          <w:trHeight w:val="227"/>
          <w:jc w:val="center"/>
        </w:trPr>
        <w:tc>
          <w:tcPr>
            <w:tcW w:w="274" w:type="pct"/>
            <w:tcBorders>
              <w:top w:val="nil"/>
              <w:left w:val="nil"/>
              <w:bottom w:val="nil"/>
              <w:right w:val="nil"/>
            </w:tcBorders>
            <w:noWrap/>
            <w:vAlign w:val="center"/>
            <w:hideMark/>
          </w:tcPr>
          <w:p w14:paraId="6C807F07"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p>
        </w:tc>
        <w:tc>
          <w:tcPr>
            <w:tcW w:w="337" w:type="pct"/>
            <w:tcBorders>
              <w:top w:val="nil"/>
              <w:left w:val="nil"/>
              <w:bottom w:val="nil"/>
              <w:right w:val="nil"/>
            </w:tcBorders>
            <w:noWrap/>
            <w:vAlign w:val="center"/>
            <w:hideMark/>
          </w:tcPr>
          <w:p w14:paraId="1896100E" w14:textId="6FAACEC9"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Mzdy" w:history="1">
              <w:r w:rsidRPr="00E760C1">
                <w:rPr>
                  <w:rStyle w:val="Hypertextovprepojenie"/>
                  <w:rFonts w:ascii="Times New Roman" w:hAnsi="Times New Roman"/>
                  <w:i/>
                  <w:iCs/>
                  <w:sz w:val="19"/>
                  <w:szCs w:val="19"/>
                  <w:lang w:eastAsia="sk-SK"/>
                </w:rPr>
                <w:t>68</w:t>
              </w:r>
            </w:hyperlink>
          </w:p>
        </w:tc>
        <w:tc>
          <w:tcPr>
            <w:tcW w:w="3114" w:type="pct"/>
            <w:tcBorders>
              <w:top w:val="nil"/>
              <w:left w:val="nil"/>
              <w:bottom w:val="nil"/>
              <w:right w:val="nil"/>
            </w:tcBorders>
            <w:noWrap/>
            <w:vAlign w:val="center"/>
            <w:hideMark/>
          </w:tcPr>
          <w:p w14:paraId="4FF29AC3"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v tom    mzdy</w:t>
            </w:r>
          </w:p>
        </w:tc>
        <w:tc>
          <w:tcPr>
            <w:tcW w:w="638" w:type="pct"/>
            <w:tcBorders>
              <w:top w:val="nil"/>
              <w:left w:val="nil"/>
              <w:bottom w:val="nil"/>
              <w:right w:val="nil"/>
            </w:tcBorders>
            <w:noWrap/>
            <w:vAlign w:val="center"/>
            <w:hideMark/>
          </w:tcPr>
          <w:p w14:paraId="29281517"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10 661 555</w:t>
            </w:r>
          </w:p>
        </w:tc>
        <w:tc>
          <w:tcPr>
            <w:tcW w:w="638" w:type="pct"/>
            <w:tcBorders>
              <w:top w:val="nil"/>
              <w:left w:val="nil"/>
              <w:bottom w:val="nil"/>
              <w:right w:val="nil"/>
            </w:tcBorders>
            <w:noWrap/>
            <w:vAlign w:val="center"/>
            <w:hideMark/>
          </w:tcPr>
          <w:p w14:paraId="01BDDC91"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9 844 877</w:t>
            </w:r>
          </w:p>
        </w:tc>
      </w:tr>
      <w:tr w:rsidR="009F2253" w:rsidRPr="009F2253" w14:paraId="110161DD" w14:textId="77777777" w:rsidTr="0085799C">
        <w:trPr>
          <w:trHeight w:val="227"/>
          <w:jc w:val="center"/>
        </w:trPr>
        <w:tc>
          <w:tcPr>
            <w:tcW w:w="274" w:type="pct"/>
            <w:tcBorders>
              <w:top w:val="nil"/>
              <w:left w:val="nil"/>
              <w:bottom w:val="nil"/>
              <w:right w:val="nil"/>
            </w:tcBorders>
            <w:noWrap/>
            <w:vAlign w:val="center"/>
            <w:hideMark/>
          </w:tcPr>
          <w:p w14:paraId="3D4FDF68"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p>
        </w:tc>
        <w:tc>
          <w:tcPr>
            <w:tcW w:w="337" w:type="pct"/>
            <w:tcBorders>
              <w:top w:val="nil"/>
              <w:left w:val="nil"/>
              <w:bottom w:val="nil"/>
              <w:right w:val="nil"/>
            </w:tcBorders>
            <w:noWrap/>
            <w:vAlign w:val="center"/>
            <w:hideMark/>
          </w:tcPr>
          <w:p w14:paraId="3C3A7791" w14:textId="1A8A8D51"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Zdravotné_a_sociálne" w:history="1">
              <w:r w:rsidRPr="00E760C1">
                <w:rPr>
                  <w:rStyle w:val="Hypertextovprepojenie"/>
                  <w:rFonts w:ascii="Times New Roman" w:hAnsi="Times New Roman"/>
                  <w:i/>
                  <w:iCs/>
                  <w:sz w:val="19"/>
                  <w:szCs w:val="19"/>
                  <w:lang w:eastAsia="sk-SK"/>
                </w:rPr>
                <w:t>69</w:t>
              </w:r>
            </w:hyperlink>
          </w:p>
        </w:tc>
        <w:tc>
          <w:tcPr>
            <w:tcW w:w="3114" w:type="pct"/>
            <w:tcBorders>
              <w:top w:val="nil"/>
              <w:left w:val="nil"/>
              <w:bottom w:val="nil"/>
              <w:right w:val="nil"/>
            </w:tcBorders>
            <w:noWrap/>
            <w:vAlign w:val="center"/>
            <w:hideMark/>
          </w:tcPr>
          <w:p w14:paraId="2A09C6E6"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 xml:space="preserve">            zdravotné a sociálne odvody    </w:t>
            </w:r>
          </w:p>
        </w:tc>
        <w:tc>
          <w:tcPr>
            <w:tcW w:w="638" w:type="pct"/>
            <w:tcBorders>
              <w:top w:val="nil"/>
              <w:left w:val="nil"/>
              <w:bottom w:val="nil"/>
              <w:right w:val="nil"/>
            </w:tcBorders>
            <w:noWrap/>
            <w:vAlign w:val="center"/>
            <w:hideMark/>
          </w:tcPr>
          <w:p w14:paraId="54203B7F"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2 971 918</w:t>
            </w:r>
          </w:p>
        </w:tc>
        <w:tc>
          <w:tcPr>
            <w:tcW w:w="638" w:type="pct"/>
            <w:tcBorders>
              <w:top w:val="nil"/>
              <w:left w:val="nil"/>
              <w:bottom w:val="nil"/>
              <w:right w:val="nil"/>
            </w:tcBorders>
            <w:noWrap/>
            <w:vAlign w:val="center"/>
            <w:hideMark/>
          </w:tcPr>
          <w:p w14:paraId="73975E16"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2 700 537</w:t>
            </w:r>
          </w:p>
        </w:tc>
      </w:tr>
      <w:tr w:rsidR="009F2253" w:rsidRPr="009F2253" w14:paraId="2674705D" w14:textId="77777777" w:rsidTr="0085799C">
        <w:trPr>
          <w:trHeight w:val="227"/>
          <w:jc w:val="center"/>
        </w:trPr>
        <w:tc>
          <w:tcPr>
            <w:tcW w:w="274" w:type="pct"/>
            <w:tcBorders>
              <w:top w:val="nil"/>
              <w:left w:val="nil"/>
              <w:bottom w:val="nil"/>
              <w:right w:val="nil"/>
            </w:tcBorders>
            <w:noWrap/>
            <w:vAlign w:val="center"/>
            <w:hideMark/>
          </w:tcPr>
          <w:p w14:paraId="7D14161A"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p>
        </w:tc>
        <w:tc>
          <w:tcPr>
            <w:tcW w:w="337" w:type="pct"/>
            <w:tcBorders>
              <w:top w:val="nil"/>
              <w:left w:val="nil"/>
              <w:bottom w:val="nil"/>
              <w:right w:val="nil"/>
            </w:tcBorders>
            <w:noWrap/>
            <w:vAlign w:val="center"/>
            <w:hideMark/>
          </w:tcPr>
          <w:p w14:paraId="06A0D3D7" w14:textId="60A59C3D"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Ostatné_sociálne_náklady" w:history="1">
              <w:r w:rsidRPr="00E760C1">
                <w:rPr>
                  <w:rStyle w:val="Hypertextovprepojenie"/>
                  <w:rFonts w:ascii="Times New Roman" w:hAnsi="Times New Roman"/>
                  <w:i/>
                  <w:iCs/>
                  <w:sz w:val="19"/>
                  <w:szCs w:val="19"/>
                  <w:lang w:eastAsia="sk-SK"/>
                </w:rPr>
                <w:t>70</w:t>
              </w:r>
            </w:hyperlink>
          </w:p>
        </w:tc>
        <w:tc>
          <w:tcPr>
            <w:tcW w:w="3114" w:type="pct"/>
            <w:tcBorders>
              <w:top w:val="nil"/>
              <w:left w:val="nil"/>
              <w:bottom w:val="nil"/>
              <w:right w:val="nil"/>
            </w:tcBorders>
            <w:noWrap/>
            <w:vAlign w:val="center"/>
            <w:hideMark/>
          </w:tcPr>
          <w:p w14:paraId="62EBA443"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 xml:space="preserve">            ostatné sociálne náklady</w:t>
            </w:r>
          </w:p>
        </w:tc>
        <w:tc>
          <w:tcPr>
            <w:tcW w:w="638" w:type="pct"/>
            <w:tcBorders>
              <w:top w:val="nil"/>
              <w:left w:val="nil"/>
              <w:bottom w:val="nil"/>
              <w:right w:val="nil"/>
            </w:tcBorders>
            <w:noWrap/>
            <w:vAlign w:val="center"/>
            <w:hideMark/>
          </w:tcPr>
          <w:p w14:paraId="05099149"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868 822</w:t>
            </w:r>
          </w:p>
        </w:tc>
        <w:tc>
          <w:tcPr>
            <w:tcW w:w="638" w:type="pct"/>
            <w:tcBorders>
              <w:top w:val="nil"/>
              <w:left w:val="nil"/>
              <w:bottom w:val="nil"/>
              <w:right w:val="nil"/>
            </w:tcBorders>
            <w:noWrap/>
            <w:vAlign w:val="center"/>
            <w:hideMark/>
          </w:tcPr>
          <w:p w14:paraId="5B17430F"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787 117</w:t>
            </w:r>
          </w:p>
        </w:tc>
      </w:tr>
      <w:tr w:rsidR="009F2253" w:rsidRPr="009F2253" w14:paraId="51F4DFA0" w14:textId="77777777" w:rsidTr="0085799C">
        <w:trPr>
          <w:trHeight w:val="227"/>
          <w:jc w:val="center"/>
        </w:trPr>
        <w:tc>
          <w:tcPr>
            <w:tcW w:w="274" w:type="pct"/>
            <w:tcBorders>
              <w:top w:val="nil"/>
              <w:left w:val="nil"/>
              <w:bottom w:val="nil"/>
              <w:right w:val="nil"/>
            </w:tcBorders>
            <w:noWrap/>
            <w:vAlign w:val="center"/>
            <w:hideMark/>
          </w:tcPr>
          <w:p w14:paraId="5C07786D"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IV.</w:t>
            </w:r>
          </w:p>
        </w:tc>
        <w:tc>
          <w:tcPr>
            <w:tcW w:w="337" w:type="pct"/>
            <w:tcBorders>
              <w:top w:val="nil"/>
              <w:left w:val="nil"/>
              <w:bottom w:val="nil"/>
              <w:right w:val="nil"/>
            </w:tcBorders>
            <w:noWrap/>
            <w:vAlign w:val="center"/>
            <w:hideMark/>
          </w:tcPr>
          <w:p w14:paraId="25A3C2DE"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p>
        </w:tc>
        <w:tc>
          <w:tcPr>
            <w:tcW w:w="3114" w:type="pct"/>
            <w:tcBorders>
              <w:top w:val="nil"/>
              <w:left w:val="nil"/>
              <w:bottom w:val="nil"/>
              <w:right w:val="nil"/>
            </w:tcBorders>
            <w:noWrap/>
            <w:vAlign w:val="center"/>
            <w:hideMark/>
          </w:tcPr>
          <w:p w14:paraId="16778D40" w14:textId="77777777" w:rsidR="009F2253" w:rsidRPr="009F2253" w:rsidRDefault="009F2253" w:rsidP="009F2253">
            <w:pPr>
              <w:spacing w:after="0" w:line="240" w:lineRule="auto"/>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Odpisy, rezervy a opravné položky</w:t>
            </w:r>
          </w:p>
        </w:tc>
        <w:tc>
          <w:tcPr>
            <w:tcW w:w="638" w:type="pct"/>
            <w:tcBorders>
              <w:top w:val="nil"/>
              <w:left w:val="nil"/>
              <w:bottom w:val="nil"/>
              <w:right w:val="nil"/>
            </w:tcBorders>
            <w:noWrap/>
            <w:vAlign w:val="center"/>
            <w:hideMark/>
          </w:tcPr>
          <w:p w14:paraId="0372987C"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4 650 070</w:t>
            </w:r>
          </w:p>
        </w:tc>
        <w:tc>
          <w:tcPr>
            <w:tcW w:w="638" w:type="pct"/>
            <w:tcBorders>
              <w:top w:val="nil"/>
              <w:left w:val="nil"/>
              <w:bottom w:val="nil"/>
              <w:right w:val="nil"/>
            </w:tcBorders>
            <w:noWrap/>
            <w:vAlign w:val="center"/>
            <w:hideMark/>
          </w:tcPr>
          <w:p w14:paraId="5E50846B"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4 648 145</w:t>
            </w:r>
          </w:p>
        </w:tc>
      </w:tr>
      <w:tr w:rsidR="009F2253" w:rsidRPr="009F2253" w14:paraId="54A99C4A" w14:textId="77777777" w:rsidTr="0085799C">
        <w:trPr>
          <w:trHeight w:val="227"/>
          <w:jc w:val="center"/>
        </w:trPr>
        <w:tc>
          <w:tcPr>
            <w:tcW w:w="274" w:type="pct"/>
            <w:tcBorders>
              <w:top w:val="nil"/>
              <w:left w:val="nil"/>
              <w:bottom w:val="nil"/>
              <w:right w:val="nil"/>
            </w:tcBorders>
            <w:noWrap/>
            <w:vAlign w:val="center"/>
            <w:hideMark/>
          </w:tcPr>
          <w:p w14:paraId="3A33E666"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p>
        </w:tc>
        <w:tc>
          <w:tcPr>
            <w:tcW w:w="337" w:type="pct"/>
            <w:tcBorders>
              <w:top w:val="nil"/>
              <w:left w:val="nil"/>
              <w:bottom w:val="nil"/>
              <w:right w:val="nil"/>
            </w:tcBorders>
            <w:noWrap/>
            <w:vAlign w:val="center"/>
            <w:hideMark/>
          </w:tcPr>
          <w:p w14:paraId="741AB8C2" w14:textId="1D858C84"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Odpisy_dlhodobého_majetku" w:history="1">
              <w:r w:rsidRPr="00E760C1">
                <w:rPr>
                  <w:rStyle w:val="Hypertextovprepojenie"/>
                  <w:rFonts w:ascii="Times New Roman" w:hAnsi="Times New Roman"/>
                  <w:i/>
                  <w:iCs/>
                  <w:sz w:val="19"/>
                  <w:szCs w:val="19"/>
                  <w:lang w:eastAsia="sk-SK"/>
                </w:rPr>
                <w:t>71</w:t>
              </w:r>
            </w:hyperlink>
          </w:p>
        </w:tc>
        <w:tc>
          <w:tcPr>
            <w:tcW w:w="3114" w:type="pct"/>
            <w:tcBorders>
              <w:top w:val="nil"/>
              <w:left w:val="nil"/>
              <w:bottom w:val="nil"/>
              <w:right w:val="nil"/>
            </w:tcBorders>
            <w:noWrap/>
            <w:vAlign w:val="center"/>
            <w:hideMark/>
          </w:tcPr>
          <w:p w14:paraId="402EE549"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v tom   odpisy dlhodobého majetku</w:t>
            </w:r>
          </w:p>
        </w:tc>
        <w:tc>
          <w:tcPr>
            <w:tcW w:w="638" w:type="pct"/>
            <w:tcBorders>
              <w:top w:val="nil"/>
              <w:left w:val="nil"/>
              <w:bottom w:val="nil"/>
              <w:right w:val="nil"/>
            </w:tcBorders>
            <w:noWrap/>
            <w:vAlign w:val="center"/>
            <w:hideMark/>
          </w:tcPr>
          <w:p w14:paraId="621EF044"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2 428 004</w:t>
            </w:r>
          </w:p>
        </w:tc>
        <w:tc>
          <w:tcPr>
            <w:tcW w:w="638" w:type="pct"/>
            <w:tcBorders>
              <w:top w:val="nil"/>
              <w:left w:val="nil"/>
              <w:bottom w:val="nil"/>
              <w:right w:val="nil"/>
            </w:tcBorders>
            <w:noWrap/>
            <w:vAlign w:val="center"/>
            <w:hideMark/>
          </w:tcPr>
          <w:p w14:paraId="57F45D3C"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2 205 781</w:t>
            </w:r>
          </w:p>
        </w:tc>
      </w:tr>
      <w:tr w:rsidR="009F2253" w:rsidRPr="009F2253" w14:paraId="38E39F35" w14:textId="77777777" w:rsidTr="0085799C">
        <w:trPr>
          <w:trHeight w:val="227"/>
          <w:jc w:val="center"/>
        </w:trPr>
        <w:tc>
          <w:tcPr>
            <w:tcW w:w="274" w:type="pct"/>
            <w:tcBorders>
              <w:top w:val="nil"/>
              <w:left w:val="nil"/>
              <w:bottom w:val="nil"/>
              <w:right w:val="nil"/>
            </w:tcBorders>
            <w:noWrap/>
            <w:vAlign w:val="center"/>
            <w:hideMark/>
          </w:tcPr>
          <w:p w14:paraId="09DDA664"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p>
        </w:tc>
        <w:tc>
          <w:tcPr>
            <w:tcW w:w="337" w:type="pct"/>
            <w:tcBorders>
              <w:top w:val="nil"/>
              <w:left w:val="nil"/>
              <w:bottom w:val="nil"/>
              <w:right w:val="nil"/>
            </w:tcBorders>
            <w:noWrap/>
            <w:vAlign w:val="center"/>
            <w:hideMark/>
          </w:tcPr>
          <w:p w14:paraId="17450633" w14:textId="00C3E526"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Rezervy_1" w:history="1">
              <w:r w:rsidRPr="00E760C1">
                <w:rPr>
                  <w:rStyle w:val="Hypertextovprepojenie"/>
                  <w:rFonts w:ascii="Times New Roman" w:hAnsi="Times New Roman"/>
                  <w:i/>
                  <w:iCs/>
                  <w:sz w:val="19"/>
                  <w:szCs w:val="19"/>
                  <w:lang w:eastAsia="sk-SK"/>
                </w:rPr>
                <w:t>72</w:t>
              </w:r>
            </w:hyperlink>
          </w:p>
        </w:tc>
        <w:tc>
          <w:tcPr>
            <w:tcW w:w="3114" w:type="pct"/>
            <w:tcBorders>
              <w:top w:val="nil"/>
              <w:left w:val="nil"/>
              <w:bottom w:val="nil"/>
              <w:right w:val="nil"/>
            </w:tcBorders>
            <w:noWrap/>
            <w:vAlign w:val="center"/>
            <w:hideMark/>
          </w:tcPr>
          <w:p w14:paraId="4E0B8B06"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 xml:space="preserve">            rezervy</w:t>
            </w:r>
          </w:p>
        </w:tc>
        <w:tc>
          <w:tcPr>
            <w:tcW w:w="638" w:type="pct"/>
            <w:tcBorders>
              <w:top w:val="nil"/>
              <w:left w:val="nil"/>
              <w:bottom w:val="nil"/>
              <w:right w:val="nil"/>
            </w:tcBorders>
            <w:noWrap/>
            <w:vAlign w:val="center"/>
            <w:hideMark/>
          </w:tcPr>
          <w:p w14:paraId="2BE13D5F"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1 074 920</w:t>
            </w:r>
          </w:p>
        </w:tc>
        <w:tc>
          <w:tcPr>
            <w:tcW w:w="638" w:type="pct"/>
            <w:tcBorders>
              <w:top w:val="nil"/>
              <w:left w:val="nil"/>
              <w:bottom w:val="nil"/>
              <w:right w:val="nil"/>
            </w:tcBorders>
            <w:noWrap/>
            <w:vAlign w:val="center"/>
            <w:hideMark/>
          </w:tcPr>
          <w:p w14:paraId="7AFC3755"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1 174 504</w:t>
            </w:r>
          </w:p>
        </w:tc>
      </w:tr>
      <w:tr w:rsidR="009F2253" w:rsidRPr="009F2253" w14:paraId="480721EC" w14:textId="77777777" w:rsidTr="0085799C">
        <w:trPr>
          <w:trHeight w:val="227"/>
          <w:jc w:val="center"/>
        </w:trPr>
        <w:tc>
          <w:tcPr>
            <w:tcW w:w="274" w:type="pct"/>
            <w:tcBorders>
              <w:top w:val="nil"/>
              <w:left w:val="nil"/>
              <w:bottom w:val="nil"/>
              <w:right w:val="nil"/>
            </w:tcBorders>
            <w:noWrap/>
            <w:vAlign w:val="center"/>
            <w:hideMark/>
          </w:tcPr>
          <w:p w14:paraId="0F5F7A51"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p>
        </w:tc>
        <w:tc>
          <w:tcPr>
            <w:tcW w:w="337" w:type="pct"/>
            <w:tcBorders>
              <w:top w:val="nil"/>
              <w:left w:val="nil"/>
              <w:bottom w:val="nil"/>
              <w:right w:val="nil"/>
            </w:tcBorders>
            <w:noWrap/>
            <w:vAlign w:val="center"/>
            <w:hideMark/>
          </w:tcPr>
          <w:p w14:paraId="5CE42288" w14:textId="155E5584"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Opravné_položky_1" w:history="1">
              <w:r w:rsidRPr="00E760C1">
                <w:rPr>
                  <w:rStyle w:val="Hypertextovprepojenie"/>
                  <w:rFonts w:ascii="Times New Roman" w:hAnsi="Times New Roman"/>
                  <w:i/>
                  <w:iCs/>
                  <w:sz w:val="19"/>
                  <w:szCs w:val="19"/>
                  <w:lang w:eastAsia="sk-SK"/>
                </w:rPr>
                <w:t>73</w:t>
              </w:r>
            </w:hyperlink>
          </w:p>
        </w:tc>
        <w:tc>
          <w:tcPr>
            <w:tcW w:w="3114" w:type="pct"/>
            <w:tcBorders>
              <w:top w:val="nil"/>
              <w:left w:val="nil"/>
              <w:bottom w:val="nil"/>
              <w:right w:val="nil"/>
            </w:tcBorders>
            <w:noWrap/>
            <w:vAlign w:val="center"/>
            <w:hideMark/>
          </w:tcPr>
          <w:p w14:paraId="370DA295"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 xml:space="preserve">           opravné položky</w:t>
            </w:r>
          </w:p>
        </w:tc>
        <w:tc>
          <w:tcPr>
            <w:tcW w:w="638" w:type="pct"/>
            <w:tcBorders>
              <w:top w:val="nil"/>
              <w:left w:val="nil"/>
              <w:bottom w:val="nil"/>
              <w:right w:val="nil"/>
            </w:tcBorders>
            <w:noWrap/>
            <w:vAlign w:val="center"/>
            <w:hideMark/>
          </w:tcPr>
          <w:p w14:paraId="21230C8A"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1 147 146</w:t>
            </w:r>
          </w:p>
        </w:tc>
        <w:tc>
          <w:tcPr>
            <w:tcW w:w="638" w:type="pct"/>
            <w:tcBorders>
              <w:top w:val="nil"/>
              <w:left w:val="nil"/>
              <w:bottom w:val="nil"/>
              <w:right w:val="nil"/>
            </w:tcBorders>
            <w:noWrap/>
            <w:vAlign w:val="center"/>
            <w:hideMark/>
          </w:tcPr>
          <w:p w14:paraId="58A4DEE0"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1 267 860</w:t>
            </w:r>
          </w:p>
        </w:tc>
      </w:tr>
      <w:tr w:rsidR="009F2253" w:rsidRPr="009F2253" w14:paraId="6F26C922" w14:textId="77777777" w:rsidTr="0085799C">
        <w:trPr>
          <w:trHeight w:val="227"/>
          <w:jc w:val="center"/>
        </w:trPr>
        <w:tc>
          <w:tcPr>
            <w:tcW w:w="274" w:type="pct"/>
            <w:tcBorders>
              <w:top w:val="nil"/>
              <w:left w:val="nil"/>
              <w:bottom w:val="nil"/>
              <w:right w:val="nil"/>
            </w:tcBorders>
            <w:noWrap/>
            <w:vAlign w:val="center"/>
            <w:hideMark/>
          </w:tcPr>
          <w:p w14:paraId="54AD3FD0"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V.</w:t>
            </w:r>
          </w:p>
        </w:tc>
        <w:tc>
          <w:tcPr>
            <w:tcW w:w="337" w:type="pct"/>
            <w:tcBorders>
              <w:top w:val="nil"/>
              <w:left w:val="nil"/>
              <w:bottom w:val="nil"/>
              <w:right w:val="nil"/>
            </w:tcBorders>
            <w:noWrap/>
            <w:vAlign w:val="center"/>
            <w:hideMark/>
          </w:tcPr>
          <w:p w14:paraId="1575E9AE"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p>
        </w:tc>
        <w:tc>
          <w:tcPr>
            <w:tcW w:w="3114" w:type="pct"/>
            <w:tcBorders>
              <w:top w:val="nil"/>
              <w:left w:val="nil"/>
              <w:bottom w:val="nil"/>
              <w:right w:val="nil"/>
            </w:tcBorders>
            <w:noWrap/>
            <w:vAlign w:val="center"/>
            <w:hideMark/>
          </w:tcPr>
          <w:p w14:paraId="679266E4" w14:textId="77777777" w:rsidR="009F2253" w:rsidRPr="009F2253" w:rsidRDefault="009F2253" w:rsidP="009F2253">
            <w:pPr>
              <w:spacing w:after="0" w:line="240" w:lineRule="auto"/>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Ostatné náklady na prevádzkovú  činnosť</w:t>
            </w:r>
          </w:p>
        </w:tc>
        <w:tc>
          <w:tcPr>
            <w:tcW w:w="638" w:type="pct"/>
            <w:tcBorders>
              <w:top w:val="nil"/>
              <w:left w:val="nil"/>
              <w:bottom w:val="nil"/>
              <w:right w:val="nil"/>
            </w:tcBorders>
            <w:noWrap/>
            <w:vAlign w:val="center"/>
            <w:hideMark/>
          </w:tcPr>
          <w:p w14:paraId="768218E2"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5 577 370</w:t>
            </w:r>
          </w:p>
        </w:tc>
        <w:tc>
          <w:tcPr>
            <w:tcW w:w="638" w:type="pct"/>
            <w:tcBorders>
              <w:top w:val="nil"/>
              <w:left w:val="nil"/>
              <w:bottom w:val="nil"/>
              <w:right w:val="nil"/>
            </w:tcBorders>
            <w:noWrap/>
            <w:vAlign w:val="center"/>
            <w:hideMark/>
          </w:tcPr>
          <w:p w14:paraId="7801910E"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5 614 893</w:t>
            </w:r>
          </w:p>
        </w:tc>
      </w:tr>
      <w:tr w:rsidR="009F2253" w:rsidRPr="009F2253" w14:paraId="1846259F" w14:textId="77777777" w:rsidTr="0085799C">
        <w:trPr>
          <w:trHeight w:val="227"/>
          <w:jc w:val="center"/>
        </w:trPr>
        <w:tc>
          <w:tcPr>
            <w:tcW w:w="274" w:type="pct"/>
            <w:tcBorders>
              <w:top w:val="nil"/>
              <w:left w:val="nil"/>
              <w:bottom w:val="nil"/>
              <w:right w:val="nil"/>
            </w:tcBorders>
            <w:noWrap/>
            <w:vAlign w:val="center"/>
            <w:hideMark/>
          </w:tcPr>
          <w:p w14:paraId="3DFF11B7"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VI.</w:t>
            </w:r>
          </w:p>
        </w:tc>
        <w:tc>
          <w:tcPr>
            <w:tcW w:w="337" w:type="pct"/>
            <w:tcBorders>
              <w:top w:val="nil"/>
              <w:left w:val="nil"/>
              <w:bottom w:val="nil"/>
              <w:right w:val="nil"/>
            </w:tcBorders>
            <w:noWrap/>
            <w:vAlign w:val="center"/>
            <w:hideMark/>
          </w:tcPr>
          <w:p w14:paraId="7D5776C3"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p>
        </w:tc>
        <w:tc>
          <w:tcPr>
            <w:tcW w:w="3114" w:type="pct"/>
            <w:tcBorders>
              <w:top w:val="nil"/>
              <w:left w:val="nil"/>
              <w:bottom w:val="nil"/>
              <w:right w:val="nil"/>
            </w:tcBorders>
            <w:noWrap/>
            <w:vAlign w:val="center"/>
            <w:hideMark/>
          </w:tcPr>
          <w:p w14:paraId="1F741C84" w14:textId="77777777" w:rsidR="009F2253" w:rsidRPr="009F2253" w:rsidRDefault="009F2253" w:rsidP="009F2253">
            <w:pPr>
              <w:spacing w:after="0" w:line="240" w:lineRule="auto"/>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Finančné náklady</w:t>
            </w:r>
          </w:p>
        </w:tc>
        <w:tc>
          <w:tcPr>
            <w:tcW w:w="638" w:type="pct"/>
            <w:tcBorders>
              <w:top w:val="nil"/>
              <w:left w:val="nil"/>
              <w:bottom w:val="nil"/>
              <w:right w:val="nil"/>
            </w:tcBorders>
            <w:noWrap/>
            <w:vAlign w:val="center"/>
            <w:hideMark/>
          </w:tcPr>
          <w:p w14:paraId="4476A93A"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2 540 295</w:t>
            </w:r>
          </w:p>
        </w:tc>
        <w:tc>
          <w:tcPr>
            <w:tcW w:w="638" w:type="pct"/>
            <w:tcBorders>
              <w:top w:val="nil"/>
              <w:left w:val="nil"/>
              <w:bottom w:val="nil"/>
              <w:right w:val="nil"/>
            </w:tcBorders>
            <w:noWrap/>
            <w:vAlign w:val="center"/>
            <w:hideMark/>
          </w:tcPr>
          <w:p w14:paraId="1746F588"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2 201 466</w:t>
            </w:r>
          </w:p>
        </w:tc>
      </w:tr>
      <w:tr w:rsidR="009F2253" w:rsidRPr="009F2253" w14:paraId="69E26BC0" w14:textId="77777777" w:rsidTr="0085799C">
        <w:trPr>
          <w:trHeight w:val="227"/>
          <w:jc w:val="center"/>
        </w:trPr>
        <w:tc>
          <w:tcPr>
            <w:tcW w:w="274" w:type="pct"/>
            <w:tcBorders>
              <w:top w:val="nil"/>
              <w:left w:val="nil"/>
              <w:bottom w:val="nil"/>
              <w:right w:val="nil"/>
            </w:tcBorders>
            <w:noWrap/>
            <w:vAlign w:val="center"/>
            <w:hideMark/>
          </w:tcPr>
          <w:p w14:paraId="561DF59D"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p>
        </w:tc>
        <w:tc>
          <w:tcPr>
            <w:tcW w:w="337" w:type="pct"/>
            <w:tcBorders>
              <w:top w:val="nil"/>
              <w:left w:val="nil"/>
              <w:bottom w:val="nil"/>
              <w:right w:val="nil"/>
            </w:tcBorders>
            <w:noWrap/>
            <w:vAlign w:val="center"/>
            <w:hideMark/>
          </w:tcPr>
          <w:p w14:paraId="5664725B" w14:textId="23688AF4"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Úroky_1" w:history="1">
              <w:r w:rsidRPr="00E760C1">
                <w:rPr>
                  <w:rStyle w:val="Hypertextovprepojenie"/>
                  <w:rFonts w:ascii="Times New Roman" w:hAnsi="Times New Roman"/>
                  <w:i/>
                  <w:iCs/>
                  <w:sz w:val="19"/>
                  <w:szCs w:val="19"/>
                  <w:lang w:eastAsia="sk-SK"/>
                </w:rPr>
                <w:t>74</w:t>
              </w:r>
            </w:hyperlink>
          </w:p>
        </w:tc>
        <w:tc>
          <w:tcPr>
            <w:tcW w:w="3114" w:type="pct"/>
            <w:tcBorders>
              <w:top w:val="nil"/>
              <w:left w:val="nil"/>
              <w:bottom w:val="nil"/>
              <w:right w:val="nil"/>
            </w:tcBorders>
            <w:noWrap/>
            <w:vAlign w:val="center"/>
            <w:hideMark/>
          </w:tcPr>
          <w:p w14:paraId="66840398"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v tom    úroky</w:t>
            </w:r>
          </w:p>
        </w:tc>
        <w:tc>
          <w:tcPr>
            <w:tcW w:w="638" w:type="pct"/>
            <w:tcBorders>
              <w:top w:val="nil"/>
              <w:left w:val="nil"/>
              <w:bottom w:val="nil"/>
              <w:right w:val="nil"/>
            </w:tcBorders>
            <w:noWrap/>
            <w:vAlign w:val="center"/>
            <w:hideMark/>
          </w:tcPr>
          <w:p w14:paraId="718AC5B1"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1 932 988</w:t>
            </w:r>
          </w:p>
        </w:tc>
        <w:tc>
          <w:tcPr>
            <w:tcW w:w="638" w:type="pct"/>
            <w:tcBorders>
              <w:top w:val="nil"/>
              <w:left w:val="nil"/>
              <w:bottom w:val="nil"/>
              <w:right w:val="nil"/>
            </w:tcBorders>
            <w:noWrap/>
            <w:vAlign w:val="center"/>
            <w:hideMark/>
          </w:tcPr>
          <w:p w14:paraId="73CF1195"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1 521 487</w:t>
            </w:r>
          </w:p>
        </w:tc>
      </w:tr>
      <w:tr w:rsidR="009F2253" w:rsidRPr="009F2253" w14:paraId="4A3DCFF8" w14:textId="77777777" w:rsidTr="0085799C">
        <w:trPr>
          <w:trHeight w:val="227"/>
          <w:jc w:val="center"/>
        </w:trPr>
        <w:tc>
          <w:tcPr>
            <w:tcW w:w="274" w:type="pct"/>
            <w:tcBorders>
              <w:top w:val="nil"/>
              <w:left w:val="nil"/>
              <w:bottom w:val="nil"/>
              <w:right w:val="nil"/>
            </w:tcBorders>
            <w:noWrap/>
            <w:vAlign w:val="center"/>
            <w:hideMark/>
          </w:tcPr>
          <w:p w14:paraId="2E4C90DF"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p>
        </w:tc>
        <w:tc>
          <w:tcPr>
            <w:tcW w:w="337" w:type="pct"/>
            <w:tcBorders>
              <w:top w:val="nil"/>
              <w:left w:val="nil"/>
              <w:bottom w:val="nil"/>
              <w:right w:val="nil"/>
            </w:tcBorders>
            <w:noWrap/>
            <w:vAlign w:val="center"/>
            <w:hideMark/>
          </w:tcPr>
          <w:p w14:paraId="4A5E98F9" w14:textId="5DDC4328"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Kurzové_straty" w:history="1">
              <w:r w:rsidRPr="00E760C1">
                <w:rPr>
                  <w:rStyle w:val="Hypertextovprepojenie"/>
                  <w:rFonts w:ascii="Times New Roman" w:hAnsi="Times New Roman"/>
                  <w:i/>
                  <w:iCs/>
                  <w:sz w:val="19"/>
                  <w:szCs w:val="19"/>
                  <w:lang w:eastAsia="sk-SK"/>
                </w:rPr>
                <w:t>75</w:t>
              </w:r>
            </w:hyperlink>
          </w:p>
        </w:tc>
        <w:tc>
          <w:tcPr>
            <w:tcW w:w="3114" w:type="pct"/>
            <w:tcBorders>
              <w:top w:val="nil"/>
              <w:left w:val="nil"/>
              <w:bottom w:val="nil"/>
              <w:right w:val="nil"/>
            </w:tcBorders>
            <w:noWrap/>
            <w:vAlign w:val="center"/>
            <w:hideMark/>
          </w:tcPr>
          <w:p w14:paraId="2A1F59C2"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 xml:space="preserve">            kurzové straty</w:t>
            </w:r>
          </w:p>
        </w:tc>
        <w:tc>
          <w:tcPr>
            <w:tcW w:w="638" w:type="pct"/>
            <w:tcBorders>
              <w:top w:val="nil"/>
              <w:left w:val="nil"/>
              <w:bottom w:val="nil"/>
              <w:right w:val="nil"/>
            </w:tcBorders>
            <w:noWrap/>
            <w:vAlign w:val="center"/>
            <w:hideMark/>
          </w:tcPr>
          <w:p w14:paraId="0FC31E07"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66 000</w:t>
            </w:r>
          </w:p>
        </w:tc>
        <w:tc>
          <w:tcPr>
            <w:tcW w:w="638" w:type="pct"/>
            <w:tcBorders>
              <w:top w:val="nil"/>
              <w:left w:val="nil"/>
              <w:bottom w:val="nil"/>
              <w:right w:val="nil"/>
            </w:tcBorders>
            <w:noWrap/>
            <w:vAlign w:val="center"/>
            <w:hideMark/>
          </w:tcPr>
          <w:p w14:paraId="4B63AF02"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61 720</w:t>
            </w:r>
          </w:p>
        </w:tc>
      </w:tr>
      <w:tr w:rsidR="009F2253" w:rsidRPr="009F2253" w14:paraId="48316597" w14:textId="77777777" w:rsidTr="0085799C">
        <w:trPr>
          <w:trHeight w:val="227"/>
          <w:jc w:val="center"/>
        </w:trPr>
        <w:tc>
          <w:tcPr>
            <w:tcW w:w="274" w:type="pct"/>
            <w:tcBorders>
              <w:top w:val="nil"/>
              <w:left w:val="nil"/>
              <w:bottom w:val="nil"/>
              <w:right w:val="nil"/>
            </w:tcBorders>
            <w:noWrap/>
            <w:vAlign w:val="center"/>
            <w:hideMark/>
          </w:tcPr>
          <w:p w14:paraId="40603AAE"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p>
        </w:tc>
        <w:tc>
          <w:tcPr>
            <w:tcW w:w="337" w:type="pct"/>
            <w:tcBorders>
              <w:top w:val="nil"/>
              <w:left w:val="nil"/>
              <w:bottom w:val="nil"/>
              <w:right w:val="nil"/>
            </w:tcBorders>
            <w:noWrap/>
            <w:vAlign w:val="center"/>
            <w:hideMark/>
          </w:tcPr>
          <w:p w14:paraId="46B7FA08" w14:textId="7E001DFD"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Podiel_na_výsledku_1" w:history="1">
              <w:r w:rsidRPr="00E760C1">
                <w:rPr>
                  <w:rStyle w:val="Hypertextovprepojenie"/>
                  <w:rFonts w:ascii="Times New Roman" w:hAnsi="Times New Roman"/>
                  <w:i/>
                  <w:iCs/>
                  <w:sz w:val="19"/>
                  <w:szCs w:val="19"/>
                  <w:lang w:eastAsia="sk-SK"/>
                </w:rPr>
                <w:t>76</w:t>
              </w:r>
            </w:hyperlink>
          </w:p>
        </w:tc>
        <w:tc>
          <w:tcPr>
            <w:tcW w:w="3114" w:type="pct"/>
            <w:tcBorders>
              <w:top w:val="nil"/>
              <w:left w:val="nil"/>
              <w:bottom w:val="nil"/>
              <w:right w:val="nil"/>
            </w:tcBorders>
            <w:noWrap/>
            <w:vAlign w:val="center"/>
            <w:hideMark/>
          </w:tcPr>
          <w:p w14:paraId="1AFFD010"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 xml:space="preserve">            podiel na výsledku hospodárenia pridružených ÚJ </w:t>
            </w:r>
          </w:p>
        </w:tc>
        <w:tc>
          <w:tcPr>
            <w:tcW w:w="638" w:type="pct"/>
            <w:tcBorders>
              <w:top w:val="nil"/>
              <w:left w:val="nil"/>
              <w:bottom w:val="nil"/>
              <w:right w:val="nil"/>
            </w:tcBorders>
            <w:noWrap/>
            <w:vAlign w:val="center"/>
            <w:hideMark/>
          </w:tcPr>
          <w:p w14:paraId="62DDB068"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12 755</w:t>
            </w:r>
          </w:p>
        </w:tc>
        <w:tc>
          <w:tcPr>
            <w:tcW w:w="638" w:type="pct"/>
            <w:tcBorders>
              <w:top w:val="nil"/>
              <w:left w:val="nil"/>
              <w:bottom w:val="nil"/>
              <w:right w:val="nil"/>
            </w:tcBorders>
            <w:noWrap/>
            <w:vAlign w:val="center"/>
            <w:hideMark/>
          </w:tcPr>
          <w:p w14:paraId="6DC56144"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18 999</w:t>
            </w:r>
          </w:p>
        </w:tc>
      </w:tr>
      <w:tr w:rsidR="009F2253" w:rsidRPr="009F2253" w14:paraId="7D7BF2C1" w14:textId="77777777" w:rsidTr="0085799C">
        <w:trPr>
          <w:trHeight w:val="227"/>
          <w:jc w:val="center"/>
        </w:trPr>
        <w:tc>
          <w:tcPr>
            <w:tcW w:w="274" w:type="pct"/>
            <w:tcBorders>
              <w:top w:val="nil"/>
              <w:left w:val="nil"/>
              <w:bottom w:val="nil"/>
              <w:right w:val="nil"/>
            </w:tcBorders>
            <w:noWrap/>
            <w:vAlign w:val="center"/>
            <w:hideMark/>
          </w:tcPr>
          <w:p w14:paraId="2A131D4F"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p>
        </w:tc>
        <w:tc>
          <w:tcPr>
            <w:tcW w:w="337" w:type="pct"/>
            <w:tcBorders>
              <w:top w:val="nil"/>
              <w:left w:val="nil"/>
              <w:bottom w:val="nil"/>
              <w:right w:val="nil"/>
            </w:tcBorders>
            <w:noWrap/>
            <w:vAlign w:val="center"/>
            <w:hideMark/>
          </w:tcPr>
          <w:p w14:paraId="3A58362B" w14:textId="044DE71C" w:rsidR="009F2253" w:rsidRPr="009F2253" w:rsidRDefault="009F2253" w:rsidP="009F2253">
            <w:pPr>
              <w:spacing w:after="0" w:line="240" w:lineRule="auto"/>
              <w:jc w:val="center"/>
              <w:rPr>
                <w:rFonts w:ascii="Times New Roman" w:hAnsi="Times New Roman"/>
                <w:i/>
                <w:iCs/>
                <w:color w:val="000000"/>
                <w:sz w:val="19"/>
                <w:szCs w:val="19"/>
                <w:lang w:eastAsia="sk-SK"/>
              </w:rPr>
            </w:pPr>
            <w:hyperlink w:anchor="_Ostatné_finančné_náklady" w:history="1">
              <w:r w:rsidRPr="00E760C1">
                <w:rPr>
                  <w:rStyle w:val="Hypertextovprepojenie"/>
                  <w:rFonts w:ascii="Times New Roman" w:hAnsi="Times New Roman"/>
                  <w:i/>
                  <w:iCs/>
                  <w:sz w:val="19"/>
                  <w:szCs w:val="19"/>
                  <w:lang w:eastAsia="sk-SK"/>
                </w:rPr>
                <w:t>77</w:t>
              </w:r>
            </w:hyperlink>
          </w:p>
        </w:tc>
        <w:tc>
          <w:tcPr>
            <w:tcW w:w="3114" w:type="pct"/>
            <w:tcBorders>
              <w:top w:val="nil"/>
              <w:left w:val="nil"/>
              <w:bottom w:val="nil"/>
              <w:right w:val="nil"/>
            </w:tcBorders>
            <w:noWrap/>
            <w:vAlign w:val="center"/>
            <w:hideMark/>
          </w:tcPr>
          <w:p w14:paraId="6522DA9F"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 xml:space="preserve">            ostatné finančné náklady</w:t>
            </w:r>
          </w:p>
        </w:tc>
        <w:tc>
          <w:tcPr>
            <w:tcW w:w="638" w:type="pct"/>
            <w:tcBorders>
              <w:top w:val="nil"/>
              <w:left w:val="nil"/>
              <w:bottom w:val="nil"/>
              <w:right w:val="nil"/>
            </w:tcBorders>
            <w:noWrap/>
            <w:vAlign w:val="center"/>
            <w:hideMark/>
          </w:tcPr>
          <w:p w14:paraId="0529FF26"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528 552</w:t>
            </w:r>
          </w:p>
        </w:tc>
        <w:tc>
          <w:tcPr>
            <w:tcW w:w="638" w:type="pct"/>
            <w:tcBorders>
              <w:top w:val="nil"/>
              <w:left w:val="nil"/>
              <w:bottom w:val="nil"/>
              <w:right w:val="nil"/>
            </w:tcBorders>
            <w:noWrap/>
            <w:vAlign w:val="center"/>
            <w:hideMark/>
          </w:tcPr>
          <w:p w14:paraId="372E122C"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599 260</w:t>
            </w:r>
          </w:p>
        </w:tc>
      </w:tr>
      <w:tr w:rsidR="009F2253" w:rsidRPr="009F2253" w14:paraId="7BFB14AD" w14:textId="77777777" w:rsidTr="0085799C">
        <w:trPr>
          <w:trHeight w:val="227"/>
          <w:jc w:val="center"/>
        </w:trPr>
        <w:tc>
          <w:tcPr>
            <w:tcW w:w="274" w:type="pct"/>
            <w:tcBorders>
              <w:top w:val="nil"/>
              <w:left w:val="nil"/>
              <w:bottom w:val="nil"/>
              <w:right w:val="nil"/>
            </w:tcBorders>
            <w:noWrap/>
            <w:vAlign w:val="center"/>
            <w:hideMark/>
          </w:tcPr>
          <w:p w14:paraId="171CCEFA"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VII.</w:t>
            </w:r>
          </w:p>
        </w:tc>
        <w:tc>
          <w:tcPr>
            <w:tcW w:w="337" w:type="pct"/>
            <w:tcBorders>
              <w:top w:val="nil"/>
              <w:left w:val="nil"/>
              <w:bottom w:val="nil"/>
              <w:right w:val="nil"/>
            </w:tcBorders>
            <w:noWrap/>
            <w:vAlign w:val="center"/>
            <w:hideMark/>
          </w:tcPr>
          <w:p w14:paraId="473CFFD9"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p>
        </w:tc>
        <w:tc>
          <w:tcPr>
            <w:tcW w:w="3114" w:type="pct"/>
            <w:tcBorders>
              <w:top w:val="nil"/>
              <w:left w:val="nil"/>
              <w:bottom w:val="nil"/>
              <w:right w:val="nil"/>
            </w:tcBorders>
            <w:noWrap/>
            <w:vAlign w:val="center"/>
            <w:hideMark/>
          </w:tcPr>
          <w:p w14:paraId="0A2FF610" w14:textId="77777777" w:rsidR="009F2253" w:rsidRPr="009F2253" w:rsidRDefault="009F2253" w:rsidP="009F2253">
            <w:pPr>
              <w:spacing w:after="0" w:line="240" w:lineRule="auto"/>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Dane a poplatky</w:t>
            </w:r>
          </w:p>
        </w:tc>
        <w:tc>
          <w:tcPr>
            <w:tcW w:w="638" w:type="pct"/>
            <w:tcBorders>
              <w:top w:val="nil"/>
              <w:left w:val="nil"/>
              <w:bottom w:val="nil"/>
              <w:right w:val="nil"/>
            </w:tcBorders>
            <w:noWrap/>
            <w:vAlign w:val="center"/>
            <w:hideMark/>
          </w:tcPr>
          <w:p w14:paraId="6CFF6933"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36 001</w:t>
            </w:r>
          </w:p>
        </w:tc>
        <w:tc>
          <w:tcPr>
            <w:tcW w:w="638" w:type="pct"/>
            <w:tcBorders>
              <w:top w:val="nil"/>
              <w:left w:val="nil"/>
              <w:bottom w:val="nil"/>
              <w:right w:val="nil"/>
            </w:tcBorders>
            <w:noWrap/>
            <w:vAlign w:val="center"/>
            <w:hideMark/>
          </w:tcPr>
          <w:p w14:paraId="1D73BBDF"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40 434</w:t>
            </w:r>
          </w:p>
        </w:tc>
      </w:tr>
      <w:tr w:rsidR="009F2253" w:rsidRPr="009F2253" w14:paraId="1547A705" w14:textId="77777777" w:rsidTr="0085799C">
        <w:trPr>
          <w:trHeight w:val="227"/>
          <w:jc w:val="center"/>
        </w:trPr>
        <w:tc>
          <w:tcPr>
            <w:tcW w:w="274" w:type="pct"/>
            <w:tcBorders>
              <w:top w:val="nil"/>
              <w:left w:val="nil"/>
              <w:bottom w:val="single" w:sz="8" w:space="0" w:color="auto"/>
              <w:right w:val="nil"/>
            </w:tcBorders>
            <w:noWrap/>
            <w:vAlign w:val="center"/>
            <w:hideMark/>
          </w:tcPr>
          <w:p w14:paraId="6A5539AA" w14:textId="77777777" w:rsidR="009F2253" w:rsidRPr="009F2253" w:rsidRDefault="009F2253" w:rsidP="009F2253">
            <w:pPr>
              <w:spacing w:after="0" w:line="240" w:lineRule="auto"/>
              <w:jc w:val="center"/>
              <w:rPr>
                <w:rFonts w:ascii="Times New Roman" w:hAnsi="Times New Roman"/>
                <w:b/>
                <w:bCs/>
                <w:color w:val="FF0000"/>
                <w:sz w:val="20"/>
                <w:szCs w:val="20"/>
                <w:lang w:eastAsia="sk-SK"/>
              </w:rPr>
            </w:pPr>
            <w:r w:rsidRPr="009F2253">
              <w:rPr>
                <w:rFonts w:ascii="Times New Roman" w:hAnsi="Times New Roman"/>
                <w:b/>
                <w:bCs/>
                <w:color w:val="FF0000"/>
                <w:sz w:val="20"/>
                <w:szCs w:val="20"/>
                <w:lang w:eastAsia="sk-SK"/>
              </w:rPr>
              <w:t> </w:t>
            </w:r>
          </w:p>
        </w:tc>
        <w:tc>
          <w:tcPr>
            <w:tcW w:w="337" w:type="pct"/>
            <w:tcBorders>
              <w:top w:val="nil"/>
              <w:left w:val="nil"/>
              <w:bottom w:val="single" w:sz="8" w:space="0" w:color="auto"/>
              <w:right w:val="nil"/>
            </w:tcBorders>
            <w:noWrap/>
            <w:vAlign w:val="center"/>
            <w:hideMark/>
          </w:tcPr>
          <w:p w14:paraId="629222AC" w14:textId="77777777" w:rsidR="009F2253" w:rsidRPr="009F2253" w:rsidRDefault="009F2253" w:rsidP="009F2253">
            <w:pPr>
              <w:spacing w:after="0" w:line="240" w:lineRule="auto"/>
              <w:jc w:val="center"/>
              <w:rPr>
                <w:rFonts w:ascii="Times New Roman" w:hAnsi="Times New Roman"/>
                <w:b/>
                <w:bCs/>
                <w:color w:val="FF0000"/>
                <w:sz w:val="20"/>
                <w:szCs w:val="20"/>
                <w:lang w:eastAsia="sk-SK"/>
              </w:rPr>
            </w:pPr>
            <w:r w:rsidRPr="009F2253">
              <w:rPr>
                <w:rFonts w:ascii="Times New Roman" w:hAnsi="Times New Roman"/>
                <w:b/>
                <w:bCs/>
                <w:color w:val="FF0000"/>
                <w:sz w:val="20"/>
                <w:szCs w:val="20"/>
                <w:lang w:eastAsia="sk-SK"/>
              </w:rPr>
              <w:t> </w:t>
            </w:r>
          </w:p>
        </w:tc>
        <w:tc>
          <w:tcPr>
            <w:tcW w:w="3114" w:type="pct"/>
            <w:tcBorders>
              <w:top w:val="nil"/>
              <w:left w:val="nil"/>
              <w:bottom w:val="single" w:sz="8" w:space="0" w:color="auto"/>
              <w:right w:val="nil"/>
            </w:tcBorders>
            <w:noWrap/>
            <w:vAlign w:val="center"/>
            <w:hideMark/>
          </w:tcPr>
          <w:p w14:paraId="1B48FA40" w14:textId="77777777" w:rsidR="009F2253" w:rsidRPr="009F2253" w:rsidRDefault="009F2253" w:rsidP="009F2253">
            <w:pPr>
              <w:spacing w:after="0" w:line="240" w:lineRule="auto"/>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NÁKLADY  SPOLU (I. až VII.)</w:t>
            </w:r>
          </w:p>
        </w:tc>
        <w:tc>
          <w:tcPr>
            <w:tcW w:w="638" w:type="pct"/>
            <w:tcBorders>
              <w:top w:val="nil"/>
              <w:left w:val="nil"/>
              <w:bottom w:val="single" w:sz="8" w:space="0" w:color="auto"/>
              <w:right w:val="nil"/>
            </w:tcBorders>
            <w:noWrap/>
            <w:vAlign w:val="center"/>
            <w:hideMark/>
          </w:tcPr>
          <w:p w14:paraId="59B533F4"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75 470 170</w:t>
            </w:r>
          </w:p>
        </w:tc>
        <w:tc>
          <w:tcPr>
            <w:tcW w:w="638" w:type="pct"/>
            <w:tcBorders>
              <w:top w:val="nil"/>
              <w:left w:val="nil"/>
              <w:bottom w:val="single" w:sz="8" w:space="0" w:color="auto"/>
              <w:right w:val="nil"/>
            </w:tcBorders>
            <w:noWrap/>
            <w:vAlign w:val="center"/>
            <w:hideMark/>
          </w:tcPr>
          <w:p w14:paraId="1796F527"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74 660 086</w:t>
            </w:r>
          </w:p>
        </w:tc>
      </w:tr>
      <w:tr w:rsidR="009F2253" w:rsidRPr="009F2253" w14:paraId="2FA35AEF" w14:textId="77777777" w:rsidTr="0085799C">
        <w:trPr>
          <w:trHeight w:val="227"/>
          <w:jc w:val="center"/>
        </w:trPr>
        <w:tc>
          <w:tcPr>
            <w:tcW w:w="274" w:type="pct"/>
            <w:tcBorders>
              <w:top w:val="nil"/>
              <w:left w:val="nil"/>
              <w:bottom w:val="single" w:sz="8" w:space="0" w:color="auto"/>
              <w:right w:val="nil"/>
            </w:tcBorders>
            <w:shd w:val="clear" w:color="000000" w:fill="BDD7EE"/>
            <w:noWrap/>
            <w:vAlign w:val="center"/>
            <w:hideMark/>
          </w:tcPr>
          <w:p w14:paraId="78DF3A16" w14:textId="77777777" w:rsidR="009F2253" w:rsidRPr="009F2253" w:rsidRDefault="009F2253" w:rsidP="009F2253">
            <w:pPr>
              <w:spacing w:after="0" w:line="240" w:lineRule="auto"/>
              <w:jc w:val="center"/>
              <w:rPr>
                <w:rFonts w:ascii="Times New Roman" w:hAnsi="Times New Roman"/>
                <w:b/>
                <w:bCs/>
                <w:color w:val="FF0000"/>
                <w:sz w:val="20"/>
                <w:szCs w:val="20"/>
                <w:lang w:eastAsia="sk-SK"/>
              </w:rPr>
            </w:pPr>
            <w:r w:rsidRPr="009F2253">
              <w:rPr>
                <w:rFonts w:ascii="Times New Roman" w:hAnsi="Times New Roman"/>
                <w:b/>
                <w:bCs/>
                <w:color w:val="FF0000"/>
                <w:sz w:val="20"/>
                <w:szCs w:val="20"/>
                <w:lang w:eastAsia="sk-SK"/>
              </w:rPr>
              <w:t> </w:t>
            </w:r>
          </w:p>
        </w:tc>
        <w:tc>
          <w:tcPr>
            <w:tcW w:w="337" w:type="pct"/>
            <w:tcBorders>
              <w:top w:val="nil"/>
              <w:left w:val="nil"/>
              <w:bottom w:val="single" w:sz="8" w:space="0" w:color="auto"/>
              <w:right w:val="nil"/>
            </w:tcBorders>
            <w:shd w:val="clear" w:color="000000" w:fill="BDD7EE"/>
            <w:noWrap/>
            <w:vAlign w:val="center"/>
            <w:hideMark/>
          </w:tcPr>
          <w:p w14:paraId="26C464F1" w14:textId="77777777" w:rsidR="009F2253" w:rsidRPr="009F2253" w:rsidRDefault="009F2253" w:rsidP="009F2253">
            <w:pPr>
              <w:spacing w:after="0" w:line="240" w:lineRule="auto"/>
              <w:jc w:val="center"/>
              <w:rPr>
                <w:rFonts w:ascii="Times New Roman" w:hAnsi="Times New Roman"/>
                <w:b/>
                <w:bCs/>
                <w:color w:val="FF0000"/>
                <w:sz w:val="20"/>
                <w:szCs w:val="20"/>
                <w:lang w:eastAsia="sk-SK"/>
              </w:rPr>
            </w:pPr>
            <w:r w:rsidRPr="009F2253">
              <w:rPr>
                <w:rFonts w:ascii="Times New Roman" w:hAnsi="Times New Roman"/>
                <w:b/>
                <w:bCs/>
                <w:color w:val="FF0000"/>
                <w:sz w:val="20"/>
                <w:szCs w:val="20"/>
                <w:lang w:eastAsia="sk-SK"/>
              </w:rPr>
              <w:t> </w:t>
            </w:r>
          </w:p>
        </w:tc>
        <w:tc>
          <w:tcPr>
            <w:tcW w:w="3114" w:type="pct"/>
            <w:tcBorders>
              <w:top w:val="nil"/>
              <w:left w:val="nil"/>
              <w:bottom w:val="single" w:sz="8" w:space="0" w:color="auto"/>
              <w:right w:val="nil"/>
            </w:tcBorders>
            <w:shd w:val="clear" w:color="000000" w:fill="BDD7EE"/>
            <w:noWrap/>
            <w:vAlign w:val="center"/>
            <w:hideMark/>
          </w:tcPr>
          <w:p w14:paraId="57612A45" w14:textId="77777777" w:rsidR="009F2253" w:rsidRPr="009F2253" w:rsidRDefault="009F2253" w:rsidP="009F2253">
            <w:pPr>
              <w:spacing w:after="0" w:line="240" w:lineRule="auto"/>
              <w:jc w:val="center"/>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VÝSLEDOK HOSPODÁRENIA (Výnosy - Náklady)</w:t>
            </w:r>
          </w:p>
        </w:tc>
        <w:tc>
          <w:tcPr>
            <w:tcW w:w="638" w:type="pct"/>
            <w:tcBorders>
              <w:top w:val="nil"/>
              <w:left w:val="nil"/>
              <w:bottom w:val="single" w:sz="8" w:space="0" w:color="auto"/>
              <w:right w:val="nil"/>
            </w:tcBorders>
            <w:shd w:val="clear" w:color="000000" w:fill="BDD7EE"/>
            <w:noWrap/>
            <w:vAlign w:val="center"/>
            <w:hideMark/>
          </w:tcPr>
          <w:p w14:paraId="459F8629"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-5 400 306</w:t>
            </w:r>
          </w:p>
        </w:tc>
        <w:tc>
          <w:tcPr>
            <w:tcW w:w="638" w:type="pct"/>
            <w:tcBorders>
              <w:top w:val="nil"/>
              <w:left w:val="nil"/>
              <w:bottom w:val="single" w:sz="8" w:space="0" w:color="auto"/>
              <w:right w:val="nil"/>
            </w:tcBorders>
            <w:shd w:val="clear" w:color="000000" w:fill="BDD7EE"/>
            <w:noWrap/>
            <w:vAlign w:val="center"/>
            <w:hideMark/>
          </w:tcPr>
          <w:p w14:paraId="13EABEB8" w14:textId="77777777" w:rsidR="009F2253" w:rsidRPr="009F2253" w:rsidRDefault="009F2253" w:rsidP="009F2253">
            <w:pPr>
              <w:spacing w:after="0" w:line="240" w:lineRule="auto"/>
              <w:jc w:val="right"/>
              <w:rPr>
                <w:rFonts w:ascii="Times New Roman" w:hAnsi="Times New Roman"/>
                <w:b/>
                <w:bCs/>
                <w:color w:val="000000"/>
                <w:sz w:val="20"/>
                <w:szCs w:val="20"/>
                <w:lang w:eastAsia="sk-SK"/>
              </w:rPr>
            </w:pPr>
            <w:r w:rsidRPr="009F2253">
              <w:rPr>
                <w:rFonts w:ascii="Times New Roman" w:hAnsi="Times New Roman"/>
                <w:b/>
                <w:bCs/>
                <w:color w:val="000000"/>
                <w:sz w:val="20"/>
                <w:szCs w:val="20"/>
                <w:lang w:eastAsia="sk-SK"/>
              </w:rPr>
              <w:t>-2 602 470</w:t>
            </w:r>
          </w:p>
        </w:tc>
      </w:tr>
      <w:tr w:rsidR="009F2253" w:rsidRPr="009F2253" w14:paraId="40307A5F" w14:textId="77777777" w:rsidTr="0085799C">
        <w:trPr>
          <w:trHeight w:val="227"/>
          <w:jc w:val="center"/>
        </w:trPr>
        <w:tc>
          <w:tcPr>
            <w:tcW w:w="274" w:type="pct"/>
            <w:tcBorders>
              <w:top w:val="nil"/>
              <w:left w:val="nil"/>
              <w:bottom w:val="single" w:sz="8" w:space="0" w:color="auto"/>
              <w:right w:val="nil"/>
            </w:tcBorders>
            <w:noWrap/>
            <w:vAlign w:val="center"/>
            <w:hideMark/>
          </w:tcPr>
          <w:p w14:paraId="28E43E3E" w14:textId="77777777" w:rsidR="009F2253" w:rsidRPr="009F2253" w:rsidRDefault="009F2253" w:rsidP="009F2253">
            <w:pPr>
              <w:spacing w:after="0" w:line="240" w:lineRule="auto"/>
              <w:rPr>
                <w:rFonts w:ascii="Times New Roman" w:hAnsi="Times New Roman"/>
                <w:color w:val="FF0000"/>
                <w:szCs w:val="22"/>
                <w:lang w:eastAsia="sk-SK"/>
              </w:rPr>
            </w:pPr>
            <w:r w:rsidRPr="009F2253">
              <w:rPr>
                <w:rFonts w:ascii="Times New Roman" w:hAnsi="Times New Roman"/>
                <w:color w:val="FF0000"/>
                <w:szCs w:val="22"/>
                <w:lang w:eastAsia="sk-SK"/>
              </w:rPr>
              <w:t> </w:t>
            </w:r>
          </w:p>
        </w:tc>
        <w:tc>
          <w:tcPr>
            <w:tcW w:w="337" w:type="pct"/>
            <w:tcBorders>
              <w:top w:val="nil"/>
              <w:left w:val="nil"/>
              <w:bottom w:val="single" w:sz="8" w:space="0" w:color="auto"/>
              <w:right w:val="nil"/>
            </w:tcBorders>
            <w:noWrap/>
            <w:vAlign w:val="center"/>
            <w:hideMark/>
          </w:tcPr>
          <w:p w14:paraId="5734ABEF" w14:textId="77777777" w:rsidR="009F2253" w:rsidRPr="009F2253" w:rsidRDefault="009F2253" w:rsidP="009F2253">
            <w:pPr>
              <w:spacing w:after="0" w:line="240" w:lineRule="auto"/>
              <w:jc w:val="center"/>
              <w:rPr>
                <w:rFonts w:ascii="Times New Roman" w:hAnsi="Times New Roman"/>
                <w:i/>
                <w:iCs/>
                <w:color w:val="FF0000"/>
                <w:sz w:val="19"/>
                <w:szCs w:val="19"/>
                <w:lang w:eastAsia="sk-SK"/>
              </w:rPr>
            </w:pPr>
            <w:r w:rsidRPr="009F2253">
              <w:rPr>
                <w:rFonts w:ascii="Times New Roman" w:hAnsi="Times New Roman"/>
                <w:i/>
                <w:iCs/>
                <w:color w:val="FF0000"/>
                <w:sz w:val="19"/>
                <w:szCs w:val="19"/>
                <w:lang w:eastAsia="sk-SK"/>
              </w:rPr>
              <w:t> </w:t>
            </w:r>
          </w:p>
        </w:tc>
        <w:tc>
          <w:tcPr>
            <w:tcW w:w="3114" w:type="pct"/>
            <w:tcBorders>
              <w:top w:val="nil"/>
              <w:left w:val="nil"/>
              <w:bottom w:val="single" w:sz="8" w:space="0" w:color="auto"/>
              <w:right w:val="nil"/>
            </w:tcBorders>
            <w:noWrap/>
            <w:vAlign w:val="center"/>
            <w:hideMark/>
          </w:tcPr>
          <w:p w14:paraId="1AB4E0BE" w14:textId="77777777" w:rsidR="009F2253" w:rsidRPr="009F2253" w:rsidRDefault="009F2253" w:rsidP="009F2253">
            <w:pPr>
              <w:spacing w:after="0" w:line="240" w:lineRule="auto"/>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z toho   pripadajúci na podiely iných účtovných jednotiek</w:t>
            </w:r>
          </w:p>
        </w:tc>
        <w:tc>
          <w:tcPr>
            <w:tcW w:w="638" w:type="pct"/>
            <w:tcBorders>
              <w:top w:val="nil"/>
              <w:left w:val="nil"/>
              <w:bottom w:val="single" w:sz="8" w:space="0" w:color="auto"/>
              <w:right w:val="nil"/>
            </w:tcBorders>
            <w:noWrap/>
            <w:vAlign w:val="center"/>
            <w:hideMark/>
          </w:tcPr>
          <w:p w14:paraId="281EA899"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2 248</w:t>
            </w:r>
          </w:p>
        </w:tc>
        <w:tc>
          <w:tcPr>
            <w:tcW w:w="638" w:type="pct"/>
            <w:tcBorders>
              <w:top w:val="nil"/>
              <w:left w:val="nil"/>
              <w:bottom w:val="single" w:sz="8" w:space="0" w:color="auto"/>
              <w:right w:val="nil"/>
            </w:tcBorders>
            <w:noWrap/>
            <w:vAlign w:val="center"/>
            <w:hideMark/>
          </w:tcPr>
          <w:p w14:paraId="3B36CBAD" w14:textId="77777777" w:rsidR="009F2253" w:rsidRPr="009F2253" w:rsidRDefault="009F2253" w:rsidP="009F2253">
            <w:pPr>
              <w:spacing w:after="0" w:line="240" w:lineRule="auto"/>
              <w:jc w:val="right"/>
              <w:rPr>
                <w:rFonts w:ascii="Times New Roman" w:hAnsi="Times New Roman"/>
                <w:i/>
                <w:iCs/>
                <w:color w:val="000000"/>
                <w:sz w:val="19"/>
                <w:szCs w:val="19"/>
                <w:lang w:eastAsia="sk-SK"/>
              </w:rPr>
            </w:pPr>
            <w:r w:rsidRPr="009F2253">
              <w:rPr>
                <w:rFonts w:ascii="Times New Roman" w:hAnsi="Times New Roman"/>
                <w:i/>
                <w:iCs/>
                <w:color w:val="000000"/>
                <w:sz w:val="19"/>
                <w:szCs w:val="19"/>
                <w:lang w:eastAsia="sk-SK"/>
              </w:rPr>
              <w:t>2 735</w:t>
            </w:r>
          </w:p>
        </w:tc>
      </w:tr>
    </w:tbl>
    <w:p w14:paraId="270A6E50" w14:textId="77777777" w:rsidR="00B90870" w:rsidRPr="0085799C" w:rsidRDefault="00B90870" w:rsidP="0085799C">
      <w:pPr>
        <w:spacing w:after="0" w:line="240" w:lineRule="auto"/>
        <w:rPr>
          <w:rFonts w:ascii="Times New Roman" w:hAnsi="Times New Roman"/>
          <w:b/>
          <w:szCs w:val="22"/>
        </w:rPr>
      </w:pPr>
    </w:p>
    <w:p w14:paraId="0BDEB3F1" w14:textId="77777777" w:rsidR="00B90870" w:rsidRPr="0085799C" w:rsidRDefault="00B90870" w:rsidP="0085799C">
      <w:pPr>
        <w:spacing w:after="0" w:line="240" w:lineRule="auto"/>
        <w:rPr>
          <w:rFonts w:ascii="Times New Roman" w:hAnsi="Times New Roman"/>
          <w:b/>
          <w:szCs w:val="22"/>
        </w:rPr>
      </w:pPr>
    </w:p>
    <w:p w14:paraId="06B6F4DA" w14:textId="77777777" w:rsidR="00B90870" w:rsidRPr="0085799C" w:rsidRDefault="00B90870" w:rsidP="0085799C">
      <w:pPr>
        <w:spacing w:after="0" w:line="240" w:lineRule="auto"/>
        <w:rPr>
          <w:rFonts w:ascii="Times New Roman" w:hAnsi="Times New Roman"/>
          <w:b/>
          <w:szCs w:val="22"/>
        </w:rPr>
      </w:pPr>
    </w:p>
    <w:p w14:paraId="1BF1C00E" w14:textId="77777777" w:rsidR="00B90870" w:rsidRDefault="00B90870">
      <w:pPr>
        <w:spacing w:after="0" w:line="240" w:lineRule="auto"/>
        <w:rPr>
          <w:rFonts w:ascii="Times New Roman" w:hAnsi="Times New Roman"/>
          <w:b/>
          <w:szCs w:val="22"/>
        </w:rPr>
      </w:pPr>
    </w:p>
    <w:p w14:paraId="4D0F8559" w14:textId="77777777" w:rsidR="00505C0F" w:rsidRPr="0085799C" w:rsidRDefault="00505C0F" w:rsidP="0085799C">
      <w:pPr>
        <w:spacing w:after="0" w:line="240" w:lineRule="auto"/>
        <w:rPr>
          <w:rFonts w:ascii="Times New Roman" w:hAnsi="Times New Roman"/>
          <w:b/>
          <w:szCs w:val="22"/>
        </w:rPr>
      </w:pPr>
    </w:p>
    <w:p w14:paraId="4A9C9C3C" w14:textId="77777777" w:rsidR="00505C0F" w:rsidRPr="00907622" w:rsidRDefault="00505C0F" w:rsidP="00505C0F">
      <w:pPr>
        <w:spacing w:before="120" w:after="120" w:line="240" w:lineRule="auto"/>
        <w:jc w:val="both"/>
        <w:rPr>
          <w:rFonts w:ascii="Times New Roman" w:hAnsi="Times New Roman"/>
          <w:b/>
          <w:iCs/>
          <w:sz w:val="18"/>
          <w:szCs w:val="18"/>
        </w:rPr>
      </w:pPr>
      <w:r w:rsidRPr="00CB4D8B">
        <w:rPr>
          <w:rFonts w:ascii="Times New Roman" w:hAnsi="Times New Roman"/>
        </w:rPr>
        <w:br w:type="page"/>
      </w:r>
    </w:p>
    <w:p w14:paraId="682200CA" w14:textId="7E891707" w:rsidR="00647542" w:rsidRPr="00907622" w:rsidRDefault="001F47C9" w:rsidP="0085799C">
      <w:pPr>
        <w:pStyle w:val="IHLAVN"/>
        <w:rPr>
          <w:sz w:val="26"/>
          <w:szCs w:val="26"/>
        </w:rPr>
      </w:pPr>
      <w:r>
        <w:lastRenderedPageBreak/>
        <w:t xml:space="preserve">I. </w:t>
      </w:r>
      <w:r w:rsidR="00647542" w:rsidRPr="0085799C">
        <w:t>V</w:t>
      </w:r>
      <w:r w:rsidR="008F7F1C">
        <w:t>ŠEOBENÉ ÚDAJE A ZVEREJNENIA</w:t>
      </w:r>
    </w:p>
    <w:p w14:paraId="7B85303A" w14:textId="6C4559E2" w:rsidR="00647542" w:rsidRPr="008F3072" w:rsidRDefault="001F47C9" w:rsidP="0085799C">
      <w:pPr>
        <w:pStyle w:val="Nadpis2"/>
      </w:pPr>
      <w:r>
        <w:t xml:space="preserve">1. </w:t>
      </w:r>
      <w:r w:rsidR="00647542" w:rsidRPr="008F3072">
        <w:t>Právny dôvod na zostavenie súhrnnej účtovnej závierky verejnej správy Slovenskej republiky</w:t>
      </w:r>
    </w:p>
    <w:p w14:paraId="3F982206" w14:textId="3DB334F3" w:rsidR="00647542" w:rsidRPr="00907622" w:rsidRDefault="00647542" w:rsidP="00647542">
      <w:pPr>
        <w:spacing w:after="120" w:line="240" w:lineRule="auto"/>
        <w:jc w:val="both"/>
        <w:rPr>
          <w:rFonts w:ascii="Times New Roman" w:hAnsi="Times New Roman"/>
          <w:szCs w:val="22"/>
        </w:rPr>
      </w:pPr>
      <w:r w:rsidRPr="00907622">
        <w:rPr>
          <w:rFonts w:ascii="Times New Roman" w:hAnsi="Times New Roman"/>
          <w:szCs w:val="22"/>
        </w:rPr>
        <w:t>Súhrnná účtovná závierka verejnej správy Slovenskej republiky (ďalej aj ako ,,S</w:t>
      </w:r>
      <w:r w:rsidR="00BF328F" w:rsidRPr="00907622">
        <w:rPr>
          <w:rFonts w:ascii="Times New Roman" w:hAnsi="Times New Roman"/>
          <w:szCs w:val="22"/>
        </w:rPr>
        <w:t>Ú</w:t>
      </w:r>
      <w:r w:rsidRPr="00907622">
        <w:rPr>
          <w:rFonts w:ascii="Times New Roman" w:hAnsi="Times New Roman"/>
          <w:szCs w:val="22"/>
        </w:rPr>
        <w:t xml:space="preserve">Z“) bola zostavená v súlade so zákonom č. 431/2002 Z. z. o účtovníctve v znení neskorších predpisov (ďalej len ,,zákon o účtovníctve“). Primerane boli použité aj ustanovenia </w:t>
      </w:r>
      <w:r w:rsidR="00BF328F" w:rsidRPr="00907622">
        <w:rPr>
          <w:rFonts w:ascii="Times New Roman" w:hAnsi="Times New Roman"/>
          <w:szCs w:val="22"/>
        </w:rPr>
        <w:t>o</w:t>
      </w:r>
      <w:r w:rsidRPr="00907622">
        <w:rPr>
          <w:rFonts w:ascii="Times New Roman" w:hAnsi="Times New Roman"/>
          <w:szCs w:val="22"/>
        </w:rPr>
        <w:t>patrenia Ministerstva financií Slovenskej republiky zo dňa 17. decembra 2008 č. MF/27526/2008–31 v</w:t>
      </w:r>
      <w:r w:rsidR="00F87944">
        <w:rPr>
          <w:rFonts w:ascii="Times New Roman" w:hAnsi="Times New Roman"/>
          <w:szCs w:val="22"/>
        </w:rPr>
        <w:t xml:space="preserve"> </w:t>
      </w:r>
      <w:r w:rsidRPr="00907622">
        <w:rPr>
          <w:rFonts w:ascii="Times New Roman" w:hAnsi="Times New Roman"/>
          <w:szCs w:val="22"/>
        </w:rPr>
        <w:t>znení neskorších predpisov, ktorým sa ustanovujú podrobnosti o metódach a postupoch konsolidácie vo verejnej správe a podrobnosti o</w:t>
      </w:r>
      <w:r w:rsidR="00F87944">
        <w:rPr>
          <w:rFonts w:ascii="Times New Roman" w:hAnsi="Times New Roman"/>
          <w:szCs w:val="22"/>
        </w:rPr>
        <w:t xml:space="preserve"> </w:t>
      </w:r>
      <w:r w:rsidRPr="00907622">
        <w:rPr>
          <w:rFonts w:ascii="Times New Roman" w:hAnsi="Times New Roman"/>
          <w:szCs w:val="22"/>
        </w:rPr>
        <w:t>usporiadaní a označovaní položiek konsolidovanej účtovnej závierky ústrednej správy (ďalej len ,,opatrenie“), a</w:t>
      </w:r>
      <w:r w:rsidR="00CC2829">
        <w:rPr>
          <w:rFonts w:ascii="Times New Roman" w:hAnsi="Times New Roman"/>
          <w:szCs w:val="22"/>
        </w:rPr>
        <w:t xml:space="preserve"> </w:t>
      </w:r>
      <w:r w:rsidRPr="00907622">
        <w:rPr>
          <w:rFonts w:ascii="Times New Roman" w:hAnsi="Times New Roman"/>
          <w:szCs w:val="22"/>
        </w:rPr>
        <w:t>to v</w:t>
      </w:r>
      <w:r w:rsidR="00CC2829">
        <w:rPr>
          <w:rFonts w:ascii="Times New Roman" w:hAnsi="Times New Roman"/>
          <w:szCs w:val="22"/>
        </w:rPr>
        <w:t xml:space="preserve"> </w:t>
      </w:r>
      <w:r w:rsidRPr="00907622">
        <w:rPr>
          <w:rFonts w:ascii="Times New Roman" w:hAnsi="Times New Roman"/>
          <w:szCs w:val="22"/>
        </w:rPr>
        <w:t>oblasti použitých metód konsolidácie a</w:t>
      </w:r>
      <w:r w:rsidR="00CC2829">
        <w:rPr>
          <w:rFonts w:ascii="Times New Roman" w:hAnsi="Times New Roman"/>
          <w:szCs w:val="22"/>
        </w:rPr>
        <w:t xml:space="preserve"> </w:t>
      </w:r>
      <w:r w:rsidRPr="00907622">
        <w:rPr>
          <w:rFonts w:ascii="Times New Roman" w:hAnsi="Times New Roman"/>
          <w:szCs w:val="22"/>
        </w:rPr>
        <w:t xml:space="preserve">postupu konsolidácie. </w:t>
      </w:r>
    </w:p>
    <w:p w14:paraId="4A5E0AE2" w14:textId="54F651CA" w:rsidR="00647542" w:rsidRPr="00907622" w:rsidRDefault="00647542" w:rsidP="00647542">
      <w:pPr>
        <w:spacing w:after="120" w:line="240" w:lineRule="auto"/>
        <w:jc w:val="both"/>
        <w:rPr>
          <w:rFonts w:ascii="Times New Roman" w:hAnsi="Times New Roman"/>
          <w:szCs w:val="22"/>
        </w:rPr>
      </w:pPr>
      <w:r w:rsidRPr="00907622">
        <w:rPr>
          <w:rFonts w:ascii="Times New Roman" w:hAnsi="Times New Roman"/>
          <w:szCs w:val="22"/>
        </w:rPr>
        <w:t>Súhrnná účtovná závierka verejnej správy je sprístupnená k nahliadnutiu v sídle konsolidujúcej účtovnej jednotky, ktorou je Ministerstvo financií Slovenskej republiky. V</w:t>
      </w:r>
      <w:r w:rsidR="00F87944">
        <w:rPr>
          <w:rFonts w:ascii="Times New Roman" w:hAnsi="Times New Roman"/>
          <w:szCs w:val="22"/>
        </w:rPr>
        <w:t xml:space="preserve"> </w:t>
      </w:r>
      <w:r w:rsidRPr="00907622">
        <w:rPr>
          <w:rFonts w:ascii="Times New Roman" w:hAnsi="Times New Roman"/>
          <w:szCs w:val="22"/>
        </w:rPr>
        <w:t>elektronickej podobe je súhrnná účtovná závierka uložená aj v</w:t>
      </w:r>
      <w:r w:rsidR="00F87944">
        <w:rPr>
          <w:rFonts w:ascii="Times New Roman" w:hAnsi="Times New Roman"/>
          <w:szCs w:val="22"/>
        </w:rPr>
        <w:t xml:space="preserve"> </w:t>
      </w:r>
      <w:r w:rsidRPr="00907622">
        <w:rPr>
          <w:rFonts w:ascii="Times New Roman" w:hAnsi="Times New Roman"/>
          <w:szCs w:val="22"/>
        </w:rPr>
        <w:t xml:space="preserve">Registri účtovných závierok na webovom sídle </w:t>
      </w:r>
      <w:hyperlink r:id="rId15" w:history="1">
        <w:r w:rsidRPr="00907622">
          <w:rPr>
            <w:rStyle w:val="Hypertextovprepojenie"/>
            <w:rFonts w:ascii="Times New Roman" w:hAnsi="Times New Roman"/>
            <w:szCs w:val="22"/>
          </w:rPr>
          <w:t>www.registeruz.sk</w:t>
        </w:r>
      </w:hyperlink>
      <w:r w:rsidRPr="00907622">
        <w:rPr>
          <w:rFonts w:ascii="Times New Roman" w:hAnsi="Times New Roman"/>
          <w:szCs w:val="22"/>
        </w:rPr>
        <w:t>.</w:t>
      </w:r>
    </w:p>
    <w:p w14:paraId="466D01D9" w14:textId="6A2A393E" w:rsidR="00647542" w:rsidRPr="00907622" w:rsidRDefault="00647542" w:rsidP="00647542">
      <w:pPr>
        <w:spacing w:after="120" w:line="240" w:lineRule="auto"/>
        <w:jc w:val="both"/>
        <w:rPr>
          <w:rFonts w:ascii="Times New Roman" w:hAnsi="Times New Roman"/>
          <w:szCs w:val="22"/>
        </w:rPr>
      </w:pPr>
      <w:r w:rsidRPr="00907622">
        <w:rPr>
          <w:rFonts w:ascii="Times New Roman" w:hAnsi="Times New Roman"/>
          <w:szCs w:val="22"/>
        </w:rPr>
        <w:t>Súhrnná účtovná závierka verejnej správy bola spracovaná sčasti automatizovane prostredníctvom informačného systému Centrálny konsolidačný systém (</w:t>
      </w:r>
      <w:r w:rsidR="00BF328F" w:rsidRPr="00907622">
        <w:rPr>
          <w:rFonts w:ascii="Times New Roman" w:hAnsi="Times New Roman"/>
          <w:szCs w:val="22"/>
        </w:rPr>
        <w:t xml:space="preserve">IS </w:t>
      </w:r>
      <w:r w:rsidRPr="00907622">
        <w:rPr>
          <w:rFonts w:ascii="Times New Roman" w:hAnsi="Times New Roman"/>
          <w:szCs w:val="22"/>
        </w:rPr>
        <w:t>CKS), a</w:t>
      </w:r>
      <w:r w:rsidR="00F87944">
        <w:rPr>
          <w:rFonts w:ascii="Times New Roman" w:hAnsi="Times New Roman"/>
          <w:szCs w:val="22"/>
        </w:rPr>
        <w:t xml:space="preserve"> </w:t>
      </w:r>
      <w:r w:rsidRPr="00907622">
        <w:rPr>
          <w:rFonts w:ascii="Times New Roman" w:hAnsi="Times New Roman"/>
          <w:szCs w:val="22"/>
        </w:rPr>
        <w:t>sčasti manuálne na základe údajov a</w:t>
      </w:r>
      <w:r w:rsidR="00F87944">
        <w:rPr>
          <w:rFonts w:ascii="Times New Roman" w:hAnsi="Times New Roman"/>
          <w:szCs w:val="22"/>
        </w:rPr>
        <w:t xml:space="preserve"> </w:t>
      </w:r>
      <w:r w:rsidRPr="00907622">
        <w:rPr>
          <w:rFonts w:ascii="Times New Roman" w:hAnsi="Times New Roman"/>
          <w:szCs w:val="22"/>
        </w:rPr>
        <w:t>podkladov jednotlivých subjektov, ktoré ich predkladajú do IS CKS. Zároveň vychádza z</w:t>
      </w:r>
      <w:r w:rsidR="00F87944">
        <w:rPr>
          <w:rFonts w:ascii="Times New Roman" w:hAnsi="Times New Roman"/>
          <w:szCs w:val="22"/>
        </w:rPr>
        <w:t xml:space="preserve"> </w:t>
      </w:r>
      <w:r w:rsidRPr="00907622">
        <w:rPr>
          <w:rFonts w:ascii="Times New Roman" w:hAnsi="Times New Roman"/>
          <w:szCs w:val="22"/>
        </w:rPr>
        <w:t>auditovaných konsolidovaných účtovných závierok kapitol štátneho rozpočtu a</w:t>
      </w:r>
      <w:r w:rsidR="00F87944">
        <w:rPr>
          <w:rFonts w:ascii="Times New Roman" w:hAnsi="Times New Roman"/>
          <w:szCs w:val="22"/>
        </w:rPr>
        <w:t xml:space="preserve"> </w:t>
      </w:r>
      <w:r w:rsidRPr="00907622">
        <w:rPr>
          <w:rFonts w:ascii="Times New Roman" w:hAnsi="Times New Roman"/>
          <w:szCs w:val="22"/>
        </w:rPr>
        <w:t>vyšších územných celkov, auditovanej konsolidovanej účtovnej závierky ústrednej správy, auditovaných individuálnych a</w:t>
      </w:r>
      <w:r w:rsidR="00F87944">
        <w:rPr>
          <w:rFonts w:ascii="Times New Roman" w:hAnsi="Times New Roman"/>
          <w:szCs w:val="22"/>
        </w:rPr>
        <w:t xml:space="preserve"> </w:t>
      </w:r>
      <w:r w:rsidRPr="00907622">
        <w:rPr>
          <w:rFonts w:ascii="Times New Roman" w:hAnsi="Times New Roman"/>
          <w:szCs w:val="22"/>
        </w:rPr>
        <w:t>konsolidovaných účtovných závierok obcí a</w:t>
      </w:r>
      <w:r w:rsidR="00F87944">
        <w:rPr>
          <w:rFonts w:ascii="Times New Roman" w:hAnsi="Times New Roman"/>
          <w:szCs w:val="22"/>
        </w:rPr>
        <w:t xml:space="preserve"> </w:t>
      </w:r>
      <w:r w:rsidRPr="00907622">
        <w:rPr>
          <w:rFonts w:ascii="Times New Roman" w:hAnsi="Times New Roman"/>
          <w:szCs w:val="22"/>
        </w:rPr>
        <w:t>miest a</w:t>
      </w:r>
      <w:r w:rsidR="00F87944">
        <w:rPr>
          <w:rFonts w:ascii="Times New Roman" w:hAnsi="Times New Roman"/>
          <w:szCs w:val="22"/>
        </w:rPr>
        <w:t xml:space="preserve"> </w:t>
      </w:r>
      <w:r w:rsidRPr="00907622">
        <w:rPr>
          <w:rFonts w:ascii="Times New Roman" w:hAnsi="Times New Roman"/>
          <w:szCs w:val="22"/>
        </w:rPr>
        <w:t xml:space="preserve">obchodných spoločností, na ktoré sa povinnosť auditu vzťahuje. Samotná súhrnná účtovná závierka </w:t>
      </w:r>
      <w:r w:rsidR="00A02729">
        <w:rPr>
          <w:rFonts w:ascii="Times New Roman" w:hAnsi="Times New Roman"/>
          <w:szCs w:val="22"/>
        </w:rPr>
        <w:t>nepodlieha podľa zákona o účtovníctve štatutárnemu auditu.</w:t>
      </w:r>
      <w:r w:rsidRPr="00907622">
        <w:rPr>
          <w:rFonts w:ascii="Times New Roman" w:hAnsi="Times New Roman"/>
          <w:szCs w:val="22"/>
        </w:rPr>
        <w:t>.</w:t>
      </w:r>
    </w:p>
    <w:p w14:paraId="32181DE3" w14:textId="5FD7FA9E" w:rsidR="00647542" w:rsidRPr="00907622" w:rsidRDefault="00647542" w:rsidP="00647542">
      <w:pPr>
        <w:spacing w:after="0" w:line="240" w:lineRule="auto"/>
        <w:jc w:val="both"/>
        <w:rPr>
          <w:rFonts w:ascii="Times New Roman" w:hAnsi="Times New Roman"/>
          <w:szCs w:val="22"/>
        </w:rPr>
      </w:pPr>
      <w:r w:rsidRPr="00907622">
        <w:rPr>
          <w:rFonts w:ascii="Times New Roman" w:hAnsi="Times New Roman"/>
          <w:szCs w:val="22"/>
        </w:rPr>
        <w:t>Súhrnná účtovná závierka verejnej správy za rok 20</w:t>
      </w:r>
      <w:r w:rsidR="0009103B" w:rsidRPr="00907622">
        <w:rPr>
          <w:rFonts w:ascii="Times New Roman" w:hAnsi="Times New Roman"/>
          <w:szCs w:val="22"/>
        </w:rPr>
        <w:t>24</w:t>
      </w:r>
      <w:r w:rsidRPr="00907622">
        <w:rPr>
          <w:rFonts w:ascii="Times New Roman" w:hAnsi="Times New Roman"/>
          <w:szCs w:val="22"/>
        </w:rPr>
        <w:t xml:space="preserve"> bola spracovaná na základe agregácie údajov z:</w:t>
      </w:r>
    </w:p>
    <w:p w14:paraId="623F5CBD" w14:textId="77777777" w:rsidR="00647542" w:rsidRPr="00907622" w:rsidRDefault="00647542" w:rsidP="00647542">
      <w:pPr>
        <w:numPr>
          <w:ilvl w:val="0"/>
          <w:numId w:val="4"/>
        </w:numPr>
        <w:spacing w:after="0" w:line="240" w:lineRule="auto"/>
        <w:ind w:left="714" w:hanging="357"/>
        <w:jc w:val="both"/>
        <w:rPr>
          <w:rFonts w:ascii="Times New Roman" w:hAnsi="Times New Roman"/>
          <w:szCs w:val="22"/>
        </w:rPr>
      </w:pPr>
      <w:r w:rsidRPr="00907622">
        <w:rPr>
          <w:rFonts w:ascii="Times New Roman" w:hAnsi="Times New Roman"/>
          <w:szCs w:val="22"/>
        </w:rPr>
        <w:t>konsolidovanej účtovnej závierky ústrednej správy,</w:t>
      </w:r>
    </w:p>
    <w:p w14:paraId="33D59F3E" w14:textId="207E48D2" w:rsidR="00647542" w:rsidRPr="00907622" w:rsidRDefault="00647542" w:rsidP="00647542">
      <w:pPr>
        <w:numPr>
          <w:ilvl w:val="0"/>
          <w:numId w:val="4"/>
        </w:numPr>
        <w:spacing w:after="0" w:line="240" w:lineRule="auto"/>
        <w:ind w:left="714" w:hanging="357"/>
        <w:jc w:val="both"/>
        <w:rPr>
          <w:rFonts w:ascii="Times New Roman" w:hAnsi="Times New Roman"/>
          <w:szCs w:val="22"/>
        </w:rPr>
      </w:pPr>
      <w:r w:rsidRPr="00907622">
        <w:rPr>
          <w:rFonts w:ascii="Times New Roman" w:hAnsi="Times New Roman"/>
          <w:szCs w:val="22"/>
        </w:rPr>
        <w:t>konsolidovaných účtovných závierok obcí (1</w:t>
      </w:r>
      <w:r w:rsidR="006F065A">
        <w:rPr>
          <w:rFonts w:ascii="Times New Roman" w:hAnsi="Times New Roman"/>
          <w:szCs w:val="22"/>
        </w:rPr>
        <w:t> </w:t>
      </w:r>
      <w:r w:rsidRPr="00907622">
        <w:rPr>
          <w:rFonts w:ascii="Times New Roman" w:hAnsi="Times New Roman"/>
          <w:szCs w:val="22"/>
        </w:rPr>
        <w:t>14</w:t>
      </w:r>
      <w:r w:rsidR="00396CBB" w:rsidRPr="00907622">
        <w:rPr>
          <w:rFonts w:ascii="Times New Roman" w:hAnsi="Times New Roman"/>
          <w:szCs w:val="22"/>
        </w:rPr>
        <w:t>4</w:t>
      </w:r>
      <w:r w:rsidRPr="00907622">
        <w:rPr>
          <w:rFonts w:ascii="Times New Roman" w:hAnsi="Times New Roman"/>
          <w:szCs w:val="22"/>
        </w:rPr>
        <w:t>),</w:t>
      </w:r>
    </w:p>
    <w:p w14:paraId="254AEC89" w14:textId="77777777" w:rsidR="00647542" w:rsidRPr="00907622" w:rsidRDefault="00647542" w:rsidP="00647542">
      <w:pPr>
        <w:numPr>
          <w:ilvl w:val="0"/>
          <w:numId w:val="4"/>
        </w:numPr>
        <w:spacing w:after="0" w:line="240" w:lineRule="auto"/>
        <w:ind w:left="714" w:hanging="357"/>
        <w:jc w:val="both"/>
        <w:rPr>
          <w:rFonts w:ascii="Times New Roman" w:hAnsi="Times New Roman"/>
          <w:szCs w:val="22"/>
        </w:rPr>
      </w:pPr>
      <w:r w:rsidRPr="00907622">
        <w:rPr>
          <w:rFonts w:ascii="Times New Roman" w:hAnsi="Times New Roman"/>
          <w:szCs w:val="22"/>
        </w:rPr>
        <w:t>konsolidovaných účtovných závierok vyšších územných celkov (8),</w:t>
      </w:r>
    </w:p>
    <w:p w14:paraId="46610389" w14:textId="27BC7017" w:rsidR="00647542" w:rsidRPr="00907622" w:rsidRDefault="00647542" w:rsidP="00647542">
      <w:pPr>
        <w:numPr>
          <w:ilvl w:val="0"/>
          <w:numId w:val="4"/>
        </w:numPr>
        <w:spacing w:after="0" w:line="240" w:lineRule="auto"/>
        <w:ind w:left="714" w:hanging="357"/>
        <w:jc w:val="both"/>
        <w:rPr>
          <w:rFonts w:ascii="Times New Roman" w:hAnsi="Times New Roman"/>
          <w:szCs w:val="22"/>
        </w:rPr>
      </w:pPr>
      <w:r w:rsidRPr="00907622">
        <w:rPr>
          <w:rFonts w:ascii="Times New Roman" w:hAnsi="Times New Roman"/>
          <w:szCs w:val="22"/>
        </w:rPr>
        <w:t>individuálnych účtovných závierok obcí (1 7</w:t>
      </w:r>
      <w:r w:rsidR="00D265E1" w:rsidRPr="00907622">
        <w:rPr>
          <w:rFonts w:ascii="Times New Roman" w:hAnsi="Times New Roman"/>
          <w:szCs w:val="22"/>
        </w:rPr>
        <w:t>57</w:t>
      </w:r>
      <w:r w:rsidRPr="00907622">
        <w:rPr>
          <w:rFonts w:ascii="Times New Roman" w:hAnsi="Times New Roman"/>
          <w:szCs w:val="22"/>
        </w:rPr>
        <w:t>), ktoré nemali povinnosť zostaviť konsolidovanú účtovnú závierku alebo do dňa zostavenia súhrnnej účtovnej závierku ju nezostavili,</w:t>
      </w:r>
    </w:p>
    <w:p w14:paraId="12D1685A" w14:textId="77777777" w:rsidR="00647542" w:rsidRPr="00907622" w:rsidRDefault="00647542" w:rsidP="00647542">
      <w:pPr>
        <w:numPr>
          <w:ilvl w:val="0"/>
          <w:numId w:val="4"/>
        </w:numPr>
        <w:spacing w:after="0" w:line="240" w:lineRule="auto"/>
        <w:ind w:left="714" w:hanging="357"/>
        <w:jc w:val="both"/>
        <w:rPr>
          <w:rFonts w:ascii="Times New Roman" w:hAnsi="Times New Roman"/>
          <w:szCs w:val="22"/>
        </w:rPr>
      </w:pPr>
      <w:r w:rsidRPr="00907622">
        <w:rPr>
          <w:rFonts w:ascii="Times New Roman" w:hAnsi="Times New Roman"/>
          <w:szCs w:val="22"/>
        </w:rPr>
        <w:t>individuálnych účtovných závierok ostatných subjektov verejnej správy založených podľa osobitných predpisov</w:t>
      </w:r>
      <w:r w:rsidRPr="00907622">
        <w:rPr>
          <w:rFonts w:ascii="Times New Roman" w:hAnsi="Times New Roman"/>
          <w:szCs w:val="22"/>
          <w:vertAlign w:val="superscript"/>
        </w:rPr>
        <w:footnoteReference w:id="1"/>
      </w:r>
      <w:r w:rsidRPr="00907622">
        <w:rPr>
          <w:rFonts w:ascii="Times New Roman" w:hAnsi="Times New Roman"/>
          <w:szCs w:val="22"/>
        </w:rPr>
        <w:t xml:space="preserve"> (52).</w:t>
      </w:r>
    </w:p>
    <w:p w14:paraId="069D0669" w14:textId="5689927A" w:rsidR="00647542" w:rsidRPr="00907622" w:rsidRDefault="00647542" w:rsidP="00647542">
      <w:pPr>
        <w:numPr>
          <w:ilvl w:val="0"/>
          <w:numId w:val="4"/>
        </w:numPr>
        <w:spacing w:after="0" w:line="240" w:lineRule="auto"/>
        <w:ind w:left="714" w:hanging="357"/>
        <w:jc w:val="both"/>
        <w:rPr>
          <w:rFonts w:ascii="Times New Roman" w:hAnsi="Times New Roman"/>
          <w:szCs w:val="22"/>
        </w:rPr>
      </w:pPr>
      <w:r w:rsidRPr="00907622">
        <w:rPr>
          <w:rFonts w:ascii="Times New Roman" w:hAnsi="Times New Roman"/>
          <w:szCs w:val="22"/>
        </w:rPr>
        <w:t>individuálnych účtovných závierok neziskových organizácií štátu, neziskových organizácií a záujmových združení miestnej samosprávy nezahrnutých do</w:t>
      </w:r>
      <w:r w:rsidR="006F065A">
        <w:rPr>
          <w:rFonts w:ascii="Times New Roman" w:hAnsi="Times New Roman"/>
          <w:szCs w:val="22"/>
        </w:rPr>
        <w:t xml:space="preserve"> </w:t>
      </w:r>
      <w:r w:rsidRPr="00907622">
        <w:rPr>
          <w:rFonts w:ascii="Times New Roman" w:hAnsi="Times New Roman"/>
          <w:szCs w:val="22"/>
        </w:rPr>
        <w:t>konsolidovaných závierok iných subjektov verejnej správy (</w:t>
      </w:r>
      <w:r w:rsidR="008C05F7" w:rsidRPr="00907622">
        <w:rPr>
          <w:rFonts w:ascii="Times New Roman" w:hAnsi="Times New Roman"/>
          <w:szCs w:val="22"/>
        </w:rPr>
        <w:t>500</w:t>
      </w:r>
      <w:r w:rsidRPr="00907622">
        <w:rPr>
          <w:rFonts w:ascii="Times New Roman" w:hAnsi="Times New Roman"/>
          <w:szCs w:val="22"/>
        </w:rPr>
        <w:t>).</w:t>
      </w:r>
    </w:p>
    <w:p w14:paraId="510BA915" w14:textId="46877046" w:rsidR="00647542" w:rsidRPr="00907622" w:rsidRDefault="00647542" w:rsidP="00647542">
      <w:pPr>
        <w:spacing w:before="120" w:after="120" w:line="240" w:lineRule="auto"/>
        <w:jc w:val="both"/>
        <w:rPr>
          <w:rFonts w:ascii="Times New Roman" w:hAnsi="Times New Roman"/>
          <w:szCs w:val="22"/>
        </w:rPr>
      </w:pPr>
      <w:r w:rsidRPr="00907622">
        <w:rPr>
          <w:rFonts w:ascii="Times New Roman" w:hAnsi="Times New Roman"/>
          <w:szCs w:val="22"/>
        </w:rPr>
        <w:t>V</w:t>
      </w:r>
      <w:r w:rsidR="006F065A">
        <w:rPr>
          <w:rFonts w:ascii="Times New Roman" w:hAnsi="Times New Roman"/>
          <w:szCs w:val="22"/>
        </w:rPr>
        <w:t xml:space="preserve"> </w:t>
      </w:r>
      <w:r w:rsidRPr="00907622">
        <w:rPr>
          <w:rFonts w:ascii="Times New Roman" w:hAnsi="Times New Roman"/>
          <w:szCs w:val="22"/>
        </w:rPr>
        <w:t>nasledujúcom texte poznámok sa pre účely opisu významných položiek aktív, pasív, nákladov a</w:t>
      </w:r>
      <w:r w:rsidR="006F065A">
        <w:rPr>
          <w:rFonts w:ascii="Times New Roman" w:hAnsi="Times New Roman"/>
          <w:szCs w:val="22"/>
        </w:rPr>
        <w:t xml:space="preserve"> </w:t>
      </w:r>
      <w:r w:rsidRPr="00907622">
        <w:rPr>
          <w:rFonts w:ascii="Times New Roman" w:hAnsi="Times New Roman"/>
          <w:szCs w:val="22"/>
        </w:rPr>
        <w:t>výnosov zoskupujú organizácie súhrnného celku do skupín: ústredná správa, územná samospráva a</w:t>
      </w:r>
      <w:r w:rsidR="006F065A">
        <w:rPr>
          <w:rFonts w:ascii="Times New Roman" w:hAnsi="Times New Roman"/>
          <w:szCs w:val="22"/>
        </w:rPr>
        <w:t xml:space="preserve"> </w:t>
      </w:r>
      <w:r w:rsidRPr="00907622">
        <w:rPr>
          <w:rFonts w:ascii="Times New Roman" w:hAnsi="Times New Roman"/>
          <w:szCs w:val="22"/>
        </w:rPr>
        <w:t>ostatné subjekty, pričom:</w:t>
      </w:r>
    </w:p>
    <w:p w14:paraId="47627AA6" w14:textId="58714901" w:rsidR="00647542" w:rsidRPr="00907622" w:rsidRDefault="00647542" w:rsidP="00647542">
      <w:pPr>
        <w:spacing w:before="120" w:after="120" w:line="240" w:lineRule="auto"/>
        <w:jc w:val="both"/>
        <w:rPr>
          <w:rFonts w:ascii="Times New Roman" w:hAnsi="Times New Roman"/>
          <w:szCs w:val="22"/>
        </w:rPr>
      </w:pPr>
      <w:r w:rsidRPr="00907622">
        <w:rPr>
          <w:rFonts w:ascii="Times New Roman" w:hAnsi="Times New Roman"/>
          <w:szCs w:val="22"/>
          <w:u w:val="single"/>
        </w:rPr>
        <w:t>Ústrednou správou</w:t>
      </w:r>
      <w:r w:rsidRPr="00907622">
        <w:rPr>
          <w:rFonts w:ascii="Times New Roman" w:hAnsi="Times New Roman"/>
          <w:szCs w:val="22"/>
        </w:rPr>
        <w:t xml:space="preserve"> sa rozumejú štátne rozpočtové organizácie, štátne príspevkové organizácie, verejné výskumné inštitúcie a</w:t>
      </w:r>
      <w:r w:rsidR="006F065A">
        <w:rPr>
          <w:rFonts w:ascii="Times New Roman" w:hAnsi="Times New Roman"/>
          <w:szCs w:val="22"/>
        </w:rPr>
        <w:t xml:space="preserve"> </w:t>
      </w:r>
      <w:r w:rsidRPr="00907622">
        <w:rPr>
          <w:rFonts w:ascii="Times New Roman" w:hAnsi="Times New Roman"/>
          <w:szCs w:val="22"/>
        </w:rPr>
        <w:t>obchodné spoločnosti, v</w:t>
      </w:r>
      <w:r w:rsidR="006F065A">
        <w:rPr>
          <w:rFonts w:ascii="Times New Roman" w:hAnsi="Times New Roman"/>
          <w:szCs w:val="22"/>
        </w:rPr>
        <w:t xml:space="preserve"> </w:t>
      </w:r>
      <w:r w:rsidRPr="00907622">
        <w:rPr>
          <w:rFonts w:ascii="Times New Roman" w:hAnsi="Times New Roman"/>
          <w:szCs w:val="22"/>
        </w:rPr>
        <w:t xml:space="preserve">ktorých majú ústredné orgány štátnej správy majetkové podiely, a ktoré sú súčasťou konsolidovanej účtovnej závierky ústrednej správy. </w:t>
      </w:r>
    </w:p>
    <w:p w14:paraId="2807FAFD" w14:textId="2E5BAC9B" w:rsidR="00647542" w:rsidRPr="00907622" w:rsidRDefault="00647542" w:rsidP="00647542">
      <w:pPr>
        <w:spacing w:after="120" w:line="240" w:lineRule="auto"/>
        <w:jc w:val="both"/>
        <w:rPr>
          <w:rFonts w:ascii="Times New Roman" w:hAnsi="Times New Roman"/>
          <w:szCs w:val="22"/>
        </w:rPr>
      </w:pPr>
      <w:r w:rsidRPr="00907622">
        <w:rPr>
          <w:rFonts w:ascii="Times New Roman" w:hAnsi="Times New Roman"/>
          <w:szCs w:val="22"/>
          <w:u w:val="single"/>
        </w:rPr>
        <w:t>Subjektmi územnej samosprávy</w:t>
      </w:r>
      <w:r w:rsidRPr="00907622">
        <w:rPr>
          <w:rFonts w:ascii="Times New Roman" w:hAnsi="Times New Roman"/>
          <w:szCs w:val="22"/>
        </w:rPr>
        <w:t xml:space="preserve"> sa rozumejú obce, vyššie územné celky, rozpočtové a</w:t>
      </w:r>
      <w:r w:rsidR="006F065A">
        <w:rPr>
          <w:rFonts w:ascii="Times New Roman" w:hAnsi="Times New Roman"/>
          <w:szCs w:val="22"/>
        </w:rPr>
        <w:t xml:space="preserve"> </w:t>
      </w:r>
      <w:r w:rsidRPr="00907622">
        <w:rPr>
          <w:rFonts w:ascii="Times New Roman" w:hAnsi="Times New Roman"/>
          <w:szCs w:val="22"/>
        </w:rPr>
        <w:t>príspevkové organizácie obcí a</w:t>
      </w:r>
      <w:r w:rsidR="006F065A">
        <w:rPr>
          <w:rFonts w:ascii="Times New Roman" w:hAnsi="Times New Roman"/>
          <w:szCs w:val="22"/>
        </w:rPr>
        <w:t xml:space="preserve"> </w:t>
      </w:r>
      <w:r w:rsidRPr="00907622">
        <w:rPr>
          <w:rFonts w:ascii="Times New Roman" w:hAnsi="Times New Roman"/>
          <w:szCs w:val="22"/>
        </w:rPr>
        <w:t>vyšších územných celkov, obchodné spoločnosti obcí a</w:t>
      </w:r>
      <w:r w:rsidR="006F065A">
        <w:rPr>
          <w:rFonts w:ascii="Times New Roman" w:hAnsi="Times New Roman"/>
          <w:szCs w:val="22"/>
        </w:rPr>
        <w:t xml:space="preserve"> </w:t>
      </w:r>
      <w:r w:rsidRPr="00907622">
        <w:rPr>
          <w:rFonts w:ascii="Times New Roman" w:hAnsi="Times New Roman"/>
          <w:szCs w:val="22"/>
        </w:rPr>
        <w:t>vyšších územných celkov, v</w:t>
      </w:r>
      <w:r w:rsidR="006F065A">
        <w:rPr>
          <w:rFonts w:ascii="Times New Roman" w:hAnsi="Times New Roman"/>
          <w:szCs w:val="22"/>
        </w:rPr>
        <w:t> </w:t>
      </w:r>
      <w:r w:rsidRPr="00907622">
        <w:rPr>
          <w:rFonts w:ascii="Times New Roman" w:hAnsi="Times New Roman"/>
          <w:szCs w:val="22"/>
        </w:rPr>
        <w:t>ktorých majú obce alebo vyššie územné celky majetkové podiely, a ktoré sú súčasťou konsolidovaných účtovných závierok obcí a</w:t>
      </w:r>
      <w:r w:rsidR="006F065A">
        <w:rPr>
          <w:rFonts w:ascii="Times New Roman" w:hAnsi="Times New Roman"/>
          <w:szCs w:val="22"/>
        </w:rPr>
        <w:t xml:space="preserve"> </w:t>
      </w:r>
      <w:r w:rsidRPr="00907622">
        <w:rPr>
          <w:rFonts w:ascii="Times New Roman" w:hAnsi="Times New Roman"/>
          <w:szCs w:val="22"/>
        </w:rPr>
        <w:t>vyšších územných celkov. Za rok 20</w:t>
      </w:r>
      <w:r w:rsidR="00310C5B" w:rsidRPr="00907622">
        <w:rPr>
          <w:rFonts w:ascii="Times New Roman" w:hAnsi="Times New Roman"/>
          <w:szCs w:val="22"/>
        </w:rPr>
        <w:t>24</w:t>
      </w:r>
      <w:r w:rsidRPr="00907622">
        <w:rPr>
          <w:rFonts w:ascii="Times New Roman" w:hAnsi="Times New Roman"/>
          <w:szCs w:val="22"/>
        </w:rPr>
        <w:t xml:space="preserve"> z celkového počtu obcí a</w:t>
      </w:r>
      <w:r w:rsidR="006F065A">
        <w:rPr>
          <w:rFonts w:ascii="Times New Roman" w:hAnsi="Times New Roman"/>
          <w:szCs w:val="22"/>
        </w:rPr>
        <w:t xml:space="preserve"> </w:t>
      </w:r>
      <w:r w:rsidRPr="00907622">
        <w:rPr>
          <w:rFonts w:ascii="Times New Roman" w:hAnsi="Times New Roman"/>
          <w:szCs w:val="22"/>
        </w:rPr>
        <w:t>miest (2 926) vrátane mestských častí Bratislavy a</w:t>
      </w:r>
      <w:r w:rsidR="006F065A">
        <w:rPr>
          <w:rFonts w:ascii="Times New Roman" w:hAnsi="Times New Roman"/>
          <w:szCs w:val="22"/>
        </w:rPr>
        <w:t xml:space="preserve"> </w:t>
      </w:r>
      <w:r w:rsidRPr="00907622">
        <w:rPr>
          <w:rFonts w:ascii="Times New Roman" w:hAnsi="Times New Roman"/>
          <w:szCs w:val="22"/>
        </w:rPr>
        <w:t>Košíc, nezostavovalo KUZ 1</w:t>
      </w:r>
      <w:r w:rsidR="006F065A">
        <w:rPr>
          <w:rFonts w:ascii="Times New Roman" w:hAnsi="Times New Roman"/>
          <w:szCs w:val="22"/>
        </w:rPr>
        <w:t> </w:t>
      </w:r>
      <w:r w:rsidRPr="00907622">
        <w:rPr>
          <w:rFonts w:ascii="Times New Roman" w:hAnsi="Times New Roman"/>
          <w:szCs w:val="22"/>
        </w:rPr>
        <w:t>7</w:t>
      </w:r>
      <w:r w:rsidR="00AC3E5A" w:rsidRPr="00907622">
        <w:rPr>
          <w:rFonts w:ascii="Times New Roman" w:hAnsi="Times New Roman"/>
          <w:szCs w:val="22"/>
        </w:rPr>
        <w:t>57</w:t>
      </w:r>
      <w:r w:rsidRPr="00907622">
        <w:rPr>
          <w:rFonts w:ascii="Times New Roman" w:hAnsi="Times New Roman"/>
          <w:szCs w:val="22"/>
        </w:rPr>
        <w:t xml:space="preserve"> z nich.</w:t>
      </w:r>
    </w:p>
    <w:p w14:paraId="553476BA" w14:textId="53E63B0A" w:rsidR="00647542" w:rsidRPr="00907622" w:rsidRDefault="00647542" w:rsidP="00647542">
      <w:pPr>
        <w:spacing w:after="120" w:line="240" w:lineRule="auto"/>
        <w:jc w:val="both"/>
        <w:rPr>
          <w:rFonts w:ascii="Times New Roman" w:hAnsi="Times New Roman"/>
          <w:lang w:eastAsia="sk-SK"/>
        </w:rPr>
      </w:pPr>
      <w:r w:rsidRPr="00907622">
        <w:rPr>
          <w:rFonts w:ascii="Times New Roman" w:hAnsi="Times New Roman"/>
          <w:u w:val="single"/>
        </w:rPr>
        <w:t>Ostatnými subjektmi</w:t>
      </w:r>
      <w:r w:rsidRPr="00907622">
        <w:rPr>
          <w:rFonts w:ascii="Times New Roman" w:hAnsi="Times New Roman"/>
        </w:rPr>
        <w:t xml:space="preserve"> sa rozumejú subjekty založené osobitným zákonom a</w:t>
      </w:r>
      <w:r w:rsidR="006F065A">
        <w:rPr>
          <w:rFonts w:ascii="Times New Roman" w:hAnsi="Times New Roman"/>
        </w:rPr>
        <w:t xml:space="preserve"> </w:t>
      </w:r>
      <w:r w:rsidRPr="00907622">
        <w:rPr>
          <w:rFonts w:ascii="Times New Roman" w:hAnsi="Times New Roman"/>
        </w:rPr>
        <w:t>neziskové organizácie územnej samosprávy</w:t>
      </w:r>
      <w:r w:rsidRPr="00907622">
        <w:rPr>
          <w:rFonts w:ascii="Times New Roman" w:hAnsi="Times New Roman"/>
          <w:lang w:eastAsia="sk-SK"/>
        </w:rPr>
        <w:t xml:space="preserve"> vedené v registri organizácií Štatistického úradu SR ako subjekty verejnej správy</w:t>
      </w:r>
      <w:r w:rsidRPr="00907622">
        <w:rPr>
          <w:rFonts w:ascii="Times New Roman" w:hAnsi="Times New Roman"/>
        </w:rPr>
        <w:t xml:space="preserve">. Ide napríklad o verejné vysoké školy (20), Sociálnu poisťovňu, Slovenský pozemkový fond, </w:t>
      </w:r>
      <w:r w:rsidRPr="00907622">
        <w:rPr>
          <w:rFonts w:ascii="Times New Roman" w:hAnsi="Times New Roman"/>
          <w:lang w:eastAsia="sk-SK"/>
        </w:rPr>
        <w:lastRenderedPageBreak/>
        <w:t>Audiovizuálny</w:t>
      </w:r>
      <w:r w:rsidR="00FE5F3A" w:rsidRPr="00907622">
        <w:rPr>
          <w:rFonts w:ascii="Times New Roman" w:hAnsi="Times New Roman"/>
          <w:lang w:eastAsia="sk-SK"/>
        </w:rPr>
        <w:t xml:space="preserve"> </w:t>
      </w:r>
      <w:r w:rsidRPr="00907622">
        <w:rPr>
          <w:rFonts w:ascii="Times New Roman" w:hAnsi="Times New Roman"/>
          <w:lang w:eastAsia="sk-SK"/>
        </w:rPr>
        <w:t>fond,</w:t>
      </w:r>
      <w:r w:rsidR="00FE5F3A" w:rsidRPr="00907622">
        <w:rPr>
          <w:rFonts w:ascii="Times New Roman" w:hAnsi="Times New Roman"/>
          <w:lang w:eastAsia="sk-SK"/>
        </w:rPr>
        <w:t xml:space="preserve"> </w:t>
      </w:r>
      <w:r w:rsidRPr="00907622">
        <w:rPr>
          <w:rFonts w:ascii="Times New Roman" w:hAnsi="Times New Roman"/>
          <w:lang w:eastAsia="sk-SK"/>
        </w:rPr>
        <w:t>Radu</w:t>
      </w:r>
      <w:r w:rsidR="00FE5F3A" w:rsidRPr="00907622">
        <w:rPr>
          <w:rFonts w:ascii="Times New Roman" w:hAnsi="Times New Roman"/>
          <w:lang w:eastAsia="sk-SK"/>
        </w:rPr>
        <w:t xml:space="preserve"> </w:t>
      </w:r>
      <w:r w:rsidRPr="00907622">
        <w:rPr>
          <w:rFonts w:ascii="Times New Roman" w:hAnsi="Times New Roman"/>
          <w:lang w:eastAsia="sk-SK"/>
        </w:rPr>
        <w:t>pre vysielanie a</w:t>
      </w:r>
      <w:r w:rsidR="006F065A">
        <w:rPr>
          <w:rFonts w:ascii="Times New Roman" w:hAnsi="Times New Roman"/>
          <w:lang w:eastAsia="sk-SK"/>
        </w:rPr>
        <w:t xml:space="preserve"> </w:t>
      </w:r>
      <w:r w:rsidRPr="00907622">
        <w:rPr>
          <w:rFonts w:ascii="Times New Roman" w:hAnsi="Times New Roman"/>
          <w:lang w:eastAsia="sk-SK"/>
        </w:rPr>
        <w:t>retransmisiu,</w:t>
      </w:r>
      <w:r w:rsidR="00FE5F3A" w:rsidRPr="00907622">
        <w:rPr>
          <w:rFonts w:ascii="Times New Roman" w:hAnsi="Times New Roman"/>
          <w:lang w:eastAsia="sk-SK"/>
        </w:rPr>
        <w:t xml:space="preserve"> </w:t>
      </w:r>
      <w:r w:rsidR="00CC6F1B" w:rsidRPr="00907622">
        <w:rPr>
          <w:rFonts w:ascii="Times New Roman" w:hAnsi="Times New Roman"/>
          <w:szCs w:val="22"/>
          <w:lang w:eastAsia="sk-SK"/>
        </w:rPr>
        <w:t>Slovensk</w:t>
      </w:r>
      <w:r w:rsidR="00307D2B">
        <w:rPr>
          <w:rFonts w:ascii="Times New Roman" w:hAnsi="Times New Roman"/>
          <w:szCs w:val="22"/>
          <w:lang w:eastAsia="sk-SK"/>
        </w:rPr>
        <w:t>ú</w:t>
      </w:r>
      <w:r w:rsidR="00FE5F3A" w:rsidRPr="00907622">
        <w:rPr>
          <w:rFonts w:ascii="Times New Roman" w:hAnsi="Times New Roman"/>
          <w:szCs w:val="22"/>
          <w:lang w:eastAsia="sk-SK"/>
        </w:rPr>
        <w:t xml:space="preserve"> </w:t>
      </w:r>
      <w:r w:rsidR="00CC6F1B" w:rsidRPr="00907622">
        <w:rPr>
          <w:rFonts w:ascii="Times New Roman" w:hAnsi="Times New Roman"/>
          <w:szCs w:val="22"/>
          <w:lang w:eastAsia="sk-SK"/>
        </w:rPr>
        <w:t>televízi</w:t>
      </w:r>
      <w:r w:rsidR="00307D2B">
        <w:rPr>
          <w:rFonts w:ascii="Times New Roman" w:hAnsi="Times New Roman"/>
          <w:szCs w:val="22"/>
          <w:lang w:eastAsia="sk-SK"/>
        </w:rPr>
        <w:t>u</w:t>
      </w:r>
      <w:r w:rsidR="00FE5F3A" w:rsidRPr="00907622">
        <w:rPr>
          <w:rFonts w:ascii="Times New Roman" w:hAnsi="Times New Roman"/>
          <w:szCs w:val="22"/>
          <w:lang w:eastAsia="sk-SK"/>
        </w:rPr>
        <w:t xml:space="preserve"> </w:t>
      </w:r>
      <w:r w:rsidR="00CC6F1B" w:rsidRPr="00907622">
        <w:rPr>
          <w:rFonts w:ascii="Times New Roman" w:hAnsi="Times New Roman"/>
          <w:szCs w:val="22"/>
          <w:lang w:eastAsia="sk-SK"/>
        </w:rPr>
        <w:t>a</w:t>
      </w:r>
      <w:r w:rsidR="00FE5F3A" w:rsidRPr="00907622">
        <w:rPr>
          <w:rFonts w:ascii="Times New Roman" w:hAnsi="Times New Roman"/>
          <w:szCs w:val="22"/>
          <w:lang w:eastAsia="sk-SK"/>
        </w:rPr>
        <w:t xml:space="preserve"> </w:t>
      </w:r>
      <w:r w:rsidR="00CC6F1B" w:rsidRPr="00907622">
        <w:rPr>
          <w:rFonts w:ascii="Times New Roman" w:hAnsi="Times New Roman"/>
          <w:szCs w:val="22"/>
          <w:lang w:eastAsia="sk-SK"/>
        </w:rPr>
        <w:t>rozhlas</w:t>
      </w:r>
      <w:r w:rsidRPr="00907622">
        <w:rPr>
          <w:rFonts w:ascii="Times New Roman" w:hAnsi="Times New Roman"/>
          <w:lang w:eastAsia="sk-SK"/>
        </w:rPr>
        <w:t>,</w:t>
      </w:r>
      <w:r w:rsidRPr="0085799C">
        <w:rPr>
          <w:rFonts w:ascii="Times New Roman" w:hAnsi="Times New Roman"/>
        </w:rPr>
        <w:br/>
      </w:r>
      <w:r w:rsidRPr="00907622">
        <w:rPr>
          <w:rFonts w:ascii="Times New Roman" w:hAnsi="Times New Roman"/>
          <w:lang w:eastAsia="sk-SK"/>
        </w:rPr>
        <w:t>Slovenské národné stredisko pre ľudské práva, Tlačovú agentúru Slovenskej republiky, Úrad pre dohľad nad výkonom auditu, Úrad pre dohľad nad zdravotnou starostlivosťou, Ústav pamäti národa. Podrobný prehľad týchto subjektov je uvedený v prílohe č. 1. súhrnnej účtovnej závierky.</w:t>
      </w:r>
    </w:p>
    <w:p w14:paraId="330DA1E4" w14:textId="7CA83DC0" w:rsidR="00647542" w:rsidRPr="00907622" w:rsidRDefault="001F47C9" w:rsidP="0085799C">
      <w:pPr>
        <w:pStyle w:val="Nadpis2"/>
        <w:rPr>
          <w:szCs w:val="24"/>
        </w:rPr>
      </w:pPr>
      <w:r>
        <w:t xml:space="preserve">2. </w:t>
      </w:r>
      <w:r w:rsidR="00647542" w:rsidRPr="00D50CE7">
        <w:t xml:space="preserve">Informácie o súhrnnom celku verejnej správy </w:t>
      </w:r>
    </w:p>
    <w:p w14:paraId="2D087468" w14:textId="53B3BF26" w:rsidR="00647542" w:rsidRPr="00907622" w:rsidRDefault="00647542" w:rsidP="00647542">
      <w:pPr>
        <w:tabs>
          <w:tab w:val="left" w:pos="3270"/>
        </w:tabs>
        <w:spacing w:after="120" w:line="240" w:lineRule="auto"/>
        <w:jc w:val="both"/>
        <w:rPr>
          <w:rFonts w:ascii="Times New Roman" w:hAnsi="Times New Roman"/>
          <w:szCs w:val="22"/>
        </w:rPr>
      </w:pPr>
      <w:r w:rsidRPr="00907622">
        <w:rPr>
          <w:rFonts w:ascii="Times New Roman" w:hAnsi="Times New Roman"/>
          <w:szCs w:val="22"/>
        </w:rPr>
        <w:t>Do súhrnného celku za rok 20</w:t>
      </w:r>
      <w:r w:rsidR="002B7680" w:rsidRPr="00907622">
        <w:rPr>
          <w:rFonts w:ascii="Times New Roman" w:hAnsi="Times New Roman"/>
          <w:szCs w:val="22"/>
        </w:rPr>
        <w:t>24</w:t>
      </w:r>
      <w:r w:rsidRPr="00907622">
        <w:rPr>
          <w:rFonts w:ascii="Times New Roman" w:hAnsi="Times New Roman"/>
          <w:szCs w:val="22"/>
        </w:rPr>
        <w:t xml:space="preserve"> boli zaradené účtovné jednotky v súlade s</w:t>
      </w:r>
      <w:r w:rsidR="00E008B7" w:rsidRPr="00907622">
        <w:rPr>
          <w:rFonts w:ascii="Times New Roman" w:hAnsi="Times New Roman"/>
          <w:szCs w:val="22"/>
        </w:rPr>
        <w:t xml:space="preserve"> ustanovením </w:t>
      </w:r>
      <w:r w:rsidRPr="00907622">
        <w:rPr>
          <w:rFonts w:ascii="Times New Roman" w:hAnsi="Times New Roman"/>
          <w:szCs w:val="22"/>
        </w:rPr>
        <w:t>§</w:t>
      </w:r>
      <w:r w:rsidR="00E008B7" w:rsidRPr="00907622">
        <w:rPr>
          <w:rFonts w:ascii="Times New Roman" w:hAnsi="Times New Roman"/>
          <w:szCs w:val="22"/>
        </w:rPr>
        <w:t xml:space="preserve"> </w:t>
      </w:r>
      <w:r w:rsidRPr="00907622">
        <w:rPr>
          <w:rFonts w:ascii="Times New Roman" w:hAnsi="Times New Roman"/>
          <w:szCs w:val="22"/>
        </w:rPr>
        <w:t>22a zákona o účtovníctve. Súhrnný celok verejnej správy za rok 20</w:t>
      </w:r>
      <w:r w:rsidR="002B7680" w:rsidRPr="00907622">
        <w:rPr>
          <w:rFonts w:ascii="Times New Roman" w:hAnsi="Times New Roman"/>
          <w:szCs w:val="22"/>
        </w:rPr>
        <w:t>24</w:t>
      </w:r>
      <w:r w:rsidRPr="00907622">
        <w:rPr>
          <w:rFonts w:ascii="Times New Roman" w:hAnsi="Times New Roman"/>
          <w:szCs w:val="22"/>
        </w:rPr>
        <w:t xml:space="preserve"> tvorilo spolu </w:t>
      </w:r>
      <w:r w:rsidR="00FC7FB8" w:rsidRPr="00907622">
        <w:rPr>
          <w:rFonts w:ascii="Times New Roman" w:hAnsi="Times New Roman"/>
          <w:szCs w:val="22"/>
        </w:rPr>
        <w:t>8</w:t>
      </w:r>
      <w:r w:rsidR="006F065A">
        <w:rPr>
          <w:rFonts w:ascii="Times New Roman" w:hAnsi="Times New Roman"/>
          <w:szCs w:val="22"/>
        </w:rPr>
        <w:t> </w:t>
      </w:r>
      <w:r w:rsidR="00FC7FB8" w:rsidRPr="00907622">
        <w:rPr>
          <w:rFonts w:ascii="Times New Roman" w:hAnsi="Times New Roman"/>
          <w:szCs w:val="22"/>
        </w:rPr>
        <w:t>3</w:t>
      </w:r>
      <w:r w:rsidR="003A67BC">
        <w:rPr>
          <w:rFonts w:ascii="Times New Roman" w:hAnsi="Times New Roman"/>
          <w:szCs w:val="22"/>
        </w:rPr>
        <w:t>98</w:t>
      </w:r>
      <w:r w:rsidRPr="00907622">
        <w:rPr>
          <w:rFonts w:ascii="Times New Roman" w:hAnsi="Times New Roman"/>
          <w:szCs w:val="22"/>
        </w:rPr>
        <w:t xml:space="preserve"> účtovných jednotiek. Spôsob zahrnutia jednotiek do súhrnného celku je na základe:</w:t>
      </w:r>
    </w:p>
    <w:p w14:paraId="386685AF" w14:textId="63F27C0B" w:rsidR="00647542" w:rsidRPr="00907622" w:rsidRDefault="00647542" w:rsidP="00647542">
      <w:pPr>
        <w:pStyle w:val="Odsekzoznamu"/>
        <w:numPr>
          <w:ilvl w:val="0"/>
          <w:numId w:val="41"/>
        </w:numPr>
        <w:tabs>
          <w:tab w:val="left" w:pos="3270"/>
        </w:tabs>
        <w:spacing w:after="120" w:line="240" w:lineRule="auto"/>
        <w:jc w:val="both"/>
        <w:rPr>
          <w:rFonts w:ascii="Times New Roman" w:hAnsi="Times New Roman"/>
          <w:szCs w:val="22"/>
        </w:rPr>
      </w:pPr>
      <w:bookmarkStart w:id="1" w:name="_Ref180535030"/>
      <w:r w:rsidRPr="00907622">
        <w:rPr>
          <w:rFonts w:ascii="Times New Roman" w:hAnsi="Times New Roman"/>
          <w:szCs w:val="22"/>
        </w:rPr>
        <w:t xml:space="preserve">princípu kontroly – rozpočtové organizácie, príspevkové organizácie, </w:t>
      </w:r>
      <w:r w:rsidR="00D27371" w:rsidRPr="00907622">
        <w:rPr>
          <w:rFonts w:ascii="Times New Roman" w:hAnsi="Times New Roman"/>
          <w:szCs w:val="22"/>
        </w:rPr>
        <w:t>verejné výskumné inštitúcie</w:t>
      </w:r>
      <w:r w:rsidR="00D27371">
        <w:rPr>
          <w:rFonts w:ascii="Times New Roman" w:hAnsi="Times New Roman"/>
          <w:szCs w:val="22"/>
        </w:rPr>
        <w:t>,</w:t>
      </w:r>
      <w:r w:rsidR="00D27371" w:rsidRPr="00907622">
        <w:rPr>
          <w:rFonts w:ascii="Times New Roman" w:hAnsi="Times New Roman"/>
          <w:szCs w:val="22"/>
        </w:rPr>
        <w:t xml:space="preserve"> </w:t>
      </w:r>
      <w:r w:rsidRPr="00907622">
        <w:rPr>
          <w:rFonts w:ascii="Times New Roman" w:hAnsi="Times New Roman"/>
          <w:szCs w:val="22"/>
        </w:rPr>
        <w:t>obchodné spoločnosti, štátne podniky a štátne fondy a</w:t>
      </w:r>
      <w:bookmarkEnd w:id="1"/>
    </w:p>
    <w:p w14:paraId="5023647D" w14:textId="2BE71F76" w:rsidR="00647542" w:rsidRPr="00907622" w:rsidRDefault="00647542" w:rsidP="00647542">
      <w:pPr>
        <w:pStyle w:val="Odsekzoznamu"/>
        <w:numPr>
          <w:ilvl w:val="0"/>
          <w:numId w:val="41"/>
        </w:numPr>
        <w:tabs>
          <w:tab w:val="left" w:pos="3270"/>
        </w:tabs>
        <w:spacing w:after="120" w:line="240" w:lineRule="auto"/>
        <w:jc w:val="both"/>
        <w:rPr>
          <w:rFonts w:ascii="Times New Roman" w:hAnsi="Times New Roman"/>
          <w:szCs w:val="22"/>
        </w:rPr>
      </w:pPr>
      <w:r w:rsidRPr="00907622">
        <w:rPr>
          <w:rFonts w:ascii="Times New Roman" w:hAnsi="Times New Roman"/>
          <w:szCs w:val="22"/>
        </w:rPr>
        <w:t>zaradenia subjektov do sektora verejnej správy – napr. verejné vysoké školy, obce, vyššie územné celky, neziskové organizácie a ďalšie.</w:t>
      </w:r>
    </w:p>
    <w:p w14:paraId="78D2E80C" w14:textId="31B8FB02" w:rsidR="00647542" w:rsidRPr="00907622" w:rsidRDefault="00647542" w:rsidP="00647542">
      <w:pPr>
        <w:tabs>
          <w:tab w:val="left" w:pos="3270"/>
        </w:tabs>
        <w:spacing w:after="120" w:line="240" w:lineRule="auto"/>
        <w:jc w:val="both"/>
        <w:rPr>
          <w:rFonts w:ascii="Times New Roman" w:hAnsi="Times New Roman"/>
          <w:szCs w:val="22"/>
        </w:rPr>
      </w:pPr>
      <w:r w:rsidRPr="0085799C">
        <w:rPr>
          <w:rFonts w:ascii="Times New Roman" w:hAnsi="Times New Roman"/>
          <w:szCs w:val="22"/>
          <w:u w:val="single"/>
        </w:rPr>
        <w:t>Ministerstvo financií SR</w:t>
      </w:r>
      <w:r w:rsidRPr="00907622">
        <w:rPr>
          <w:rFonts w:ascii="Times New Roman" w:hAnsi="Times New Roman"/>
          <w:szCs w:val="22"/>
        </w:rPr>
        <w:t xml:space="preserve"> ako zostavovateľ súhrnnej účtovnej závierky nevykonáva reálne kontrolu nad všetkými účtovnými jednotkami súhrnného celku, z tohto dôvodu je rozhodujúce pre ich zahrnutie do súhrnného celku zaradenie do sektora verejnej správy (</w:t>
      </w:r>
      <w:r w:rsidR="00C9747E" w:rsidRPr="00907622">
        <w:rPr>
          <w:rFonts w:ascii="Times New Roman" w:hAnsi="Times New Roman"/>
          <w:szCs w:val="22"/>
        </w:rPr>
        <w:t xml:space="preserve">ustanovenie </w:t>
      </w:r>
      <w:r w:rsidRPr="00907622">
        <w:rPr>
          <w:rFonts w:ascii="Times New Roman" w:hAnsi="Times New Roman"/>
          <w:szCs w:val="22"/>
        </w:rPr>
        <w:t>§ 22a ods. 3 zákona o účtovníctve). Ministerstvo financií SR však pre účely spracovania S</w:t>
      </w:r>
      <w:r w:rsidR="00AF39E6" w:rsidRPr="00907622">
        <w:rPr>
          <w:rFonts w:ascii="Times New Roman" w:hAnsi="Times New Roman"/>
          <w:szCs w:val="22"/>
        </w:rPr>
        <w:t>Ú</w:t>
      </w:r>
      <w:r w:rsidRPr="00907622">
        <w:rPr>
          <w:rFonts w:ascii="Times New Roman" w:hAnsi="Times New Roman"/>
          <w:szCs w:val="22"/>
        </w:rPr>
        <w:t>Z predstavuje materskú účtovnú jednotku a súhrnný celok je fiktívne jednou ekonomickou entitou.</w:t>
      </w:r>
    </w:p>
    <w:p w14:paraId="6E8FA616" w14:textId="77777777" w:rsidR="00A02729" w:rsidRPr="00907622" w:rsidRDefault="00A02729" w:rsidP="00A02729">
      <w:pPr>
        <w:spacing w:after="120" w:line="240" w:lineRule="auto"/>
        <w:jc w:val="both"/>
        <w:rPr>
          <w:rFonts w:ascii="Times New Roman" w:hAnsi="Times New Roman"/>
          <w:szCs w:val="22"/>
          <w:lang w:eastAsia="sk-SK"/>
        </w:rPr>
      </w:pPr>
      <w:r w:rsidRPr="00907622">
        <w:rPr>
          <w:rFonts w:ascii="Times New Roman" w:hAnsi="Times New Roman"/>
          <w:szCs w:val="22"/>
          <w:lang w:eastAsia="sk-SK"/>
        </w:rPr>
        <w:t xml:space="preserve">Koncept ,,súhrnného celku“ je odlišný od </w:t>
      </w:r>
      <w:r w:rsidRPr="00A02729">
        <w:rPr>
          <w:rFonts w:ascii="Times New Roman" w:hAnsi="Times New Roman"/>
          <w:szCs w:val="22"/>
          <w:lang w:eastAsia="sk-SK"/>
        </w:rPr>
        <w:t>definície verejnej správy podľa zákona č. 523/2004 Z. z. o rozpočtových pravidlách verejnej správy a o zmene a doplnení niektorých zákonov. V</w:t>
      </w:r>
      <w:r w:rsidRPr="00A7107D">
        <w:rPr>
          <w:rFonts w:ascii="Times New Roman" w:hAnsi="Times New Roman"/>
          <w:szCs w:val="22"/>
          <w:lang w:eastAsia="sk-SK"/>
        </w:rPr>
        <w:t>erejná správa tvorí najpodstatnejšiu časť súhrnného celku, avšak do súhrnného celku vstupujú aj iné subjekty, ktoré nie sú štatisticky zaradené do verejnej správy podľa metodiky ESA 2010</w:t>
      </w:r>
      <w:r w:rsidRPr="00A02729">
        <w:rPr>
          <w:rFonts w:ascii="Times New Roman" w:hAnsi="Times New Roman"/>
          <w:szCs w:val="22"/>
          <w:lang w:eastAsia="sk-SK"/>
        </w:rPr>
        <w:t>. Zoskupenie do vyššie uvedených skupín je vytvorené na základe ustanovenia § 22a zákona o účtovníctve.</w:t>
      </w:r>
    </w:p>
    <w:p w14:paraId="4E1D0FFE" w14:textId="4B4A293C" w:rsidR="00647542" w:rsidRPr="00907622" w:rsidRDefault="00647542" w:rsidP="00647542">
      <w:pPr>
        <w:tabs>
          <w:tab w:val="left" w:pos="3270"/>
        </w:tabs>
        <w:spacing w:after="120" w:line="240" w:lineRule="auto"/>
        <w:jc w:val="both"/>
        <w:rPr>
          <w:rFonts w:ascii="Times New Roman" w:hAnsi="Times New Roman"/>
          <w:szCs w:val="22"/>
        </w:rPr>
      </w:pPr>
      <w:r w:rsidRPr="00907622">
        <w:rPr>
          <w:rFonts w:ascii="Times New Roman" w:hAnsi="Times New Roman"/>
          <w:szCs w:val="22"/>
        </w:rPr>
        <w:t>Do súhrnného celku naopak nie sú zahrnuté jednotky v likvidácii alebo v konkurze</w:t>
      </w:r>
      <w:r w:rsidRPr="00907622">
        <w:rPr>
          <w:rFonts w:ascii="Times New Roman" w:hAnsi="Times New Roman"/>
          <w:szCs w:val="22"/>
        </w:rPr>
        <w:br/>
        <w:t>a organizácie, ktoré ukončili svoju činnosť v priebehu roka 20</w:t>
      </w:r>
      <w:r w:rsidR="00FC7FB8" w:rsidRPr="00907622">
        <w:rPr>
          <w:rFonts w:ascii="Times New Roman" w:hAnsi="Times New Roman"/>
          <w:szCs w:val="22"/>
        </w:rPr>
        <w:t>23</w:t>
      </w:r>
      <w:r w:rsidR="00C9747E" w:rsidRPr="00907622">
        <w:rPr>
          <w:rFonts w:ascii="Times New Roman" w:hAnsi="Times New Roman"/>
          <w:szCs w:val="22"/>
        </w:rPr>
        <w:t>,</w:t>
      </w:r>
      <w:r w:rsidRPr="00907622">
        <w:rPr>
          <w:rFonts w:ascii="Times New Roman" w:hAnsi="Times New Roman"/>
          <w:szCs w:val="22"/>
        </w:rPr>
        <w:t xml:space="preserve"> resp. k 1.</w:t>
      </w:r>
      <w:r w:rsidR="00C9747E" w:rsidRPr="00907622">
        <w:rPr>
          <w:rFonts w:ascii="Times New Roman" w:hAnsi="Times New Roman"/>
          <w:szCs w:val="22"/>
        </w:rPr>
        <w:t xml:space="preserve"> </w:t>
      </w:r>
      <w:r w:rsidRPr="00907622">
        <w:rPr>
          <w:rFonts w:ascii="Times New Roman" w:hAnsi="Times New Roman"/>
          <w:szCs w:val="22"/>
        </w:rPr>
        <w:t>1.</w:t>
      </w:r>
      <w:r w:rsidR="00C9747E" w:rsidRPr="00907622">
        <w:rPr>
          <w:rFonts w:ascii="Times New Roman" w:hAnsi="Times New Roman"/>
          <w:szCs w:val="22"/>
        </w:rPr>
        <w:t xml:space="preserve"> </w:t>
      </w:r>
      <w:r w:rsidRPr="00907622">
        <w:rPr>
          <w:rFonts w:ascii="Times New Roman" w:hAnsi="Times New Roman"/>
          <w:szCs w:val="22"/>
        </w:rPr>
        <w:t>20</w:t>
      </w:r>
      <w:r w:rsidR="00FC7FB8" w:rsidRPr="00907622">
        <w:rPr>
          <w:rFonts w:ascii="Times New Roman" w:hAnsi="Times New Roman"/>
          <w:szCs w:val="22"/>
        </w:rPr>
        <w:t>24</w:t>
      </w:r>
      <w:r w:rsidRPr="00907622">
        <w:rPr>
          <w:rFonts w:ascii="Times New Roman" w:hAnsi="Times New Roman"/>
          <w:szCs w:val="22"/>
        </w:rPr>
        <w:t>.</w:t>
      </w:r>
    </w:p>
    <w:p w14:paraId="7FBA7E6D" w14:textId="6ECB9848" w:rsidR="007D05B9" w:rsidRPr="00907622" w:rsidRDefault="00647542" w:rsidP="00647542">
      <w:pPr>
        <w:tabs>
          <w:tab w:val="left" w:pos="3270"/>
        </w:tabs>
        <w:spacing w:after="120" w:line="240" w:lineRule="auto"/>
        <w:jc w:val="both"/>
        <w:rPr>
          <w:rFonts w:ascii="Times New Roman" w:hAnsi="Times New Roman"/>
          <w:szCs w:val="22"/>
        </w:rPr>
      </w:pPr>
      <w:r w:rsidRPr="00907622">
        <w:rPr>
          <w:rFonts w:ascii="Times New Roman" w:hAnsi="Times New Roman"/>
          <w:b/>
          <w:szCs w:val="22"/>
        </w:rPr>
        <w:t>V</w:t>
      </w:r>
      <w:r w:rsidR="006F065A">
        <w:rPr>
          <w:rFonts w:ascii="Times New Roman" w:hAnsi="Times New Roman"/>
          <w:b/>
          <w:szCs w:val="22"/>
        </w:rPr>
        <w:t xml:space="preserve"> </w:t>
      </w:r>
      <w:r w:rsidRPr="00907622">
        <w:rPr>
          <w:rFonts w:ascii="Times New Roman" w:hAnsi="Times New Roman"/>
          <w:b/>
          <w:szCs w:val="22"/>
        </w:rPr>
        <w:t>porovnaní s</w:t>
      </w:r>
      <w:r w:rsidR="006F065A">
        <w:rPr>
          <w:rFonts w:ascii="Times New Roman" w:hAnsi="Times New Roman"/>
          <w:b/>
          <w:szCs w:val="22"/>
        </w:rPr>
        <w:t xml:space="preserve"> </w:t>
      </w:r>
      <w:r w:rsidRPr="00907622">
        <w:rPr>
          <w:rFonts w:ascii="Times New Roman" w:hAnsi="Times New Roman"/>
          <w:b/>
          <w:szCs w:val="22"/>
        </w:rPr>
        <w:t>rokom 20</w:t>
      </w:r>
      <w:r w:rsidR="00E1404D" w:rsidRPr="00907622">
        <w:rPr>
          <w:rFonts w:ascii="Times New Roman" w:hAnsi="Times New Roman"/>
          <w:b/>
          <w:szCs w:val="22"/>
        </w:rPr>
        <w:t>23</w:t>
      </w:r>
      <w:r w:rsidRPr="00907622">
        <w:rPr>
          <w:rFonts w:ascii="Times New Roman" w:hAnsi="Times New Roman"/>
          <w:b/>
          <w:szCs w:val="22"/>
        </w:rPr>
        <w:t xml:space="preserve"> je počet organizácií v</w:t>
      </w:r>
      <w:r w:rsidR="006F065A">
        <w:rPr>
          <w:rFonts w:ascii="Times New Roman" w:hAnsi="Times New Roman"/>
          <w:b/>
          <w:szCs w:val="22"/>
        </w:rPr>
        <w:t xml:space="preserve"> </w:t>
      </w:r>
      <w:r w:rsidRPr="00907622">
        <w:rPr>
          <w:rFonts w:ascii="Times New Roman" w:hAnsi="Times New Roman"/>
          <w:b/>
          <w:szCs w:val="22"/>
        </w:rPr>
        <w:t>súhrnnom celku v</w:t>
      </w:r>
      <w:r w:rsidR="006F065A">
        <w:rPr>
          <w:rFonts w:ascii="Times New Roman" w:hAnsi="Times New Roman"/>
          <w:b/>
          <w:szCs w:val="22"/>
        </w:rPr>
        <w:t xml:space="preserve"> </w:t>
      </w:r>
      <w:r w:rsidRPr="00907622">
        <w:rPr>
          <w:rFonts w:ascii="Times New Roman" w:hAnsi="Times New Roman"/>
          <w:b/>
          <w:szCs w:val="22"/>
        </w:rPr>
        <w:t xml:space="preserve">absolútnom vyjadrení </w:t>
      </w:r>
      <w:r w:rsidR="001C4FBC">
        <w:rPr>
          <w:rFonts w:ascii="Times New Roman" w:hAnsi="Times New Roman"/>
          <w:b/>
          <w:szCs w:val="22"/>
        </w:rPr>
        <w:t>v</w:t>
      </w:r>
      <w:r w:rsidR="00C278D7">
        <w:rPr>
          <w:rFonts w:ascii="Times New Roman" w:hAnsi="Times New Roman"/>
          <w:b/>
          <w:szCs w:val="22"/>
        </w:rPr>
        <w:t xml:space="preserve">yšší </w:t>
      </w:r>
      <w:r w:rsidRPr="00907622">
        <w:rPr>
          <w:rFonts w:ascii="Times New Roman" w:hAnsi="Times New Roman"/>
          <w:b/>
          <w:szCs w:val="22"/>
        </w:rPr>
        <w:t>o</w:t>
      </w:r>
      <w:r w:rsidR="006F065A">
        <w:rPr>
          <w:rFonts w:ascii="Times New Roman" w:hAnsi="Times New Roman"/>
          <w:b/>
          <w:szCs w:val="22"/>
        </w:rPr>
        <w:t xml:space="preserve"> </w:t>
      </w:r>
      <w:r w:rsidR="001C4FBC">
        <w:rPr>
          <w:rFonts w:ascii="Times New Roman" w:hAnsi="Times New Roman"/>
          <w:b/>
          <w:szCs w:val="22"/>
        </w:rPr>
        <w:t xml:space="preserve">38 </w:t>
      </w:r>
      <w:r w:rsidR="007D05B9" w:rsidRPr="00907622">
        <w:rPr>
          <w:rFonts w:ascii="Times New Roman" w:hAnsi="Times New Roman"/>
          <w:b/>
          <w:szCs w:val="22"/>
        </w:rPr>
        <w:t>účtovných jednotiek</w:t>
      </w:r>
      <w:r w:rsidRPr="00907622">
        <w:rPr>
          <w:rFonts w:ascii="Times New Roman" w:hAnsi="Times New Roman"/>
          <w:szCs w:val="22"/>
        </w:rPr>
        <w:t xml:space="preserve">. </w:t>
      </w:r>
    </w:p>
    <w:p w14:paraId="4BFB5206" w14:textId="5D867A66" w:rsidR="00647542" w:rsidRPr="00907622" w:rsidRDefault="00864B38" w:rsidP="00647542">
      <w:pPr>
        <w:tabs>
          <w:tab w:val="left" w:pos="3270"/>
        </w:tabs>
        <w:spacing w:after="120" w:line="240" w:lineRule="auto"/>
        <w:jc w:val="both"/>
        <w:rPr>
          <w:rFonts w:ascii="Times New Roman" w:hAnsi="Times New Roman"/>
          <w:szCs w:val="22"/>
        </w:rPr>
      </w:pPr>
      <w:r w:rsidRPr="00907622">
        <w:rPr>
          <w:rFonts w:ascii="Times New Roman" w:hAnsi="Times New Roman"/>
          <w:szCs w:val="22"/>
        </w:rPr>
        <w:t>Ústredná správa vykázala</w:t>
      </w:r>
      <w:r w:rsidR="00A425B8">
        <w:rPr>
          <w:rFonts w:ascii="Times New Roman" w:hAnsi="Times New Roman"/>
          <w:szCs w:val="22"/>
        </w:rPr>
        <w:t xml:space="preserve"> </w:t>
      </w:r>
      <w:r w:rsidRPr="00907622">
        <w:rPr>
          <w:rFonts w:ascii="Times New Roman" w:hAnsi="Times New Roman"/>
          <w:szCs w:val="22"/>
        </w:rPr>
        <w:t>pokles</w:t>
      </w:r>
      <w:r w:rsidR="00A425B8">
        <w:rPr>
          <w:rFonts w:ascii="Times New Roman" w:hAnsi="Times New Roman"/>
          <w:szCs w:val="22"/>
        </w:rPr>
        <w:t xml:space="preserve"> celkového počtu organizácií</w:t>
      </w:r>
      <w:r w:rsidRPr="00907622">
        <w:rPr>
          <w:rFonts w:ascii="Times New Roman" w:hAnsi="Times New Roman"/>
          <w:szCs w:val="22"/>
        </w:rPr>
        <w:t xml:space="preserve"> o</w:t>
      </w:r>
      <w:r w:rsidR="00AB0A51">
        <w:rPr>
          <w:rFonts w:ascii="Times New Roman" w:hAnsi="Times New Roman"/>
          <w:szCs w:val="22"/>
        </w:rPr>
        <w:t xml:space="preserve"> </w:t>
      </w:r>
      <w:r w:rsidR="001A4852">
        <w:rPr>
          <w:rFonts w:ascii="Times New Roman" w:hAnsi="Times New Roman"/>
          <w:szCs w:val="22"/>
        </w:rPr>
        <w:t>19</w:t>
      </w:r>
      <w:r w:rsidR="00463A83">
        <w:rPr>
          <w:rFonts w:ascii="Times New Roman" w:hAnsi="Times New Roman"/>
          <w:szCs w:val="22"/>
        </w:rPr>
        <w:t xml:space="preserve"> </w:t>
      </w:r>
      <w:r w:rsidR="00A425B8">
        <w:rPr>
          <w:rFonts w:ascii="Times New Roman" w:hAnsi="Times New Roman"/>
          <w:szCs w:val="22"/>
        </w:rPr>
        <w:t>účtovných jednotiek</w:t>
      </w:r>
      <w:r w:rsidRPr="00907622">
        <w:rPr>
          <w:rFonts w:ascii="Times New Roman" w:hAnsi="Times New Roman"/>
          <w:szCs w:val="22"/>
        </w:rPr>
        <w:t xml:space="preserve"> čo sa prejavilo najmä v kapitole Ministerstva spravodlivosti SR s</w:t>
      </w:r>
      <w:r w:rsidR="00AB0A51">
        <w:rPr>
          <w:rFonts w:ascii="Times New Roman" w:hAnsi="Times New Roman"/>
          <w:szCs w:val="22"/>
        </w:rPr>
        <w:t xml:space="preserve"> </w:t>
      </w:r>
      <w:r w:rsidRPr="00907622">
        <w:rPr>
          <w:rFonts w:ascii="Times New Roman" w:hAnsi="Times New Roman"/>
          <w:szCs w:val="22"/>
        </w:rPr>
        <w:t>počtom 18 zaniknutých rozpočtových organizácií</w:t>
      </w:r>
      <w:r w:rsidR="00647542" w:rsidRPr="00907622">
        <w:rPr>
          <w:rFonts w:ascii="Times New Roman" w:hAnsi="Times New Roman"/>
          <w:szCs w:val="22"/>
        </w:rPr>
        <w:t>.</w:t>
      </w:r>
    </w:p>
    <w:p w14:paraId="0386865A" w14:textId="117E8FA2" w:rsidR="00647542" w:rsidRPr="00907622" w:rsidRDefault="00647542" w:rsidP="00647542">
      <w:pPr>
        <w:tabs>
          <w:tab w:val="left" w:pos="3270"/>
        </w:tabs>
        <w:spacing w:after="120" w:line="240" w:lineRule="auto"/>
        <w:jc w:val="both"/>
        <w:rPr>
          <w:rFonts w:ascii="Times New Roman" w:hAnsi="Times New Roman"/>
          <w:szCs w:val="22"/>
        </w:rPr>
      </w:pPr>
      <w:r w:rsidRPr="00907622">
        <w:rPr>
          <w:rFonts w:ascii="Times New Roman" w:hAnsi="Times New Roman"/>
          <w:szCs w:val="22"/>
        </w:rPr>
        <w:t xml:space="preserve">Územná samospráva </w:t>
      </w:r>
      <w:r w:rsidR="00864B38" w:rsidRPr="00907622">
        <w:rPr>
          <w:rFonts w:ascii="Times New Roman" w:hAnsi="Times New Roman"/>
          <w:szCs w:val="22"/>
        </w:rPr>
        <w:t>vykázala</w:t>
      </w:r>
      <w:r w:rsidR="008451DA">
        <w:rPr>
          <w:rFonts w:ascii="Times New Roman" w:hAnsi="Times New Roman"/>
          <w:szCs w:val="22"/>
        </w:rPr>
        <w:t xml:space="preserve"> </w:t>
      </w:r>
      <w:r w:rsidR="00864B38" w:rsidRPr="00907622">
        <w:rPr>
          <w:rFonts w:ascii="Times New Roman" w:hAnsi="Times New Roman"/>
          <w:szCs w:val="22"/>
        </w:rPr>
        <w:t xml:space="preserve">nárast </w:t>
      </w:r>
      <w:r w:rsidR="00463A83">
        <w:rPr>
          <w:rFonts w:ascii="Times New Roman" w:hAnsi="Times New Roman"/>
          <w:szCs w:val="22"/>
        </w:rPr>
        <w:t xml:space="preserve">celkového </w:t>
      </w:r>
      <w:r w:rsidR="00864B38" w:rsidRPr="00907622">
        <w:rPr>
          <w:rFonts w:ascii="Times New Roman" w:hAnsi="Times New Roman"/>
          <w:szCs w:val="22"/>
        </w:rPr>
        <w:t>počtu</w:t>
      </w:r>
      <w:r w:rsidR="00463A83">
        <w:rPr>
          <w:rFonts w:ascii="Times New Roman" w:hAnsi="Times New Roman"/>
          <w:szCs w:val="22"/>
        </w:rPr>
        <w:t xml:space="preserve"> </w:t>
      </w:r>
      <w:r w:rsidRPr="00907622">
        <w:rPr>
          <w:rFonts w:ascii="Times New Roman" w:hAnsi="Times New Roman"/>
          <w:szCs w:val="22"/>
        </w:rPr>
        <w:t>organizácií o</w:t>
      </w:r>
      <w:r w:rsidR="00A425B8">
        <w:rPr>
          <w:rFonts w:ascii="Times New Roman" w:hAnsi="Times New Roman"/>
          <w:szCs w:val="22"/>
        </w:rPr>
        <w:t xml:space="preserve"> 9 </w:t>
      </w:r>
      <w:r w:rsidR="00E07AAB" w:rsidRPr="00907622">
        <w:rPr>
          <w:rFonts w:ascii="Times New Roman" w:hAnsi="Times New Roman"/>
          <w:szCs w:val="22"/>
        </w:rPr>
        <w:t>účtovných jednotiek</w:t>
      </w:r>
      <w:r w:rsidR="00E913CE">
        <w:rPr>
          <w:rFonts w:ascii="Times New Roman" w:hAnsi="Times New Roman"/>
          <w:szCs w:val="22"/>
        </w:rPr>
        <w:t xml:space="preserve"> čo sa prejavilo</w:t>
      </w:r>
      <w:r w:rsidR="008E1AA2">
        <w:rPr>
          <w:rFonts w:ascii="Times New Roman" w:hAnsi="Times New Roman"/>
          <w:szCs w:val="22"/>
        </w:rPr>
        <w:t xml:space="preserve"> </w:t>
      </w:r>
      <w:r w:rsidR="00C067D6">
        <w:rPr>
          <w:rFonts w:ascii="Times New Roman" w:hAnsi="Times New Roman"/>
          <w:szCs w:val="22"/>
        </w:rPr>
        <w:t>nárastom počtu rozpočtových organizácií</w:t>
      </w:r>
      <w:r w:rsidR="00DB49FC">
        <w:rPr>
          <w:rFonts w:ascii="Times New Roman" w:hAnsi="Times New Roman"/>
          <w:szCs w:val="22"/>
        </w:rPr>
        <w:t xml:space="preserve"> v počte 23 účtovných jednotiek</w:t>
      </w:r>
      <w:r w:rsidR="00E07AAB" w:rsidRPr="00907622">
        <w:rPr>
          <w:rFonts w:ascii="Times New Roman" w:hAnsi="Times New Roman"/>
          <w:szCs w:val="22"/>
        </w:rPr>
        <w:t xml:space="preserve"> a</w:t>
      </w:r>
      <w:r w:rsidR="00DB49FC">
        <w:rPr>
          <w:rFonts w:ascii="Times New Roman" w:hAnsi="Times New Roman"/>
          <w:szCs w:val="22"/>
        </w:rPr>
        <w:t xml:space="preserve"> poklesom </w:t>
      </w:r>
      <w:r w:rsidR="00E07AAB" w:rsidRPr="00907622">
        <w:rPr>
          <w:rFonts w:ascii="Times New Roman" w:hAnsi="Times New Roman"/>
          <w:szCs w:val="22"/>
        </w:rPr>
        <w:t>p</w:t>
      </w:r>
      <w:r w:rsidRPr="00907622">
        <w:rPr>
          <w:rFonts w:ascii="Times New Roman" w:hAnsi="Times New Roman"/>
          <w:szCs w:val="22"/>
        </w:rPr>
        <w:t>očt</w:t>
      </w:r>
      <w:r w:rsidR="00DB49FC">
        <w:rPr>
          <w:rFonts w:ascii="Times New Roman" w:hAnsi="Times New Roman"/>
          <w:szCs w:val="22"/>
        </w:rPr>
        <w:t>u</w:t>
      </w:r>
      <w:r w:rsidR="00D874B1">
        <w:rPr>
          <w:rFonts w:ascii="Times New Roman" w:hAnsi="Times New Roman"/>
          <w:szCs w:val="22"/>
        </w:rPr>
        <w:t xml:space="preserve"> o</w:t>
      </w:r>
      <w:r w:rsidRPr="00907622">
        <w:rPr>
          <w:rFonts w:ascii="Times New Roman" w:hAnsi="Times New Roman"/>
          <w:szCs w:val="22"/>
        </w:rPr>
        <w:t>bchodných spoločností</w:t>
      </w:r>
      <w:r w:rsidR="00D874B1">
        <w:rPr>
          <w:rFonts w:ascii="Times New Roman" w:hAnsi="Times New Roman"/>
          <w:szCs w:val="22"/>
        </w:rPr>
        <w:t xml:space="preserve"> o 16 </w:t>
      </w:r>
      <w:r w:rsidR="00E07AAB" w:rsidRPr="00907622">
        <w:rPr>
          <w:rFonts w:ascii="Times New Roman" w:hAnsi="Times New Roman"/>
          <w:szCs w:val="22"/>
        </w:rPr>
        <w:t>účtovných jednotiek</w:t>
      </w:r>
      <w:r w:rsidRPr="00907622">
        <w:rPr>
          <w:rFonts w:ascii="Times New Roman" w:hAnsi="Times New Roman"/>
          <w:szCs w:val="22"/>
        </w:rPr>
        <w:t xml:space="preserve">. </w:t>
      </w:r>
    </w:p>
    <w:p w14:paraId="5ADCD9D3" w14:textId="3AF648C0" w:rsidR="00647542" w:rsidRPr="00907622" w:rsidRDefault="008C744A" w:rsidP="00647542">
      <w:pPr>
        <w:tabs>
          <w:tab w:val="left" w:pos="3270"/>
        </w:tabs>
        <w:spacing w:after="120" w:line="240" w:lineRule="auto"/>
        <w:jc w:val="both"/>
        <w:rPr>
          <w:rFonts w:ascii="Times New Roman" w:hAnsi="Times New Roman"/>
          <w:szCs w:val="22"/>
        </w:rPr>
      </w:pPr>
      <w:r>
        <w:rPr>
          <w:rFonts w:ascii="Times New Roman" w:hAnsi="Times New Roman"/>
          <w:szCs w:val="22"/>
        </w:rPr>
        <w:t>V rámci územnej samosprávy</w:t>
      </w:r>
      <w:r w:rsidR="00CC21D2">
        <w:rPr>
          <w:rFonts w:ascii="Times New Roman" w:hAnsi="Times New Roman"/>
          <w:szCs w:val="22"/>
        </w:rPr>
        <w:t xml:space="preserve"> vykazovali</w:t>
      </w:r>
      <w:r w:rsidR="00BC2FC3">
        <w:rPr>
          <w:rFonts w:ascii="Times New Roman" w:hAnsi="Times New Roman"/>
          <w:szCs w:val="22"/>
        </w:rPr>
        <w:t xml:space="preserve"> v</w:t>
      </w:r>
      <w:r w:rsidR="00647542" w:rsidRPr="00907622">
        <w:rPr>
          <w:rFonts w:ascii="Times New Roman" w:hAnsi="Times New Roman"/>
          <w:szCs w:val="22"/>
        </w:rPr>
        <w:t xml:space="preserve">yššie územné celky vo svojich konsolidovaných celkoch </w:t>
      </w:r>
      <w:r w:rsidR="007B7B7D" w:rsidRPr="00907622">
        <w:rPr>
          <w:rFonts w:ascii="Times New Roman" w:hAnsi="Times New Roman"/>
          <w:szCs w:val="22"/>
        </w:rPr>
        <w:t>iba nepatrné zmeny a to pokles</w:t>
      </w:r>
      <w:r w:rsidR="00FD1B39">
        <w:rPr>
          <w:rFonts w:ascii="Times New Roman" w:hAnsi="Times New Roman"/>
          <w:szCs w:val="22"/>
        </w:rPr>
        <w:t xml:space="preserve"> celkového počtu</w:t>
      </w:r>
      <w:r w:rsidR="007B7B7D" w:rsidRPr="00907622">
        <w:rPr>
          <w:rFonts w:ascii="Times New Roman" w:hAnsi="Times New Roman"/>
          <w:szCs w:val="22"/>
        </w:rPr>
        <w:t xml:space="preserve"> rozpočtových organizácii o</w:t>
      </w:r>
      <w:r w:rsidR="00CC21D2">
        <w:rPr>
          <w:rFonts w:ascii="Times New Roman" w:hAnsi="Times New Roman"/>
          <w:szCs w:val="22"/>
        </w:rPr>
        <w:t> </w:t>
      </w:r>
      <w:r w:rsidR="007B7B7D" w:rsidRPr="00907622">
        <w:rPr>
          <w:rFonts w:ascii="Times New Roman" w:hAnsi="Times New Roman"/>
          <w:szCs w:val="22"/>
        </w:rPr>
        <w:t>1</w:t>
      </w:r>
      <w:r w:rsidR="00CC21D2">
        <w:rPr>
          <w:rFonts w:ascii="Times New Roman" w:hAnsi="Times New Roman"/>
          <w:szCs w:val="22"/>
        </w:rPr>
        <w:t xml:space="preserve"> účtovnú jednotku</w:t>
      </w:r>
      <w:r w:rsidR="007B7B7D" w:rsidRPr="00907622">
        <w:rPr>
          <w:rFonts w:ascii="Times New Roman" w:hAnsi="Times New Roman"/>
          <w:szCs w:val="22"/>
        </w:rPr>
        <w:t>, pokles</w:t>
      </w:r>
      <w:r w:rsidR="00FD1B39">
        <w:rPr>
          <w:rFonts w:ascii="Times New Roman" w:hAnsi="Times New Roman"/>
          <w:szCs w:val="22"/>
        </w:rPr>
        <w:t xml:space="preserve"> celkového počtu </w:t>
      </w:r>
      <w:r w:rsidR="007B7B7D" w:rsidRPr="00907622">
        <w:rPr>
          <w:rFonts w:ascii="Times New Roman" w:hAnsi="Times New Roman"/>
          <w:szCs w:val="22"/>
        </w:rPr>
        <w:t>príspevkových organizácii o</w:t>
      </w:r>
      <w:r w:rsidR="00CC21D2">
        <w:rPr>
          <w:rFonts w:ascii="Times New Roman" w:hAnsi="Times New Roman"/>
          <w:szCs w:val="22"/>
        </w:rPr>
        <w:t> 1 účtovnú jednotku</w:t>
      </w:r>
      <w:r w:rsidR="007B7B7D" w:rsidRPr="00907622">
        <w:rPr>
          <w:rFonts w:ascii="Times New Roman" w:hAnsi="Times New Roman"/>
          <w:szCs w:val="22"/>
        </w:rPr>
        <w:t xml:space="preserve"> a pokles </w:t>
      </w:r>
      <w:r w:rsidR="00FD1B39">
        <w:rPr>
          <w:rFonts w:ascii="Times New Roman" w:hAnsi="Times New Roman"/>
          <w:szCs w:val="22"/>
        </w:rPr>
        <w:t xml:space="preserve">celkového počtu </w:t>
      </w:r>
      <w:r w:rsidR="007B7B7D" w:rsidRPr="00907622">
        <w:rPr>
          <w:rFonts w:ascii="Times New Roman" w:hAnsi="Times New Roman"/>
          <w:szCs w:val="22"/>
        </w:rPr>
        <w:t>obchodných spoločností o 1 účtovnú jednotku.</w:t>
      </w:r>
    </w:p>
    <w:p w14:paraId="659D5728" w14:textId="64F69F8D" w:rsidR="00647542" w:rsidRPr="00907622" w:rsidRDefault="00647542" w:rsidP="00647542">
      <w:pPr>
        <w:tabs>
          <w:tab w:val="left" w:pos="3270"/>
        </w:tabs>
        <w:spacing w:after="120" w:line="240" w:lineRule="auto"/>
        <w:jc w:val="both"/>
        <w:rPr>
          <w:rFonts w:ascii="Times New Roman" w:hAnsi="Times New Roman"/>
          <w:szCs w:val="22"/>
        </w:rPr>
      </w:pPr>
      <w:r w:rsidRPr="00907622">
        <w:rPr>
          <w:rFonts w:ascii="Times New Roman" w:hAnsi="Times New Roman"/>
          <w:szCs w:val="22"/>
        </w:rPr>
        <w:t>V</w:t>
      </w:r>
      <w:r w:rsidR="00421D0B" w:rsidRPr="00907622">
        <w:rPr>
          <w:rFonts w:ascii="Times New Roman" w:hAnsi="Times New Roman"/>
          <w:szCs w:val="22"/>
        </w:rPr>
        <w:t xml:space="preserve"> </w:t>
      </w:r>
      <w:r w:rsidRPr="00907622">
        <w:rPr>
          <w:rFonts w:ascii="Times New Roman" w:hAnsi="Times New Roman"/>
          <w:szCs w:val="22"/>
        </w:rPr>
        <w:t>rámci ostatných subjektov došlo k poklesu o </w:t>
      </w:r>
      <w:r w:rsidR="00E60922">
        <w:rPr>
          <w:rFonts w:ascii="Times New Roman" w:hAnsi="Times New Roman"/>
          <w:szCs w:val="22"/>
        </w:rPr>
        <w:t>4</w:t>
      </w:r>
      <w:r w:rsidR="00580AEC">
        <w:rPr>
          <w:rFonts w:ascii="Times New Roman" w:hAnsi="Times New Roman"/>
          <w:szCs w:val="22"/>
        </w:rPr>
        <w:t>8</w:t>
      </w:r>
      <w:r w:rsidRPr="00907622">
        <w:rPr>
          <w:rFonts w:ascii="Times New Roman" w:hAnsi="Times New Roman"/>
          <w:szCs w:val="22"/>
        </w:rPr>
        <w:t xml:space="preserve">, pričom </w:t>
      </w:r>
      <w:r w:rsidR="008F2E9F">
        <w:rPr>
          <w:rFonts w:ascii="Times New Roman" w:hAnsi="Times New Roman"/>
          <w:szCs w:val="22"/>
        </w:rPr>
        <w:t xml:space="preserve">pokles vykázali </w:t>
      </w:r>
      <w:r w:rsidRPr="00907622">
        <w:rPr>
          <w:rFonts w:ascii="Times New Roman" w:hAnsi="Times New Roman"/>
          <w:szCs w:val="22"/>
        </w:rPr>
        <w:t xml:space="preserve">neziskové organizácie </w:t>
      </w:r>
      <w:r w:rsidR="00F74615">
        <w:rPr>
          <w:rFonts w:ascii="Times New Roman" w:hAnsi="Times New Roman"/>
          <w:szCs w:val="22"/>
        </w:rPr>
        <w:t>súhrnného celku</w:t>
      </w:r>
      <w:r w:rsidRPr="00907622">
        <w:rPr>
          <w:rFonts w:ascii="Times New Roman" w:hAnsi="Times New Roman"/>
          <w:szCs w:val="22"/>
        </w:rPr>
        <w:t>, ktorých počet kolíše v závislosti od predložených individuálnych účtovných závierok. Viaceré neziskové organizácie obcí sú založené len formálne a nevykonávajú žiadnu hospodársku činnosť.</w:t>
      </w:r>
    </w:p>
    <w:p w14:paraId="30439506" w14:textId="7F4CD3D6" w:rsidR="00505C0F" w:rsidRPr="00907622" w:rsidRDefault="00647542" w:rsidP="00647542">
      <w:pPr>
        <w:spacing w:before="120" w:after="120" w:line="240" w:lineRule="auto"/>
        <w:jc w:val="both"/>
        <w:rPr>
          <w:rFonts w:ascii="Times New Roman" w:hAnsi="Times New Roman"/>
          <w:szCs w:val="22"/>
        </w:rPr>
      </w:pPr>
      <w:r w:rsidRPr="00907622">
        <w:rPr>
          <w:rFonts w:ascii="Times New Roman" w:hAnsi="Times New Roman"/>
          <w:szCs w:val="22"/>
        </w:rPr>
        <w:t>Tabuľka o počte organizácií v súhrnnom celku je založená na princípe vzniku týchto organizácií, či už patria do zriaďovateľskej pôsobnosti štátu, územnej samosprávy alebo boli založené zákonom alebo v prípade obchodných spoločností v nich vykonáva kontrolu subjekt verejnej správy. Do počtu organizácií sú zahrnuté aj pridružené účtovné jednotky (s majetkovým podielom nad 20 %). Hodnoty v súvahe a vo výkaze ziskov a strát sú prezentované len za subjekty, ktoré predložili účtovnú závierku za rok 20</w:t>
      </w:r>
      <w:r w:rsidR="00A52E8A" w:rsidRPr="00907622">
        <w:rPr>
          <w:rFonts w:ascii="Times New Roman" w:hAnsi="Times New Roman"/>
          <w:szCs w:val="22"/>
        </w:rPr>
        <w:t>24</w:t>
      </w:r>
      <w:r w:rsidRPr="00907622">
        <w:rPr>
          <w:rFonts w:ascii="Times New Roman" w:hAnsi="Times New Roman"/>
          <w:szCs w:val="22"/>
        </w:rPr>
        <w:t xml:space="preserve"> (a takisto okrem pridružených účtovných jednotiek, ktoré nevstupujú do agregovaných údajov).</w:t>
      </w:r>
    </w:p>
    <w:p w14:paraId="7A1A48B3" w14:textId="77777777" w:rsidR="00AB0A51" w:rsidRDefault="00AB0A51" w:rsidP="00647542">
      <w:pPr>
        <w:spacing w:before="120" w:after="120" w:line="240" w:lineRule="auto"/>
        <w:jc w:val="both"/>
        <w:rPr>
          <w:rFonts w:ascii="Times New Roman" w:hAnsi="Times New Roman"/>
          <w:szCs w:val="22"/>
        </w:rPr>
      </w:pPr>
    </w:p>
    <w:p w14:paraId="4CC8EB7E" w14:textId="77777777" w:rsidR="00DA53D2" w:rsidRPr="007253B7" w:rsidRDefault="00DA53D2" w:rsidP="00647542">
      <w:pPr>
        <w:spacing w:before="120" w:after="120" w:line="240" w:lineRule="auto"/>
        <w:jc w:val="both"/>
        <w:rPr>
          <w:rFonts w:ascii="Times New Roman" w:hAnsi="Times New Roman"/>
          <w:szCs w:val="22"/>
        </w:rPr>
      </w:pPr>
    </w:p>
    <w:p w14:paraId="27189938" w14:textId="7BB9B877" w:rsidR="00647542" w:rsidRDefault="00647542" w:rsidP="00647542">
      <w:pPr>
        <w:pStyle w:val="Popis"/>
        <w:rPr>
          <w:noProof/>
        </w:rPr>
      </w:pPr>
      <w:r w:rsidRPr="00907622">
        <w:lastRenderedPageBreak/>
        <w:t xml:space="preserve">Tabuľka </w:t>
      </w:r>
      <w:r w:rsidRPr="00907622">
        <w:fldChar w:fldCharType="begin"/>
      </w:r>
      <w:r w:rsidRPr="00907622">
        <w:instrText xml:space="preserve"> SEQ Tabuľka \* ARABIC </w:instrText>
      </w:r>
      <w:r w:rsidRPr="00907622">
        <w:fldChar w:fldCharType="separate"/>
      </w:r>
      <w:r w:rsidRPr="00907622">
        <w:rPr>
          <w:noProof/>
        </w:rPr>
        <w:t>1</w:t>
      </w:r>
      <w:r w:rsidRPr="00907622">
        <w:rPr>
          <w:noProof/>
        </w:rPr>
        <w:fldChar w:fldCharType="end"/>
      </w:r>
    </w:p>
    <w:tbl>
      <w:tblPr>
        <w:tblW w:w="9072" w:type="dxa"/>
        <w:jc w:val="center"/>
        <w:tblCellMar>
          <w:left w:w="70" w:type="dxa"/>
          <w:right w:w="70" w:type="dxa"/>
        </w:tblCellMar>
        <w:tblLook w:val="04A0" w:firstRow="1" w:lastRow="0" w:firstColumn="1" w:lastColumn="0" w:noHBand="0" w:noVBand="1"/>
      </w:tblPr>
      <w:tblGrid>
        <w:gridCol w:w="5533"/>
        <w:gridCol w:w="1179"/>
        <w:gridCol w:w="1179"/>
        <w:gridCol w:w="1181"/>
      </w:tblGrid>
      <w:tr w:rsidR="00D90E38" w:rsidRPr="007253B7" w14:paraId="52387D7B" w14:textId="77777777" w:rsidTr="003B1E4C">
        <w:trPr>
          <w:trHeight w:val="227"/>
          <w:jc w:val="center"/>
        </w:trPr>
        <w:tc>
          <w:tcPr>
            <w:tcW w:w="3049" w:type="pct"/>
            <w:tcBorders>
              <w:top w:val="single" w:sz="8" w:space="0" w:color="auto"/>
              <w:left w:val="nil"/>
              <w:bottom w:val="single" w:sz="8" w:space="0" w:color="auto"/>
              <w:right w:val="nil"/>
            </w:tcBorders>
            <w:shd w:val="clear" w:color="000000" w:fill="F4B084"/>
            <w:noWrap/>
            <w:vAlign w:val="center"/>
            <w:hideMark/>
          </w:tcPr>
          <w:p w14:paraId="578259D8" w14:textId="77777777" w:rsidR="00D90E38" w:rsidRPr="00D90E38" w:rsidRDefault="00D90E38" w:rsidP="00D90E38">
            <w:pPr>
              <w:spacing w:after="0" w:line="240" w:lineRule="auto"/>
              <w:rPr>
                <w:rFonts w:ascii="Times New Roman" w:hAnsi="Times New Roman"/>
                <w:b/>
                <w:bCs/>
                <w:color w:val="000000"/>
                <w:sz w:val="18"/>
                <w:szCs w:val="18"/>
                <w:lang w:eastAsia="sk-SK"/>
              </w:rPr>
            </w:pPr>
            <w:r w:rsidRPr="00D90E38">
              <w:rPr>
                <w:rFonts w:ascii="Times New Roman" w:hAnsi="Times New Roman"/>
                <w:b/>
                <w:bCs/>
                <w:color w:val="000000"/>
                <w:sz w:val="18"/>
                <w:szCs w:val="18"/>
                <w:lang w:eastAsia="sk-SK"/>
              </w:rPr>
              <w:t xml:space="preserve">Počet organizácií v súhrnnom celku </w:t>
            </w:r>
          </w:p>
        </w:tc>
        <w:tc>
          <w:tcPr>
            <w:tcW w:w="650" w:type="pct"/>
            <w:tcBorders>
              <w:top w:val="single" w:sz="8" w:space="0" w:color="auto"/>
              <w:left w:val="nil"/>
              <w:bottom w:val="single" w:sz="8" w:space="0" w:color="auto"/>
              <w:right w:val="nil"/>
            </w:tcBorders>
            <w:shd w:val="clear" w:color="000000" w:fill="F4B084"/>
            <w:noWrap/>
            <w:vAlign w:val="center"/>
            <w:hideMark/>
          </w:tcPr>
          <w:p w14:paraId="3EBD9BD8" w14:textId="77777777" w:rsidR="00D90E38" w:rsidRPr="00D90E38" w:rsidRDefault="00D90E38" w:rsidP="00D90E38">
            <w:pPr>
              <w:spacing w:after="0" w:line="240" w:lineRule="auto"/>
              <w:jc w:val="center"/>
              <w:rPr>
                <w:rFonts w:ascii="Times New Roman" w:hAnsi="Times New Roman"/>
                <w:b/>
                <w:bCs/>
                <w:color w:val="000000"/>
                <w:sz w:val="18"/>
                <w:szCs w:val="18"/>
                <w:lang w:eastAsia="sk-SK"/>
              </w:rPr>
            </w:pPr>
            <w:r w:rsidRPr="00D90E38">
              <w:rPr>
                <w:rFonts w:ascii="Times New Roman" w:hAnsi="Times New Roman"/>
                <w:b/>
                <w:bCs/>
                <w:color w:val="000000"/>
                <w:sz w:val="18"/>
                <w:szCs w:val="18"/>
                <w:lang w:eastAsia="sk-SK"/>
              </w:rPr>
              <w:t> </w:t>
            </w:r>
          </w:p>
        </w:tc>
        <w:tc>
          <w:tcPr>
            <w:tcW w:w="650" w:type="pct"/>
            <w:tcBorders>
              <w:top w:val="single" w:sz="8" w:space="0" w:color="auto"/>
              <w:left w:val="nil"/>
              <w:bottom w:val="single" w:sz="8" w:space="0" w:color="auto"/>
              <w:right w:val="nil"/>
            </w:tcBorders>
            <w:shd w:val="clear" w:color="000000" w:fill="F4B084"/>
            <w:noWrap/>
            <w:vAlign w:val="center"/>
            <w:hideMark/>
          </w:tcPr>
          <w:p w14:paraId="0B108849" w14:textId="77777777" w:rsidR="00D90E38" w:rsidRPr="00D90E38" w:rsidRDefault="00D90E38" w:rsidP="00D90E38">
            <w:pPr>
              <w:spacing w:after="0" w:line="240" w:lineRule="auto"/>
              <w:jc w:val="center"/>
              <w:rPr>
                <w:rFonts w:ascii="Times New Roman" w:hAnsi="Times New Roman"/>
                <w:b/>
                <w:bCs/>
                <w:color w:val="000000"/>
                <w:sz w:val="18"/>
                <w:szCs w:val="18"/>
                <w:lang w:eastAsia="sk-SK"/>
              </w:rPr>
            </w:pPr>
            <w:r w:rsidRPr="00D90E38">
              <w:rPr>
                <w:rFonts w:ascii="Times New Roman" w:hAnsi="Times New Roman"/>
                <w:b/>
                <w:bCs/>
                <w:color w:val="000000"/>
                <w:sz w:val="18"/>
                <w:szCs w:val="18"/>
                <w:lang w:eastAsia="sk-SK"/>
              </w:rPr>
              <w:t> </w:t>
            </w:r>
          </w:p>
        </w:tc>
        <w:tc>
          <w:tcPr>
            <w:tcW w:w="651" w:type="pct"/>
            <w:tcBorders>
              <w:top w:val="single" w:sz="8" w:space="0" w:color="auto"/>
              <w:left w:val="nil"/>
              <w:bottom w:val="single" w:sz="8" w:space="0" w:color="auto"/>
              <w:right w:val="nil"/>
            </w:tcBorders>
            <w:shd w:val="clear" w:color="000000" w:fill="F4B084"/>
            <w:noWrap/>
            <w:vAlign w:val="center"/>
            <w:hideMark/>
          </w:tcPr>
          <w:p w14:paraId="144911B1" w14:textId="77777777" w:rsidR="00D90E38" w:rsidRPr="00D90E38" w:rsidRDefault="00D90E38" w:rsidP="00D90E38">
            <w:pPr>
              <w:spacing w:after="0" w:line="240" w:lineRule="auto"/>
              <w:jc w:val="center"/>
              <w:rPr>
                <w:rFonts w:ascii="Times New Roman" w:hAnsi="Times New Roman"/>
                <w:color w:val="000000"/>
                <w:sz w:val="18"/>
                <w:szCs w:val="18"/>
                <w:lang w:eastAsia="sk-SK"/>
              </w:rPr>
            </w:pPr>
            <w:r w:rsidRPr="00D90E38">
              <w:rPr>
                <w:rFonts w:ascii="Times New Roman" w:hAnsi="Times New Roman"/>
                <w:color w:val="000000"/>
                <w:sz w:val="18"/>
                <w:szCs w:val="18"/>
                <w:lang w:eastAsia="sk-SK"/>
              </w:rPr>
              <w:t> </w:t>
            </w:r>
          </w:p>
        </w:tc>
      </w:tr>
      <w:tr w:rsidR="00D90E38" w:rsidRPr="007253B7" w14:paraId="7A587009" w14:textId="77777777" w:rsidTr="003B1E4C">
        <w:trPr>
          <w:trHeight w:val="227"/>
          <w:jc w:val="center"/>
        </w:trPr>
        <w:tc>
          <w:tcPr>
            <w:tcW w:w="3049" w:type="pct"/>
            <w:tcBorders>
              <w:top w:val="nil"/>
              <w:left w:val="nil"/>
              <w:bottom w:val="single" w:sz="8" w:space="0" w:color="auto"/>
              <w:right w:val="nil"/>
            </w:tcBorders>
            <w:shd w:val="clear" w:color="000000" w:fill="BDD7EE"/>
            <w:noWrap/>
            <w:vAlign w:val="center"/>
            <w:hideMark/>
          </w:tcPr>
          <w:p w14:paraId="5C32AAC7" w14:textId="77777777" w:rsidR="00D90E38" w:rsidRPr="00D90E38" w:rsidRDefault="00D90E38" w:rsidP="00D90E38">
            <w:pPr>
              <w:spacing w:after="0" w:line="240" w:lineRule="auto"/>
              <w:rPr>
                <w:rFonts w:ascii="Times New Roman" w:hAnsi="Times New Roman"/>
                <w:b/>
                <w:bCs/>
                <w:color w:val="FF0000"/>
                <w:sz w:val="18"/>
                <w:szCs w:val="18"/>
                <w:lang w:eastAsia="sk-SK"/>
              </w:rPr>
            </w:pPr>
            <w:r w:rsidRPr="00D90E38">
              <w:rPr>
                <w:rFonts w:ascii="Times New Roman" w:hAnsi="Times New Roman"/>
                <w:b/>
                <w:bCs/>
                <w:color w:val="FF0000"/>
                <w:sz w:val="18"/>
                <w:szCs w:val="18"/>
                <w:lang w:eastAsia="sk-SK"/>
              </w:rPr>
              <w:t> </w:t>
            </w:r>
          </w:p>
        </w:tc>
        <w:tc>
          <w:tcPr>
            <w:tcW w:w="650" w:type="pct"/>
            <w:tcBorders>
              <w:top w:val="nil"/>
              <w:left w:val="nil"/>
              <w:bottom w:val="single" w:sz="8" w:space="0" w:color="auto"/>
              <w:right w:val="nil"/>
            </w:tcBorders>
            <w:shd w:val="clear" w:color="000000" w:fill="BDD7EE"/>
            <w:noWrap/>
            <w:vAlign w:val="center"/>
            <w:hideMark/>
          </w:tcPr>
          <w:p w14:paraId="1ECE7EFE" w14:textId="77777777" w:rsidR="00D90E38" w:rsidRPr="00D90E38" w:rsidRDefault="00D90E38" w:rsidP="00D90E38">
            <w:pPr>
              <w:spacing w:after="0" w:line="240" w:lineRule="auto"/>
              <w:jc w:val="center"/>
              <w:rPr>
                <w:rFonts w:ascii="Times New Roman" w:hAnsi="Times New Roman"/>
                <w:b/>
                <w:bCs/>
                <w:color w:val="000000"/>
                <w:sz w:val="18"/>
                <w:szCs w:val="18"/>
                <w:lang w:eastAsia="sk-SK"/>
              </w:rPr>
            </w:pPr>
            <w:r w:rsidRPr="00D90E38">
              <w:rPr>
                <w:rFonts w:ascii="Times New Roman" w:hAnsi="Times New Roman"/>
                <w:b/>
                <w:bCs/>
                <w:color w:val="000000"/>
                <w:sz w:val="18"/>
                <w:szCs w:val="18"/>
                <w:lang w:eastAsia="sk-SK"/>
              </w:rPr>
              <w:t>2024</w:t>
            </w:r>
          </w:p>
        </w:tc>
        <w:tc>
          <w:tcPr>
            <w:tcW w:w="650" w:type="pct"/>
            <w:tcBorders>
              <w:top w:val="nil"/>
              <w:left w:val="nil"/>
              <w:bottom w:val="single" w:sz="8" w:space="0" w:color="auto"/>
              <w:right w:val="nil"/>
            </w:tcBorders>
            <w:shd w:val="clear" w:color="000000" w:fill="BDD7EE"/>
            <w:noWrap/>
            <w:vAlign w:val="center"/>
            <w:hideMark/>
          </w:tcPr>
          <w:p w14:paraId="72EAA2EC" w14:textId="77777777" w:rsidR="00D90E38" w:rsidRPr="00D90E38" w:rsidRDefault="00D90E38" w:rsidP="00D90E38">
            <w:pPr>
              <w:spacing w:after="0" w:line="240" w:lineRule="auto"/>
              <w:jc w:val="center"/>
              <w:rPr>
                <w:rFonts w:ascii="Times New Roman" w:hAnsi="Times New Roman"/>
                <w:b/>
                <w:bCs/>
                <w:color w:val="000000"/>
                <w:sz w:val="18"/>
                <w:szCs w:val="18"/>
                <w:lang w:eastAsia="sk-SK"/>
              </w:rPr>
            </w:pPr>
            <w:r w:rsidRPr="00D90E38">
              <w:rPr>
                <w:rFonts w:ascii="Times New Roman" w:hAnsi="Times New Roman"/>
                <w:b/>
                <w:bCs/>
                <w:color w:val="000000"/>
                <w:sz w:val="18"/>
                <w:szCs w:val="18"/>
                <w:lang w:eastAsia="sk-SK"/>
              </w:rPr>
              <w:t>2023</w:t>
            </w:r>
          </w:p>
        </w:tc>
        <w:tc>
          <w:tcPr>
            <w:tcW w:w="651" w:type="pct"/>
            <w:tcBorders>
              <w:top w:val="nil"/>
              <w:left w:val="nil"/>
              <w:bottom w:val="single" w:sz="8" w:space="0" w:color="auto"/>
              <w:right w:val="nil"/>
            </w:tcBorders>
            <w:shd w:val="clear" w:color="000000" w:fill="BDD7EE"/>
            <w:noWrap/>
            <w:vAlign w:val="center"/>
            <w:hideMark/>
          </w:tcPr>
          <w:p w14:paraId="2E7930F8" w14:textId="77777777" w:rsidR="00D90E38" w:rsidRPr="00D90E38" w:rsidRDefault="00D90E38" w:rsidP="00D90E38">
            <w:pPr>
              <w:spacing w:after="0" w:line="240" w:lineRule="auto"/>
              <w:jc w:val="center"/>
              <w:rPr>
                <w:rFonts w:ascii="Times New Roman" w:hAnsi="Times New Roman"/>
                <w:b/>
                <w:bCs/>
                <w:color w:val="000000"/>
                <w:sz w:val="18"/>
                <w:szCs w:val="18"/>
                <w:lang w:eastAsia="sk-SK"/>
              </w:rPr>
            </w:pPr>
            <w:r w:rsidRPr="00D90E38">
              <w:rPr>
                <w:rFonts w:ascii="Times New Roman" w:hAnsi="Times New Roman"/>
                <w:b/>
                <w:bCs/>
                <w:color w:val="000000"/>
                <w:sz w:val="18"/>
                <w:szCs w:val="18"/>
                <w:lang w:eastAsia="sk-SK"/>
              </w:rPr>
              <w:t>Δ 2024-2023</w:t>
            </w:r>
          </w:p>
        </w:tc>
      </w:tr>
      <w:tr w:rsidR="00D90E38" w:rsidRPr="007253B7" w14:paraId="63AD965A" w14:textId="77777777" w:rsidTr="0085799C">
        <w:trPr>
          <w:trHeight w:val="227"/>
          <w:jc w:val="center"/>
        </w:trPr>
        <w:tc>
          <w:tcPr>
            <w:tcW w:w="3049" w:type="pct"/>
            <w:tcBorders>
              <w:top w:val="nil"/>
              <w:left w:val="nil"/>
              <w:bottom w:val="single" w:sz="8" w:space="0" w:color="auto"/>
              <w:right w:val="nil"/>
            </w:tcBorders>
            <w:noWrap/>
            <w:vAlign w:val="center"/>
            <w:hideMark/>
          </w:tcPr>
          <w:p w14:paraId="2DCEF039" w14:textId="77777777" w:rsidR="00D90E38" w:rsidRPr="00D90E38" w:rsidRDefault="00D90E38" w:rsidP="00D90E38">
            <w:pPr>
              <w:spacing w:after="0" w:line="240" w:lineRule="auto"/>
              <w:jc w:val="both"/>
              <w:rPr>
                <w:rFonts w:ascii="Times New Roman" w:hAnsi="Times New Roman"/>
                <w:b/>
                <w:bCs/>
                <w:color w:val="000000"/>
                <w:sz w:val="18"/>
                <w:szCs w:val="18"/>
                <w:lang w:eastAsia="sk-SK"/>
              </w:rPr>
            </w:pPr>
            <w:r w:rsidRPr="00D90E38">
              <w:rPr>
                <w:rFonts w:ascii="Times New Roman" w:hAnsi="Times New Roman"/>
                <w:b/>
                <w:bCs/>
                <w:color w:val="000000"/>
                <w:sz w:val="18"/>
                <w:szCs w:val="18"/>
                <w:lang w:eastAsia="sk-SK"/>
              </w:rPr>
              <w:t>Súhrnný celok spolu</w:t>
            </w:r>
          </w:p>
        </w:tc>
        <w:tc>
          <w:tcPr>
            <w:tcW w:w="650" w:type="pct"/>
            <w:tcBorders>
              <w:top w:val="nil"/>
              <w:left w:val="nil"/>
              <w:bottom w:val="single" w:sz="8" w:space="0" w:color="auto"/>
              <w:right w:val="nil"/>
            </w:tcBorders>
            <w:noWrap/>
            <w:vAlign w:val="center"/>
            <w:hideMark/>
          </w:tcPr>
          <w:p w14:paraId="76E2845C" w14:textId="77777777" w:rsidR="00D90E38" w:rsidRPr="00D90E38" w:rsidRDefault="00D90E38" w:rsidP="0085799C">
            <w:pPr>
              <w:spacing w:after="0" w:line="240" w:lineRule="auto"/>
              <w:jc w:val="right"/>
              <w:rPr>
                <w:rFonts w:ascii="Times New Roman" w:hAnsi="Times New Roman"/>
                <w:b/>
                <w:bCs/>
                <w:color w:val="000000"/>
                <w:sz w:val="18"/>
                <w:szCs w:val="18"/>
                <w:lang w:eastAsia="sk-SK"/>
              </w:rPr>
            </w:pPr>
            <w:r w:rsidRPr="00D90E38">
              <w:rPr>
                <w:rFonts w:ascii="Times New Roman" w:hAnsi="Times New Roman"/>
                <w:b/>
                <w:bCs/>
                <w:color w:val="000000"/>
                <w:sz w:val="18"/>
                <w:szCs w:val="18"/>
                <w:lang w:eastAsia="sk-SK"/>
              </w:rPr>
              <w:t>8 398</w:t>
            </w:r>
          </w:p>
        </w:tc>
        <w:tc>
          <w:tcPr>
            <w:tcW w:w="650" w:type="pct"/>
            <w:tcBorders>
              <w:top w:val="nil"/>
              <w:left w:val="nil"/>
              <w:bottom w:val="single" w:sz="8" w:space="0" w:color="auto"/>
              <w:right w:val="nil"/>
            </w:tcBorders>
            <w:noWrap/>
            <w:vAlign w:val="center"/>
            <w:hideMark/>
          </w:tcPr>
          <w:p w14:paraId="6AFCAC77" w14:textId="77777777" w:rsidR="00D90E38" w:rsidRPr="00D90E38" w:rsidRDefault="00D90E38" w:rsidP="0085799C">
            <w:pPr>
              <w:spacing w:after="0" w:line="240" w:lineRule="auto"/>
              <w:jc w:val="right"/>
              <w:rPr>
                <w:rFonts w:ascii="Times New Roman" w:hAnsi="Times New Roman"/>
                <w:b/>
                <w:bCs/>
                <w:color w:val="000000"/>
                <w:sz w:val="18"/>
                <w:szCs w:val="18"/>
                <w:lang w:eastAsia="sk-SK"/>
              </w:rPr>
            </w:pPr>
            <w:r w:rsidRPr="00D90E38">
              <w:rPr>
                <w:rFonts w:ascii="Times New Roman" w:hAnsi="Times New Roman"/>
                <w:b/>
                <w:bCs/>
                <w:color w:val="000000"/>
                <w:sz w:val="18"/>
                <w:szCs w:val="18"/>
                <w:lang w:eastAsia="sk-SK"/>
              </w:rPr>
              <w:t>8 360</w:t>
            </w:r>
          </w:p>
        </w:tc>
        <w:tc>
          <w:tcPr>
            <w:tcW w:w="651" w:type="pct"/>
            <w:tcBorders>
              <w:top w:val="nil"/>
              <w:left w:val="nil"/>
              <w:bottom w:val="single" w:sz="8" w:space="0" w:color="auto"/>
              <w:right w:val="nil"/>
            </w:tcBorders>
            <w:noWrap/>
            <w:vAlign w:val="center"/>
            <w:hideMark/>
          </w:tcPr>
          <w:p w14:paraId="7A71328F" w14:textId="77777777" w:rsidR="00D90E38" w:rsidRPr="00D90E38" w:rsidRDefault="00D90E38" w:rsidP="0085799C">
            <w:pPr>
              <w:spacing w:after="0" w:line="240" w:lineRule="auto"/>
              <w:jc w:val="right"/>
              <w:rPr>
                <w:rFonts w:ascii="Times New Roman" w:hAnsi="Times New Roman"/>
                <w:b/>
                <w:bCs/>
                <w:color w:val="000000"/>
                <w:sz w:val="18"/>
                <w:szCs w:val="18"/>
                <w:lang w:eastAsia="sk-SK"/>
              </w:rPr>
            </w:pPr>
            <w:r w:rsidRPr="00D90E38">
              <w:rPr>
                <w:rFonts w:ascii="Times New Roman" w:hAnsi="Times New Roman"/>
                <w:b/>
                <w:bCs/>
                <w:color w:val="000000"/>
                <w:sz w:val="18"/>
                <w:szCs w:val="18"/>
                <w:lang w:eastAsia="sk-SK"/>
              </w:rPr>
              <w:t>38</w:t>
            </w:r>
          </w:p>
        </w:tc>
      </w:tr>
      <w:tr w:rsidR="00D90E38" w:rsidRPr="007253B7" w14:paraId="2F5B06BA" w14:textId="77777777" w:rsidTr="0085799C">
        <w:trPr>
          <w:trHeight w:val="227"/>
          <w:jc w:val="center"/>
        </w:trPr>
        <w:tc>
          <w:tcPr>
            <w:tcW w:w="3049" w:type="pct"/>
            <w:tcBorders>
              <w:top w:val="nil"/>
              <w:left w:val="nil"/>
              <w:bottom w:val="nil"/>
              <w:right w:val="nil"/>
            </w:tcBorders>
            <w:noWrap/>
            <w:vAlign w:val="center"/>
            <w:hideMark/>
          </w:tcPr>
          <w:p w14:paraId="156DE505" w14:textId="77777777" w:rsidR="00D90E38" w:rsidRPr="00D90E38" w:rsidRDefault="00D90E38" w:rsidP="00D90E38">
            <w:pPr>
              <w:spacing w:after="0" w:line="240" w:lineRule="auto"/>
              <w:rPr>
                <w:rFonts w:ascii="Times New Roman" w:hAnsi="Times New Roman"/>
                <w:b/>
                <w:bCs/>
                <w:color w:val="000000"/>
                <w:sz w:val="18"/>
                <w:szCs w:val="18"/>
                <w:lang w:eastAsia="sk-SK"/>
              </w:rPr>
            </w:pPr>
            <w:r w:rsidRPr="00D90E38">
              <w:rPr>
                <w:rFonts w:ascii="Times New Roman" w:hAnsi="Times New Roman"/>
                <w:b/>
                <w:bCs/>
                <w:color w:val="000000"/>
                <w:sz w:val="18"/>
                <w:szCs w:val="18"/>
                <w:lang w:eastAsia="sk-SK"/>
              </w:rPr>
              <w:t>v tom</w:t>
            </w:r>
          </w:p>
        </w:tc>
        <w:tc>
          <w:tcPr>
            <w:tcW w:w="650" w:type="pct"/>
            <w:tcBorders>
              <w:top w:val="nil"/>
              <w:left w:val="nil"/>
              <w:bottom w:val="nil"/>
              <w:right w:val="nil"/>
            </w:tcBorders>
            <w:noWrap/>
            <w:vAlign w:val="center"/>
            <w:hideMark/>
          </w:tcPr>
          <w:p w14:paraId="33F7C0FE" w14:textId="77777777" w:rsidR="00D90E38" w:rsidRPr="00D90E38" w:rsidRDefault="00D90E38" w:rsidP="0085799C">
            <w:pPr>
              <w:spacing w:after="0" w:line="240" w:lineRule="auto"/>
              <w:jc w:val="right"/>
              <w:rPr>
                <w:rFonts w:ascii="Times New Roman" w:hAnsi="Times New Roman"/>
                <w:b/>
                <w:bCs/>
                <w:color w:val="000000"/>
                <w:sz w:val="18"/>
                <w:szCs w:val="18"/>
                <w:lang w:eastAsia="sk-SK"/>
              </w:rPr>
            </w:pPr>
          </w:p>
        </w:tc>
        <w:tc>
          <w:tcPr>
            <w:tcW w:w="650" w:type="pct"/>
            <w:tcBorders>
              <w:top w:val="nil"/>
              <w:left w:val="nil"/>
              <w:bottom w:val="nil"/>
              <w:right w:val="nil"/>
            </w:tcBorders>
            <w:noWrap/>
            <w:vAlign w:val="center"/>
            <w:hideMark/>
          </w:tcPr>
          <w:p w14:paraId="42B39163" w14:textId="77777777" w:rsidR="00D90E38" w:rsidRPr="00D90E38" w:rsidRDefault="00D90E38" w:rsidP="0085799C">
            <w:pPr>
              <w:spacing w:after="0" w:line="240" w:lineRule="auto"/>
              <w:jc w:val="right"/>
              <w:rPr>
                <w:rFonts w:ascii="Times New Roman" w:hAnsi="Times New Roman"/>
                <w:sz w:val="20"/>
                <w:szCs w:val="20"/>
                <w:lang w:eastAsia="sk-SK"/>
              </w:rPr>
            </w:pPr>
          </w:p>
        </w:tc>
        <w:tc>
          <w:tcPr>
            <w:tcW w:w="651" w:type="pct"/>
            <w:tcBorders>
              <w:top w:val="nil"/>
              <w:left w:val="nil"/>
              <w:bottom w:val="nil"/>
              <w:right w:val="nil"/>
            </w:tcBorders>
            <w:noWrap/>
            <w:vAlign w:val="center"/>
            <w:hideMark/>
          </w:tcPr>
          <w:p w14:paraId="7DDD56E2" w14:textId="77777777" w:rsidR="00D90E38" w:rsidRPr="00D90E38" w:rsidRDefault="00D90E38" w:rsidP="0085799C">
            <w:pPr>
              <w:spacing w:after="0" w:line="240" w:lineRule="auto"/>
              <w:jc w:val="right"/>
              <w:rPr>
                <w:rFonts w:ascii="Times New Roman" w:hAnsi="Times New Roman"/>
                <w:sz w:val="20"/>
                <w:szCs w:val="20"/>
                <w:lang w:eastAsia="sk-SK"/>
              </w:rPr>
            </w:pPr>
          </w:p>
        </w:tc>
      </w:tr>
      <w:tr w:rsidR="00D90E38" w:rsidRPr="007253B7" w14:paraId="3C180388" w14:textId="77777777" w:rsidTr="0085799C">
        <w:trPr>
          <w:trHeight w:val="227"/>
          <w:jc w:val="center"/>
        </w:trPr>
        <w:tc>
          <w:tcPr>
            <w:tcW w:w="3049" w:type="pct"/>
            <w:tcBorders>
              <w:top w:val="nil"/>
              <w:left w:val="nil"/>
              <w:bottom w:val="nil"/>
              <w:right w:val="nil"/>
            </w:tcBorders>
            <w:noWrap/>
            <w:vAlign w:val="center"/>
            <w:hideMark/>
          </w:tcPr>
          <w:p w14:paraId="521DD354" w14:textId="77777777" w:rsidR="00D90E38" w:rsidRPr="00D90E38" w:rsidRDefault="00D90E38" w:rsidP="00D90E38">
            <w:pPr>
              <w:spacing w:after="0" w:line="240" w:lineRule="auto"/>
              <w:jc w:val="both"/>
              <w:rPr>
                <w:rFonts w:ascii="Times New Roman" w:hAnsi="Times New Roman"/>
                <w:b/>
                <w:bCs/>
                <w:color w:val="000000"/>
                <w:sz w:val="18"/>
                <w:szCs w:val="18"/>
                <w:lang w:eastAsia="sk-SK"/>
              </w:rPr>
            </w:pPr>
            <w:r w:rsidRPr="00D90E38">
              <w:rPr>
                <w:rFonts w:ascii="Times New Roman" w:hAnsi="Times New Roman"/>
                <w:b/>
                <w:bCs/>
                <w:color w:val="000000"/>
                <w:sz w:val="18"/>
                <w:szCs w:val="18"/>
                <w:lang w:eastAsia="sk-SK"/>
              </w:rPr>
              <w:t>Ústredná správa</w:t>
            </w:r>
          </w:p>
        </w:tc>
        <w:tc>
          <w:tcPr>
            <w:tcW w:w="650" w:type="pct"/>
            <w:tcBorders>
              <w:top w:val="nil"/>
              <w:left w:val="nil"/>
              <w:bottom w:val="nil"/>
              <w:right w:val="nil"/>
            </w:tcBorders>
            <w:noWrap/>
            <w:vAlign w:val="center"/>
            <w:hideMark/>
          </w:tcPr>
          <w:p w14:paraId="5D411B79" w14:textId="77777777" w:rsidR="00D90E38" w:rsidRPr="00D90E38" w:rsidRDefault="00D90E38" w:rsidP="0085799C">
            <w:pPr>
              <w:spacing w:after="0" w:line="240" w:lineRule="auto"/>
              <w:jc w:val="right"/>
              <w:rPr>
                <w:rFonts w:ascii="Times New Roman" w:hAnsi="Times New Roman"/>
                <w:b/>
                <w:bCs/>
                <w:color w:val="000000"/>
                <w:sz w:val="18"/>
                <w:szCs w:val="18"/>
                <w:lang w:eastAsia="sk-SK"/>
              </w:rPr>
            </w:pPr>
            <w:r w:rsidRPr="00D90E38">
              <w:rPr>
                <w:rFonts w:ascii="Times New Roman" w:hAnsi="Times New Roman"/>
                <w:b/>
                <w:bCs/>
                <w:color w:val="000000"/>
                <w:sz w:val="18"/>
                <w:szCs w:val="18"/>
                <w:lang w:eastAsia="sk-SK"/>
              </w:rPr>
              <w:t>891</w:t>
            </w:r>
          </w:p>
        </w:tc>
        <w:tc>
          <w:tcPr>
            <w:tcW w:w="650" w:type="pct"/>
            <w:tcBorders>
              <w:top w:val="nil"/>
              <w:left w:val="nil"/>
              <w:bottom w:val="nil"/>
              <w:right w:val="nil"/>
            </w:tcBorders>
            <w:noWrap/>
            <w:vAlign w:val="center"/>
            <w:hideMark/>
          </w:tcPr>
          <w:p w14:paraId="25C7E89F" w14:textId="77777777" w:rsidR="00D90E38" w:rsidRPr="00D90E38" w:rsidRDefault="00D90E38" w:rsidP="0085799C">
            <w:pPr>
              <w:spacing w:after="0" w:line="240" w:lineRule="auto"/>
              <w:jc w:val="right"/>
              <w:rPr>
                <w:rFonts w:ascii="Times New Roman" w:hAnsi="Times New Roman"/>
                <w:b/>
                <w:bCs/>
                <w:color w:val="000000"/>
                <w:sz w:val="18"/>
                <w:szCs w:val="18"/>
                <w:lang w:eastAsia="sk-SK"/>
              </w:rPr>
            </w:pPr>
            <w:r w:rsidRPr="00D90E38">
              <w:rPr>
                <w:rFonts w:ascii="Times New Roman" w:hAnsi="Times New Roman"/>
                <w:b/>
                <w:bCs/>
                <w:color w:val="000000"/>
                <w:sz w:val="18"/>
                <w:szCs w:val="18"/>
                <w:lang w:eastAsia="sk-SK"/>
              </w:rPr>
              <w:t>910</w:t>
            </w:r>
          </w:p>
        </w:tc>
        <w:tc>
          <w:tcPr>
            <w:tcW w:w="651" w:type="pct"/>
            <w:tcBorders>
              <w:top w:val="nil"/>
              <w:left w:val="nil"/>
              <w:bottom w:val="nil"/>
              <w:right w:val="nil"/>
            </w:tcBorders>
            <w:noWrap/>
            <w:vAlign w:val="center"/>
            <w:hideMark/>
          </w:tcPr>
          <w:p w14:paraId="0133D250" w14:textId="77777777" w:rsidR="00D90E38" w:rsidRPr="00D90E38" w:rsidRDefault="00D90E38" w:rsidP="0085799C">
            <w:pPr>
              <w:spacing w:after="0" w:line="240" w:lineRule="auto"/>
              <w:jc w:val="right"/>
              <w:rPr>
                <w:rFonts w:ascii="Times New Roman" w:hAnsi="Times New Roman"/>
                <w:b/>
                <w:bCs/>
                <w:color w:val="000000"/>
                <w:sz w:val="18"/>
                <w:szCs w:val="18"/>
                <w:lang w:eastAsia="sk-SK"/>
              </w:rPr>
            </w:pPr>
            <w:r w:rsidRPr="00D90E38">
              <w:rPr>
                <w:rFonts w:ascii="Times New Roman" w:hAnsi="Times New Roman"/>
                <w:b/>
                <w:bCs/>
                <w:color w:val="000000"/>
                <w:sz w:val="18"/>
                <w:szCs w:val="18"/>
                <w:lang w:eastAsia="sk-SK"/>
              </w:rPr>
              <w:t>-19</w:t>
            </w:r>
          </w:p>
        </w:tc>
      </w:tr>
      <w:tr w:rsidR="00D90E38" w:rsidRPr="007253B7" w14:paraId="5A0B15B7" w14:textId="77777777" w:rsidTr="0085799C">
        <w:trPr>
          <w:trHeight w:val="227"/>
          <w:jc w:val="center"/>
        </w:trPr>
        <w:tc>
          <w:tcPr>
            <w:tcW w:w="3049" w:type="pct"/>
            <w:tcBorders>
              <w:top w:val="nil"/>
              <w:left w:val="nil"/>
              <w:bottom w:val="nil"/>
              <w:right w:val="nil"/>
            </w:tcBorders>
            <w:noWrap/>
            <w:vAlign w:val="center"/>
            <w:hideMark/>
          </w:tcPr>
          <w:p w14:paraId="004C424A" w14:textId="77777777" w:rsidR="00D90E38" w:rsidRPr="00D90E38" w:rsidRDefault="00D90E38" w:rsidP="00D90E38">
            <w:pPr>
              <w:spacing w:after="0" w:line="240" w:lineRule="auto"/>
              <w:rPr>
                <w:rFonts w:ascii="Times New Roman" w:hAnsi="Times New Roman"/>
                <w:color w:val="000000"/>
                <w:sz w:val="18"/>
                <w:szCs w:val="18"/>
                <w:lang w:eastAsia="sk-SK"/>
              </w:rPr>
            </w:pPr>
            <w:r w:rsidRPr="00D90E38">
              <w:rPr>
                <w:rFonts w:ascii="Times New Roman" w:hAnsi="Times New Roman"/>
                <w:color w:val="000000"/>
                <w:sz w:val="18"/>
                <w:szCs w:val="18"/>
                <w:lang w:eastAsia="sk-SK"/>
              </w:rPr>
              <w:t xml:space="preserve">     Rozpočtové organizácie </w:t>
            </w:r>
          </w:p>
        </w:tc>
        <w:tc>
          <w:tcPr>
            <w:tcW w:w="650" w:type="pct"/>
            <w:tcBorders>
              <w:top w:val="nil"/>
              <w:left w:val="nil"/>
              <w:bottom w:val="nil"/>
              <w:right w:val="nil"/>
            </w:tcBorders>
            <w:noWrap/>
            <w:vAlign w:val="center"/>
            <w:hideMark/>
          </w:tcPr>
          <w:p w14:paraId="0897D393"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650</w:t>
            </w:r>
          </w:p>
        </w:tc>
        <w:tc>
          <w:tcPr>
            <w:tcW w:w="650" w:type="pct"/>
            <w:tcBorders>
              <w:top w:val="nil"/>
              <w:left w:val="nil"/>
              <w:bottom w:val="nil"/>
              <w:right w:val="nil"/>
            </w:tcBorders>
            <w:noWrap/>
            <w:vAlign w:val="center"/>
            <w:hideMark/>
          </w:tcPr>
          <w:p w14:paraId="439C54D8"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668</w:t>
            </w:r>
          </w:p>
        </w:tc>
        <w:tc>
          <w:tcPr>
            <w:tcW w:w="651" w:type="pct"/>
            <w:tcBorders>
              <w:top w:val="nil"/>
              <w:left w:val="nil"/>
              <w:bottom w:val="nil"/>
              <w:right w:val="nil"/>
            </w:tcBorders>
            <w:noWrap/>
            <w:vAlign w:val="center"/>
            <w:hideMark/>
          </w:tcPr>
          <w:p w14:paraId="5F6FAB4A"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-18</w:t>
            </w:r>
          </w:p>
        </w:tc>
      </w:tr>
      <w:tr w:rsidR="00D90E38" w:rsidRPr="007253B7" w14:paraId="101EBD26" w14:textId="77777777" w:rsidTr="0085799C">
        <w:trPr>
          <w:trHeight w:val="227"/>
          <w:jc w:val="center"/>
        </w:trPr>
        <w:tc>
          <w:tcPr>
            <w:tcW w:w="3049" w:type="pct"/>
            <w:tcBorders>
              <w:top w:val="nil"/>
              <w:left w:val="nil"/>
              <w:bottom w:val="nil"/>
              <w:right w:val="nil"/>
            </w:tcBorders>
            <w:noWrap/>
            <w:vAlign w:val="center"/>
            <w:hideMark/>
          </w:tcPr>
          <w:p w14:paraId="764CF388" w14:textId="77777777" w:rsidR="00D90E38" w:rsidRPr="00D90E38" w:rsidRDefault="00D90E38" w:rsidP="00D90E38">
            <w:pPr>
              <w:spacing w:after="0" w:line="240" w:lineRule="auto"/>
              <w:rPr>
                <w:rFonts w:ascii="Times New Roman" w:hAnsi="Times New Roman"/>
                <w:color w:val="000000"/>
                <w:sz w:val="18"/>
                <w:szCs w:val="18"/>
                <w:lang w:eastAsia="sk-SK"/>
              </w:rPr>
            </w:pPr>
            <w:r w:rsidRPr="00D90E38">
              <w:rPr>
                <w:rFonts w:ascii="Times New Roman" w:hAnsi="Times New Roman"/>
                <w:color w:val="000000"/>
                <w:sz w:val="18"/>
                <w:szCs w:val="18"/>
                <w:lang w:eastAsia="sk-SK"/>
              </w:rPr>
              <w:t xml:space="preserve">     Príspevkové organizácie </w:t>
            </w:r>
          </w:p>
        </w:tc>
        <w:tc>
          <w:tcPr>
            <w:tcW w:w="650" w:type="pct"/>
            <w:tcBorders>
              <w:top w:val="nil"/>
              <w:left w:val="nil"/>
              <w:bottom w:val="nil"/>
              <w:right w:val="nil"/>
            </w:tcBorders>
            <w:noWrap/>
            <w:vAlign w:val="center"/>
            <w:hideMark/>
          </w:tcPr>
          <w:p w14:paraId="01279163"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113</w:t>
            </w:r>
          </w:p>
        </w:tc>
        <w:tc>
          <w:tcPr>
            <w:tcW w:w="650" w:type="pct"/>
            <w:tcBorders>
              <w:top w:val="nil"/>
              <w:left w:val="nil"/>
              <w:bottom w:val="nil"/>
              <w:right w:val="nil"/>
            </w:tcBorders>
            <w:noWrap/>
            <w:vAlign w:val="center"/>
            <w:hideMark/>
          </w:tcPr>
          <w:p w14:paraId="66012282"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113</w:t>
            </w:r>
          </w:p>
        </w:tc>
        <w:tc>
          <w:tcPr>
            <w:tcW w:w="651" w:type="pct"/>
            <w:tcBorders>
              <w:top w:val="nil"/>
              <w:left w:val="nil"/>
              <w:bottom w:val="nil"/>
              <w:right w:val="nil"/>
            </w:tcBorders>
            <w:noWrap/>
            <w:vAlign w:val="center"/>
            <w:hideMark/>
          </w:tcPr>
          <w:p w14:paraId="5495C120"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0</w:t>
            </w:r>
          </w:p>
        </w:tc>
      </w:tr>
      <w:tr w:rsidR="00D90E38" w:rsidRPr="007253B7" w14:paraId="302AD2D1" w14:textId="77777777" w:rsidTr="0085799C">
        <w:trPr>
          <w:trHeight w:val="227"/>
          <w:jc w:val="center"/>
        </w:trPr>
        <w:tc>
          <w:tcPr>
            <w:tcW w:w="3049" w:type="pct"/>
            <w:tcBorders>
              <w:top w:val="nil"/>
              <w:left w:val="nil"/>
              <w:bottom w:val="nil"/>
              <w:right w:val="nil"/>
            </w:tcBorders>
            <w:noWrap/>
            <w:vAlign w:val="center"/>
            <w:hideMark/>
          </w:tcPr>
          <w:p w14:paraId="064B0A17" w14:textId="77777777" w:rsidR="00D90E38" w:rsidRPr="00D90E38" w:rsidRDefault="00D90E38" w:rsidP="00D90E38">
            <w:pPr>
              <w:spacing w:after="0" w:line="240" w:lineRule="auto"/>
              <w:rPr>
                <w:rFonts w:ascii="Times New Roman" w:hAnsi="Times New Roman"/>
                <w:color w:val="000000"/>
                <w:sz w:val="18"/>
                <w:szCs w:val="18"/>
                <w:lang w:eastAsia="sk-SK"/>
              </w:rPr>
            </w:pPr>
            <w:r w:rsidRPr="00D90E38">
              <w:rPr>
                <w:rFonts w:ascii="Times New Roman" w:hAnsi="Times New Roman"/>
                <w:color w:val="000000"/>
                <w:sz w:val="18"/>
                <w:szCs w:val="18"/>
                <w:lang w:eastAsia="sk-SK"/>
              </w:rPr>
              <w:t xml:space="preserve">     Verejné výskumné inštitúcie </w:t>
            </w:r>
          </w:p>
        </w:tc>
        <w:tc>
          <w:tcPr>
            <w:tcW w:w="650" w:type="pct"/>
            <w:tcBorders>
              <w:top w:val="nil"/>
              <w:left w:val="nil"/>
              <w:bottom w:val="nil"/>
              <w:right w:val="nil"/>
            </w:tcBorders>
            <w:noWrap/>
            <w:vAlign w:val="center"/>
            <w:hideMark/>
          </w:tcPr>
          <w:p w14:paraId="07CEB913"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47</w:t>
            </w:r>
          </w:p>
        </w:tc>
        <w:tc>
          <w:tcPr>
            <w:tcW w:w="650" w:type="pct"/>
            <w:tcBorders>
              <w:top w:val="nil"/>
              <w:left w:val="nil"/>
              <w:bottom w:val="nil"/>
              <w:right w:val="nil"/>
            </w:tcBorders>
            <w:noWrap/>
            <w:vAlign w:val="center"/>
            <w:hideMark/>
          </w:tcPr>
          <w:p w14:paraId="209EC188"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47</w:t>
            </w:r>
          </w:p>
        </w:tc>
        <w:tc>
          <w:tcPr>
            <w:tcW w:w="651" w:type="pct"/>
            <w:tcBorders>
              <w:top w:val="nil"/>
              <w:left w:val="nil"/>
              <w:bottom w:val="nil"/>
              <w:right w:val="nil"/>
            </w:tcBorders>
            <w:noWrap/>
            <w:vAlign w:val="center"/>
            <w:hideMark/>
          </w:tcPr>
          <w:p w14:paraId="057337A8"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0</w:t>
            </w:r>
          </w:p>
        </w:tc>
      </w:tr>
      <w:tr w:rsidR="00D90E38" w:rsidRPr="007253B7" w14:paraId="4288BD1A" w14:textId="77777777" w:rsidTr="0085799C">
        <w:trPr>
          <w:trHeight w:val="227"/>
          <w:jc w:val="center"/>
        </w:trPr>
        <w:tc>
          <w:tcPr>
            <w:tcW w:w="3049" w:type="pct"/>
            <w:tcBorders>
              <w:top w:val="nil"/>
              <w:left w:val="nil"/>
              <w:bottom w:val="nil"/>
              <w:right w:val="nil"/>
            </w:tcBorders>
            <w:noWrap/>
            <w:vAlign w:val="center"/>
            <w:hideMark/>
          </w:tcPr>
          <w:p w14:paraId="75E66AE6" w14:textId="77777777" w:rsidR="00D90E38" w:rsidRPr="00D90E38" w:rsidRDefault="00D90E38" w:rsidP="00D90E38">
            <w:pPr>
              <w:spacing w:after="0" w:line="240" w:lineRule="auto"/>
              <w:rPr>
                <w:rFonts w:ascii="Times New Roman" w:hAnsi="Times New Roman"/>
                <w:color w:val="000000"/>
                <w:sz w:val="18"/>
                <w:szCs w:val="18"/>
                <w:lang w:eastAsia="sk-SK"/>
              </w:rPr>
            </w:pPr>
            <w:r w:rsidRPr="00D90E38">
              <w:rPr>
                <w:rFonts w:ascii="Times New Roman" w:hAnsi="Times New Roman"/>
                <w:color w:val="000000"/>
                <w:sz w:val="18"/>
                <w:szCs w:val="18"/>
                <w:lang w:eastAsia="sk-SK"/>
              </w:rPr>
              <w:t xml:space="preserve">     Obchodné spoločnosti štátu a štátne podniky</w:t>
            </w:r>
          </w:p>
        </w:tc>
        <w:tc>
          <w:tcPr>
            <w:tcW w:w="650" w:type="pct"/>
            <w:tcBorders>
              <w:top w:val="nil"/>
              <w:left w:val="nil"/>
              <w:bottom w:val="nil"/>
              <w:right w:val="nil"/>
            </w:tcBorders>
            <w:noWrap/>
            <w:vAlign w:val="center"/>
            <w:hideMark/>
          </w:tcPr>
          <w:p w14:paraId="239FE4A1"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78</w:t>
            </w:r>
          </w:p>
        </w:tc>
        <w:tc>
          <w:tcPr>
            <w:tcW w:w="650" w:type="pct"/>
            <w:tcBorders>
              <w:top w:val="nil"/>
              <w:left w:val="nil"/>
              <w:bottom w:val="nil"/>
              <w:right w:val="nil"/>
            </w:tcBorders>
            <w:noWrap/>
            <w:vAlign w:val="center"/>
            <w:hideMark/>
          </w:tcPr>
          <w:p w14:paraId="4812BDB1"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79</w:t>
            </w:r>
          </w:p>
        </w:tc>
        <w:tc>
          <w:tcPr>
            <w:tcW w:w="651" w:type="pct"/>
            <w:tcBorders>
              <w:top w:val="nil"/>
              <w:left w:val="nil"/>
              <w:bottom w:val="nil"/>
              <w:right w:val="nil"/>
            </w:tcBorders>
            <w:noWrap/>
            <w:vAlign w:val="center"/>
            <w:hideMark/>
          </w:tcPr>
          <w:p w14:paraId="12041AE7"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-1</w:t>
            </w:r>
          </w:p>
        </w:tc>
      </w:tr>
      <w:tr w:rsidR="00D90E38" w:rsidRPr="007253B7" w14:paraId="178F115F" w14:textId="77777777" w:rsidTr="0085799C">
        <w:trPr>
          <w:trHeight w:val="227"/>
          <w:jc w:val="center"/>
        </w:trPr>
        <w:tc>
          <w:tcPr>
            <w:tcW w:w="3049" w:type="pct"/>
            <w:tcBorders>
              <w:top w:val="nil"/>
              <w:left w:val="nil"/>
              <w:bottom w:val="nil"/>
              <w:right w:val="nil"/>
            </w:tcBorders>
            <w:noWrap/>
            <w:vAlign w:val="center"/>
            <w:hideMark/>
          </w:tcPr>
          <w:p w14:paraId="12CB563B" w14:textId="77777777" w:rsidR="00D90E38" w:rsidRPr="00D90E38" w:rsidRDefault="00D90E38" w:rsidP="00D90E38">
            <w:pPr>
              <w:spacing w:after="0" w:line="240" w:lineRule="auto"/>
              <w:rPr>
                <w:rFonts w:ascii="Times New Roman" w:hAnsi="Times New Roman"/>
                <w:color w:val="000000"/>
                <w:sz w:val="18"/>
                <w:szCs w:val="18"/>
                <w:lang w:eastAsia="sk-SK"/>
              </w:rPr>
            </w:pPr>
            <w:r w:rsidRPr="00D90E38">
              <w:rPr>
                <w:rFonts w:ascii="Times New Roman" w:hAnsi="Times New Roman"/>
                <w:color w:val="000000"/>
                <w:sz w:val="18"/>
                <w:szCs w:val="18"/>
                <w:lang w:eastAsia="sk-SK"/>
              </w:rPr>
              <w:t xml:space="preserve">     Štátne účelové fondy</w:t>
            </w:r>
          </w:p>
        </w:tc>
        <w:tc>
          <w:tcPr>
            <w:tcW w:w="650" w:type="pct"/>
            <w:tcBorders>
              <w:top w:val="nil"/>
              <w:left w:val="nil"/>
              <w:bottom w:val="nil"/>
              <w:right w:val="nil"/>
            </w:tcBorders>
            <w:noWrap/>
            <w:vAlign w:val="center"/>
            <w:hideMark/>
          </w:tcPr>
          <w:p w14:paraId="1DB7C95C"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3</w:t>
            </w:r>
          </w:p>
        </w:tc>
        <w:tc>
          <w:tcPr>
            <w:tcW w:w="650" w:type="pct"/>
            <w:tcBorders>
              <w:top w:val="nil"/>
              <w:left w:val="nil"/>
              <w:bottom w:val="nil"/>
              <w:right w:val="nil"/>
            </w:tcBorders>
            <w:noWrap/>
            <w:vAlign w:val="center"/>
            <w:hideMark/>
          </w:tcPr>
          <w:p w14:paraId="2EB4A38B"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3</w:t>
            </w:r>
          </w:p>
        </w:tc>
        <w:tc>
          <w:tcPr>
            <w:tcW w:w="651" w:type="pct"/>
            <w:tcBorders>
              <w:top w:val="nil"/>
              <w:left w:val="nil"/>
              <w:bottom w:val="nil"/>
              <w:right w:val="nil"/>
            </w:tcBorders>
            <w:noWrap/>
            <w:vAlign w:val="center"/>
            <w:hideMark/>
          </w:tcPr>
          <w:p w14:paraId="62F2CC28"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0</w:t>
            </w:r>
          </w:p>
        </w:tc>
      </w:tr>
      <w:tr w:rsidR="00D90E38" w:rsidRPr="007253B7" w14:paraId="525319BF" w14:textId="77777777" w:rsidTr="0085799C">
        <w:trPr>
          <w:trHeight w:val="227"/>
          <w:jc w:val="center"/>
        </w:trPr>
        <w:tc>
          <w:tcPr>
            <w:tcW w:w="3049" w:type="pct"/>
            <w:tcBorders>
              <w:top w:val="nil"/>
              <w:left w:val="nil"/>
              <w:bottom w:val="nil"/>
              <w:right w:val="nil"/>
            </w:tcBorders>
            <w:noWrap/>
            <w:vAlign w:val="center"/>
            <w:hideMark/>
          </w:tcPr>
          <w:p w14:paraId="669A2022" w14:textId="77777777" w:rsidR="00D90E38" w:rsidRPr="00D90E38" w:rsidRDefault="00D90E38" w:rsidP="00D90E38">
            <w:pPr>
              <w:spacing w:after="0" w:line="240" w:lineRule="auto"/>
              <w:rPr>
                <w:rFonts w:ascii="Times New Roman" w:hAnsi="Times New Roman"/>
                <w:b/>
                <w:bCs/>
                <w:color w:val="000000"/>
                <w:sz w:val="18"/>
                <w:szCs w:val="18"/>
                <w:lang w:eastAsia="sk-SK"/>
              </w:rPr>
            </w:pPr>
            <w:r w:rsidRPr="00D90E38">
              <w:rPr>
                <w:rFonts w:ascii="Times New Roman" w:hAnsi="Times New Roman"/>
                <w:b/>
                <w:bCs/>
                <w:color w:val="000000"/>
                <w:sz w:val="18"/>
                <w:szCs w:val="18"/>
                <w:lang w:eastAsia="sk-SK"/>
              </w:rPr>
              <w:t>Územná samospráva</w:t>
            </w:r>
          </w:p>
        </w:tc>
        <w:tc>
          <w:tcPr>
            <w:tcW w:w="650" w:type="pct"/>
            <w:tcBorders>
              <w:top w:val="nil"/>
              <w:left w:val="nil"/>
              <w:bottom w:val="nil"/>
              <w:right w:val="nil"/>
            </w:tcBorders>
            <w:noWrap/>
            <w:vAlign w:val="center"/>
            <w:hideMark/>
          </w:tcPr>
          <w:p w14:paraId="41CFA227" w14:textId="77777777" w:rsidR="00D90E38" w:rsidRPr="00D90E38" w:rsidRDefault="00D90E38" w:rsidP="0085799C">
            <w:pPr>
              <w:spacing w:after="0" w:line="240" w:lineRule="auto"/>
              <w:jc w:val="right"/>
              <w:rPr>
                <w:rFonts w:ascii="Times New Roman" w:hAnsi="Times New Roman"/>
                <w:b/>
                <w:bCs/>
                <w:color w:val="000000"/>
                <w:sz w:val="18"/>
                <w:szCs w:val="18"/>
                <w:lang w:eastAsia="sk-SK"/>
              </w:rPr>
            </w:pPr>
            <w:r w:rsidRPr="00D90E38">
              <w:rPr>
                <w:rFonts w:ascii="Times New Roman" w:hAnsi="Times New Roman"/>
                <w:b/>
                <w:bCs/>
                <w:color w:val="000000"/>
                <w:sz w:val="18"/>
                <w:szCs w:val="18"/>
                <w:lang w:eastAsia="sk-SK"/>
              </w:rPr>
              <w:t>6 951</w:t>
            </w:r>
          </w:p>
        </w:tc>
        <w:tc>
          <w:tcPr>
            <w:tcW w:w="650" w:type="pct"/>
            <w:tcBorders>
              <w:top w:val="nil"/>
              <w:left w:val="nil"/>
              <w:bottom w:val="nil"/>
              <w:right w:val="nil"/>
            </w:tcBorders>
            <w:noWrap/>
            <w:vAlign w:val="center"/>
            <w:hideMark/>
          </w:tcPr>
          <w:p w14:paraId="558C77ED" w14:textId="77777777" w:rsidR="00D90E38" w:rsidRPr="00D90E38" w:rsidRDefault="00D90E38" w:rsidP="0085799C">
            <w:pPr>
              <w:spacing w:after="0" w:line="240" w:lineRule="auto"/>
              <w:jc w:val="right"/>
              <w:rPr>
                <w:rFonts w:ascii="Times New Roman" w:hAnsi="Times New Roman"/>
                <w:b/>
                <w:bCs/>
                <w:color w:val="000000"/>
                <w:sz w:val="18"/>
                <w:szCs w:val="18"/>
                <w:lang w:eastAsia="sk-SK"/>
              </w:rPr>
            </w:pPr>
            <w:r w:rsidRPr="00D90E38">
              <w:rPr>
                <w:rFonts w:ascii="Times New Roman" w:hAnsi="Times New Roman"/>
                <w:b/>
                <w:bCs/>
                <w:color w:val="000000"/>
                <w:sz w:val="18"/>
                <w:szCs w:val="18"/>
                <w:lang w:eastAsia="sk-SK"/>
              </w:rPr>
              <w:t>6 942</w:t>
            </w:r>
          </w:p>
        </w:tc>
        <w:tc>
          <w:tcPr>
            <w:tcW w:w="651" w:type="pct"/>
            <w:tcBorders>
              <w:top w:val="nil"/>
              <w:left w:val="nil"/>
              <w:bottom w:val="nil"/>
              <w:right w:val="nil"/>
            </w:tcBorders>
            <w:noWrap/>
            <w:vAlign w:val="center"/>
            <w:hideMark/>
          </w:tcPr>
          <w:p w14:paraId="08E19D10" w14:textId="77777777" w:rsidR="00D90E38" w:rsidRPr="00D90E38" w:rsidRDefault="00D90E38" w:rsidP="0085799C">
            <w:pPr>
              <w:spacing w:after="0" w:line="240" w:lineRule="auto"/>
              <w:jc w:val="right"/>
              <w:rPr>
                <w:rFonts w:ascii="Times New Roman" w:hAnsi="Times New Roman"/>
                <w:b/>
                <w:bCs/>
                <w:color w:val="000000"/>
                <w:sz w:val="18"/>
                <w:szCs w:val="18"/>
                <w:lang w:eastAsia="sk-SK"/>
              </w:rPr>
            </w:pPr>
            <w:r w:rsidRPr="00D90E38">
              <w:rPr>
                <w:rFonts w:ascii="Times New Roman" w:hAnsi="Times New Roman"/>
                <w:b/>
                <w:bCs/>
                <w:color w:val="000000"/>
                <w:sz w:val="18"/>
                <w:szCs w:val="18"/>
                <w:lang w:eastAsia="sk-SK"/>
              </w:rPr>
              <w:t>9</w:t>
            </w:r>
          </w:p>
        </w:tc>
      </w:tr>
      <w:tr w:rsidR="00D90E38" w:rsidRPr="007253B7" w14:paraId="7C43402D" w14:textId="77777777" w:rsidTr="0085799C">
        <w:trPr>
          <w:trHeight w:val="227"/>
          <w:jc w:val="center"/>
        </w:trPr>
        <w:tc>
          <w:tcPr>
            <w:tcW w:w="3049" w:type="pct"/>
            <w:tcBorders>
              <w:top w:val="nil"/>
              <w:left w:val="nil"/>
              <w:bottom w:val="nil"/>
              <w:right w:val="nil"/>
            </w:tcBorders>
            <w:noWrap/>
            <w:vAlign w:val="center"/>
            <w:hideMark/>
          </w:tcPr>
          <w:p w14:paraId="590F914C" w14:textId="77777777" w:rsidR="00D90E38" w:rsidRPr="00D90E38" w:rsidRDefault="00D90E38" w:rsidP="00D90E38">
            <w:pPr>
              <w:spacing w:after="0" w:line="240" w:lineRule="auto"/>
              <w:rPr>
                <w:rFonts w:ascii="Times New Roman" w:hAnsi="Times New Roman"/>
                <w:color w:val="000000"/>
                <w:sz w:val="18"/>
                <w:szCs w:val="18"/>
                <w:lang w:eastAsia="sk-SK"/>
              </w:rPr>
            </w:pPr>
            <w:r w:rsidRPr="00D90E38">
              <w:rPr>
                <w:rFonts w:ascii="Times New Roman" w:hAnsi="Times New Roman"/>
                <w:color w:val="000000"/>
                <w:sz w:val="18"/>
                <w:szCs w:val="18"/>
                <w:lang w:eastAsia="sk-SK"/>
              </w:rPr>
              <w:t xml:space="preserve">     Rozpočtové organizácie </w:t>
            </w:r>
          </w:p>
        </w:tc>
        <w:tc>
          <w:tcPr>
            <w:tcW w:w="650" w:type="pct"/>
            <w:tcBorders>
              <w:top w:val="nil"/>
              <w:left w:val="nil"/>
              <w:bottom w:val="nil"/>
              <w:right w:val="nil"/>
            </w:tcBorders>
            <w:noWrap/>
            <w:vAlign w:val="center"/>
            <w:hideMark/>
          </w:tcPr>
          <w:p w14:paraId="4545F371"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2 663</w:t>
            </w:r>
          </w:p>
        </w:tc>
        <w:tc>
          <w:tcPr>
            <w:tcW w:w="650" w:type="pct"/>
            <w:tcBorders>
              <w:top w:val="nil"/>
              <w:left w:val="nil"/>
              <w:bottom w:val="nil"/>
              <w:right w:val="nil"/>
            </w:tcBorders>
            <w:noWrap/>
            <w:vAlign w:val="center"/>
            <w:hideMark/>
          </w:tcPr>
          <w:p w14:paraId="2798FFEF"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2 640</w:t>
            </w:r>
          </w:p>
        </w:tc>
        <w:tc>
          <w:tcPr>
            <w:tcW w:w="651" w:type="pct"/>
            <w:tcBorders>
              <w:top w:val="nil"/>
              <w:left w:val="nil"/>
              <w:bottom w:val="nil"/>
              <w:right w:val="nil"/>
            </w:tcBorders>
            <w:noWrap/>
            <w:vAlign w:val="center"/>
            <w:hideMark/>
          </w:tcPr>
          <w:p w14:paraId="339F2B0C"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23</w:t>
            </w:r>
          </w:p>
        </w:tc>
      </w:tr>
      <w:tr w:rsidR="00D90E38" w:rsidRPr="007253B7" w14:paraId="5AA746B0" w14:textId="77777777" w:rsidTr="0085799C">
        <w:trPr>
          <w:trHeight w:val="227"/>
          <w:jc w:val="center"/>
        </w:trPr>
        <w:tc>
          <w:tcPr>
            <w:tcW w:w="3049" w:type="pct"/>
            <w:tcBorders>
              <w:top w:val="nil"/>
              <w:left w:val="nil"/>
              <w:bottom w:val="nil"/>
              <w:right w:val="nil"/>
            </w:tcBorders>
            <w:noWrap/>
            <w:vAlign w:val="center"/>
            <w:hideMark/>
          </w:tcPr>
          <w:p w14:paraId="3B01EFDD" w14:textId="77777777" w:rsidR="00D90E38" w:rsidRPr="00D90E38" w:rsidRDefault="00D90E38" w:rsidP="00D90E38">
            <w:pPr>
              <w:spacing w:after="0" w:line="240" w:lineRule="auto"/>
              <w:rPr>
                <w:rFonts w:ascii="Times New Roman" w:hAnsi="Times New Roman"/>
                <w:color w:val="000000"/>
                <w:sz w:val="18"/>
                <w:szCs w:val="18"/>
                <w:lang w:eastAsia="sk-SK"/>
              </w:rPr>
            </w:pPr>
            <w:r w:rsidRPr="00D90E38">
              <w:rPr>
                <w:rFonts w:ascii="Times New Roman" w:hAnsi="Times New Roman"/>
                <w:color w:val="000000"/>
                <w:sz w:val="18"/>
                <w:szCs w:val="18"/>
                <w:lang w:eastAsia="sk-SK"/>
              </w:rPr>
              <w:t xml:space="preserve">     Príspevkové organizácie </w:t>
            </w:r>
          </w:p>
        </w:tc>
        <w:tc>
          <w:tcPr>
            <w:tcW w:w="650" w:type="pct"/>
            <w:tcBorders>
              <w:top w:val="nil"/>
              <w:left w:val="nil"/>
              <w:bottom w:val="nil"/>
              <w:right w:val="nil"/>
            </w:tcBorders>
            <w:noWrap/>
            <w:vAlign w:val="center"/>
            <w:hideMark/>
          </w:tcPr>
          <w:p w14:paraId="545BD251"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609</w:t>
            </w:r>
          </w:p>
        </w:tc>
        <w:tc>
          <w:tcPr>
            <w:tcW w:w="650" w:type="pct"/>
            <w:tcBorders>
              <w:top w:val="nil"/>
              <w:left w:val="nil"/>
              <w:bottom w:val="nil"/>
              <w:right w:val="nil"/>
            </w:tcBorders>
            <w:noWrap/>
            <w:vAlign w:val="center"/>
            <w:hideMark/>
          </w:tcPr>
          <w:p w14:paraId="61A04FE1"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607</w:t>
            </w:r>
          </w:p>
        </w:tc>
        <w:tc>
          <w:tcPr>
            <w:tcW w:w="651" w:type="pct"/>
            <w:tcBorders>
              <w:top w:val="nil"/>
              <w:left w:val="nil"/>
              <w:bottom w:val="nil"/>
              <w:right w:val="nil"/>
            </w:tcBorders>
            <w:noWrap/>
            <w:vAlign w:val="center"/>
            <w:hideMark/>
          </w:tcPr>
          <w:p w14:paraId="5E255E80"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2</w:t>
            </w:r>
          </w:p>
        </w:tc>
      </w:tr>
      <w:tr w:rsidR="00D90E38" w:rsidRPr="007253B7" w14:paraId="101EB025" w14:textId="77777777" w:rsidTr="0085799C">
        <w:trPr>
          <w:trHeight w:val="227"/>
          <w:jc w:val="center"/>
        </w:trPr>
        <w:tc>
          <w:tcPr>
            <w:tcW w:w="3049" w:type="pct"/>
            <w:tcBorders>
              <w:top w:val="nil"/>
              <w:left w:val="nil"/>
              <w:bottom w:val="nil"/>
              <w:right w:val="nil"/>
            </w:tcBorders>
            <w:noWrap/>
            <w:vAlign w:val="center"/>
            <w:hideMark/>
          </w:tcPr>
          <w:p w14:paraId="5E4FC73F" w14:textId="77777777" w:rsidR="00D90E38" w:rsidRPr="00D90E38" w:rsidRDefault="00D90E38" w:rsidP="00D90E38">
            <w:pPr>
              <w:spacing w:after="0" w:line="240" w:lineRule="auto"/>
              <w:rPr>
                <w:rFonts w:ascii="Times New Roman" w:hAnsi="Times New Roman"/>
                <w:color w:val="000000"/>
                <w:sz w:val="18"/>
                <w:szCs w:val="18"/>
                <w:lang w:eastAsia="sk-SK"/>
              </w:rPr>
            </w:pPr>
            <w:r w:rsidRPr="00D90E38">
              <w:rPr>
                <w:rFonts w:ascii="Times New Roman" w:hAnsi="Times New Roman"/>
                <w:color w:val="000000"/>
                <w:sz w:val="18"/>
                <w:szCs w:val="18"/>
                <w:lang w:eastAsia="sk-SK"/>
              </w:rPr>
              <w:t xml:space="preserve">     Obchodné spoločnosti územnej samosprávy</w:t>
            </w:r>
          </w:p>
        </w:tc>
        <w:tc>
          <w:tcPr>
            <w:tcW w:w="650" w:type="pct"/>
            <w:tcBorders>
              <w:top w:val="nil"/>
              <w:left w:val="nil"/>
              <w:bottom w:val="nil"/>
              <w:right w:val="nil"/>
            </w:tcBorders>
            <w:noWrap/>
            <w:vAlign w:val="center"/>
            <w:hideMark/>
          </w:tcPr>
          <w:p w14:paraId="359B98A6"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745</w:t>
            </w:r>
          </w:p>
        </w:tc>
        <w:tc>
          <w:tcPr>
            <w:tcW w:w="650" w:type="pct"/>
            <w:tcBorders>
              <w:top w:val="nil"/>
              <w:left w:val="nil"/>
              <w:bottom w:val="nil"/>
              <w:right w:val="nil"/>
            </w:tcBorders>
            <w:noWrap/>
            <w:vAlign w:val="center"/>
            <w:hideMark/>
          </w:tcPr>
          <w:p w14:paraId="2D3BED33"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761</w:t>
            </w:r>
          </w:p>
        </w:tc>
        <w:tc>
          <w:tcPr>
            <w:tcW w:w="651" w:type="pct"/>
            <w:tcBorders>
              <w:top w:val="nil"/>
              <w:left w:val="nil"/>
              <w:bottom w:val="nil"/>
              <w:right w:val="nil"/>
            </w:tcBorders>
            <w:noWrap/>
            <w:vAlign w:val="center"/>
            <w:hideMark/>
          </w:tcPr>
          <w:p w14:paraId="6F078FA5"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-16</w:t>
            </w:r>
          </w:p>
        </w:tc>
      </w:tr>
      <w:tr w:rsidR="00D90E38" w:rsidRPr="007253B7" w14:paraId="3BAAB7E3" w14:textId="77777777" w:rsidTr="0085799C">
        <w:trPr>
          <w:trHeight w:val="227"/>
          <w:jc w:val="center"/>
        </w:trPr>
        <w:tc>
          <w:tcPr>
            <w:tcW w:w="3049" w:type="pct"/>
            <w:tcBorders>
              <w:top w:val="nil"/>
              <w:left w:val="nil"/>
              <w:bottom w:val="nil"/>
              <w:right w:val="nil"/>
            </w:tcBorders>
            <w:noWrap/>
            <w:vAlign w:val="center"/>
            <w:hideMark/>
          </w:tcPr>
          <w:p w14:paraId="04583105" w14:textId="77777777" w:rsidR="00D90E38" w:rsidRPr="00D90E38" w:rsidRDefault="00D90E38" w:rsidP="00D90E38">
            <w:pPr>
              <w:spacing w:after="0" w:line="240" w:lineRule="auto"/>
              <w:rPr>
                <w:rFonts w:ascii="Times New Roman" w:hAnsi="Times New Roman"/>
                <w:color w:val="000000"/>
                <w:sz w:val="18"/>
                <w:szCs w:val="18"/>
                <w:lang w:eastAsia="sk-SK"/>
              </w:rPr>
            </w:pPr>
            <w:r w:rsidRPr="00D90E38">
              <w:rPr>
                <w:rFonts w:ascii="Times New Roman" w:hAnsi="Times New Roman"/>
                <w:color w:val="000000"/>
                <w:sz w:val="18"/>
                <w:szCs w:val="18"/>
                <w:lang w:eastAsia="sk-SK"/>
              </w:rPr>
              <w:t xml:space="preserve">     Obce</w:t>
            </w:r>
          </w:p>
        </w:tc>
        <w:tc>
          <w:tcPr>
            <w:tcW w:w="650" w:type="pct"/>
            <w:tcBorders>
              <w:top w:val="nil"/>
              <w:left w:val="nil"/>
              <w:bottom w:val="nil"/>
              <w:right w:val="nil"/>
            </w:tcBorders>
            <w:noWrap/>
            <w:vAlign w:val="center"/>
            <w:hideMark/>
          </w:tcPr>
          <w:p w14:paraId="465D3B6C"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2 926</w:t>
            </w:r>
          </w:p>
        </w:tc>
        <w:tc>
          <w:tcPr>
            <w:tcW w:w="650" w:type="pct"/>
            <w:tcBorders>
              <w:top w:val="nil"/>
              <w:left w:val="nil"/>
              <w:bottom w:val="nil"/>
              <w:right w:val="nil"/>
            </w:tcBorders>
            <w:noWrap/>
            <w:vAlign w:val="center"/>
            <w:hideMark/>
          </w:tcPr>
          <w:p w14:paraId="01BD7754"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2 926</w:t>
            </w:r>
          </w:p>
        </w:tc>
        <w:tc>
          <w:tcPr>
            <w:tcW w:w="651" w:type="pct"/>
            <w:tcBorders>
              <w:top w:val="nil"/>
              <w:left w:val="nil"/>
              <w:bottom w:val="nil"/>
              <w:right w:val="nil"/>
            </w:tcBorders>
            <w:noWrap/>
            <w:vAlign w:val="center"/>
            <w:hideMark/>
          </w:tcPr>
          <w:p w14:paraId="5C9783DE"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0</w:t>
            </w:r>
          </w:p>
        </w:tc>
      </w:tr>
      <w:tr w:rsidR="00D90E38" w:rsidRPr="007253B7" w14:paraId="0F4E692B" w14:textId="77777777" w:rsidTr="0085799C">
        <w:trPr>
          <w:trHeight w:val="227"/>
          <w:jc w:val="center"/>
        </w:trPr>
        <w:tc>
          <w:tcPr>
            <w:tcW w:w="3049" w:type="pct"/>
            <w:tcBorders>
              <w:top w:val="nil"/>
              <w:left w:val="nil"/>
              <w:bottom w:val="nil"/>
              <w:right w:val="nil"/>
            </w:tcBorders>
            <w:noWrap/>
            <w:vAlign w:val="center"/>
            <w:hideMark/>
          </w:tcPr>
          <w:p w14:paraId="1F5D60F3" w14:textId="77777777" w:rsidR="00D90E38" w:rsidRPr="00D90E38" w:rsidRDefault="00D90E38" w:rsidP="00D90E38">
            <w:pPr>
              <w:spacing w:after="0" w:line="240" w:lineRule="auto"/>
              <w:rPr>
                <w:rFonts w:ascii="Times New Roman" w:hAnsi="Times New Roman"/>
                <w:color w:val="000000"/>
                <w:sz w:val="18"/>
                <w:szCs w:val="18"/>
                <w:lang w:eastAsia="sk-SK"/>
              </w:rPr>
            </w:pPr>
            <w:r w:rsidRPr="00D90E38">
              <w:rPr>
                <w:rFonts w:ascii="Times New Roman" w:hAnsi="Times New Roman"/>
                <w:color w:val="000000"/>
                <w:sz w:val="18"/>
                <w:szCs w:val="18"/>
                <w:lang w:eastAsia="sk-SK"/>
              </w:rPr>
              <w:t xml:space="preserve">     Vyššie územné celky</w:t>
            </w:r>
          </w:p>
        </w:tc>
        <w:tc>
          <w:tcPr>
            <w:tcW w:w="650" w:type="pct"/>
            <w:tcBorders>
              <w:top w:val="nil"/>
              <w:left w:val="nil"/>
              <w:bottom w:val="nil"/>
              <w:right w:val="nil"/>
            </w:tcBorders>
            <w:noWrap/>
            <w:vAlign w:val="center"/>
            <w:hideMark/>
          </w:tcPr>
          <w:p w14:paraId="5C5D09D1"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8</w:t>
            </w:r>
          </w:p>
        </w:tc>
        <w:tc>
          <w:tcPr>
            <w:tcW w:w="650" w:type="pct"/>
            <w:tcBorders>
              <w:top w:val="nil"/>
              <w:left w:val="nil"/>
              <w:bottom w:val="nil"/>
              <w:right w:val="nil"/>
            </w:tcBorders>
            <w:noWrap/>
            <w:vAlign w:val="center"/>
            <w:hideMark/>
          </w:tcPr>
          <w:p w14:paraId="784E71F6"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8</w:t>
            </w:r>
          </w:p>
        </w:tc>
        <w:tc>
          <w:tcPr>
            <w:tcW w:w="651" w:type="pct"/>
            <w:tcBorders>
              <w:top w:val="nil"/>
              <w:left w:val="nil"/>
              <w:bottom w:val="nil"/>
              <w:right w:val="nil"/>
            </w:tcBorders>
            <w:noWrap/>
            <w:vAlign w:val="center"/>
            <w:hideMark/>
          </w:tcPr>
          <w:p w14:paraId="7476DECE"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0</w:t>
            </w:r>
          </w:p>
        </w:tc>
      </w:tr>
      <w:tr w:rsidR="00D90E38" w:rsidRPr="007253B7" w14:paraId="7B94156F" w14:textId="77777777" w:rsidTr="0085799C">
        <w:trPr>
          <w:trHeight w:val="227"/>
          <w:jc w:val="center"/>
        </w:trPr>
        <w:tc>
          <w:tcPr>
            <w:tcW w:w="3049" w:type="pct"/>
            <w:tcBorders>
              <w:top w:val="nil"/>
              <w:left w:val="nil"/>
              <w:bottom w:val="nil"/>
              <w:right w:val="nil"/>
            </w:tcBorders>
            <w:noWrap/>
            <w:vAlign w:val="center"/>
            <w:hideMark/>
          </w:tcPr>
          <w:p w14:paraId="4E25527D" w14:textId="77777777" w:rsidR="00D90E38" w:rsidRPr="00D90E38" w:rsidRDefault="00D90E38" w:rsidP="00D90E38">
            <w:pPr>
              <w:spacing w:after="0" w:line="240" w:lineRule="auto"/>
              <w:rPr>
                <w:rFonts w:ascii="Times New Roman" w:hAnsi="Times New Roman"/>
                <w:b/>
                <w:bCs/>
                <w:color w:val="000000"/>
                <w:sz w:val="18"/>
                <w:szCs w:val="18"/>
                <w:lang w:eastAsia="sk-SK"/>
              </w:rPr>
            </w:pPr>
            <w:r w:rsidRPr="00D90E38">
              <w:rPr>
                <w:rFonts w:ascii="Times New Roman" w:hAnsi="Times New Roman"/>
                <w:b/>
                <w:bCs/>
                <w:color w:val="000000"/>
                <w:sz w:val="18"/>
                <w:szCs w:val="18"/>
                <w:lang w:eastAsia="sk-SK"/>
              </w:rPr>
              <w:t xml:space="preserve">Ostatné subjekty </w:t>
            </w:r>
          </w:p>
        </w:tc>
        <w:tc>
          <w:tcPr>
            <w:tcW w:w="650" w:type="pct"/>
            <w:tcBorders>
              <w:top w:val="nil"/>
              <w:left w:val="nil"/>
              <w:bottom w:val="nil"/>
              <w:right w:val="nil"/>
            </w:tcBorders>
            <w:noWrap/>
            <w:vAlign w:val="center"/>
            <w:hideMark/>
          </w:tcPr>
          <w:p w14:paraId="08DA6446" w14:textId="77777777" w:rsidR="00D90E38" w:rsidRPr="00D90E38" w:rsidRDefault="00D90E38" w:rsidP="0085799C">
            <w:pPr>
              <w:spacing w:after="0" w:line="240" w:lineRule="auto"/>
              <w:jc w:val="right"/>
              <w:rPr>
                <w:rFonts w:ascii="Times New Roman" w:hAnsi="Times New Roman"/>
                <w:b/>
                <w:bCs/>
                <w:color w:val="000000"/>
                <w:sz w:val="18"/>
                <w:szCs w:val="18"/>
                <w:lang w:eastAsia="sk-SK"/>
              </w:rPr>
            </w:pPr>
            <w:r w:rsidRPr="00D90E38">
              <w:rPr>
                <w:rFonts w:ascii="Times New Roman" w:hAnsi="Times New Roman"/>
                <w:b/>
                <w:bCs/>
                <w:color w:val="000000"/>
                <w:sz w:val="18"/>
                <w:szCs w:val="18"/>
                <w:lang w:eastAsia="sk-SK"/>
              </w:rPr>
              <w:t>556</w:t>
            </w:r>
          </w:p>
        </w:tc>
        <w:tc>
          <w:tcPr>
            <w:tcW w:w="650" w:type="pct"/>
            <w:tcBorders>
              <w:top w:val="nil"/>
              <w:left w:val="nil"/>
              <w:bottom w:val="nil"/>
              <w:right w:val="nil"/>
            </w:tcBorders>
            <w:noWrap/>
            <w:vAlign w:val="center"/>
            <w:hideMark/>
          </w:tcPr>
          <w:p w14:paraId="3D458342" w14:textId="77777777" w:rsidR="00D90E38" w:rsidRPr="00D90E38" w:rsidRDefault="00D90E38" w:rsidP="0085799C">
            <w:pPr>
              <w:spacing w:after="0" w:line="240" w:lineRule="auto"/>
              <w:jc w:val="right"/>
              <w:rPr>
                <w:rFonts w:ascii="Times New Roman" w:hAnsi="Times New Roman"/>
                <w:b/>
                <w:bCs/>
                <w:color w:val="000000"/>
                <w:sz w:val="18"/>
                <w:szCs w:val="18"/>
                <w:lang w:eastAsia="sk-SK"/>
              </w:rPr>
            </w:pPr>
            <w:r w:rsidRPr="00D90E38">
              <w:rPr>
                <w:rFonts w:ascii="Times New Roman" w:hAnsi="Times New Roman"/>
                <w:b/>
                <w:bCs/>
                <w:color w:val="000000"/>
                <w:sz w:val="18"/>
                <w:szCs w:val="18"/>
                <w:lang w:eastAsia="sk-SK"/>
              </w:rPr>
              <w:t>508</w:t>
            </w:r>
          </w:p>
        </w:tc>
        <w:tc>
          <w:tcPr>
            <w:tcW w:w="651" w:type="pct"/>
            <w:tcBorders>
              <w:top w:val="nil"/>
              <w:left w:val="nil"/>
              <w:bottom w:val="nil"/>
              <w:right w:val="nil"/>
            </w:tcBorders>
            <w:noWrap/>
            <w:vAlign w:val="center"/>
            <w:hideMark/>
          </w:tcPr>
          <w:p w14:paraId="2EC94CCD" w14:textId="77777777" w:rsidR="00D90E38" w:rsidRPr="00D90E38" w:rsidRDefault="00D90E38" w:rsidP="0085799C">
            <w:pPr>
              <w:spacing w:after="0" w:line="240" w:lineRule="auto"/>
              <w:jc w:val="right"/>
              <w:rPr>
                <w:rFonts w:ascii="Times New Roman" w:hAnsi="Times New Roman"/>
                <w:b/>
                <w:bCs/>
                <w:color w:val="000000"/>
                <w:sz w:val="18"/>
                <w:szCs w:val="18"/>
                <w:lang w:eastAsia="sk-SK"/>
              </w:rPr>
            </w:pPr>
            <w:r w:rsidRPr="00D90E38">
              <w:rPr>
                <w:rFonts w:ascii="Times New Roman" w:hAnsi="Times New Roman"/>
                <w:b/>
                <w:bCs/>
                <w:color w:val="000000"/>
                <w:sz w:val="18"/>
                <w:szCs w:val="18"/>
                <w:lang w:eastAsia="sk-SK"/>
              </w:rPr>
              <w:t>48</w:t>
            </w:r>
          </w:p>
        </w:tc>
      </w:tr>
      <w:tr w:rsidR="00D90E38" w:rsidRPr="007253B7" w14:paraId="722DDA6C" w14:textId="77777777" w:rsidTr="0085799C">
        <w:trPr>
          <w:trHeight w:val="227"/>
          <w:jc w:val="center"/>
        </w:trPr>
        <w:tc>
          <w:tcPr>
            <w:tcW w:w="3049" w:type="pct"/>
            <w:tcBorders>
              <w:top w:val="nil"/>
              <w:left w:val="nil"/>
              <w:bottom w:val="nil"/>
              <w:right w:val="nil"/>
            </w:tcBorders>
            <w:noWrap/>
            <w:vAlign w:val="center"/>
            <w:hideMark/>
          </w:tcPr>
          <w:p w14:paraId="7B072FAB" w14:textId="77777777" w:rsidR="00D90E38" w:rsidRPr="00D90E38" w:rsidRDefault="00D90E38" w:rsidP="00D90E38">
            <w:pPr>
              <w:spacing w:after="0" w:line="240" w:lineRule="auto"/>
              <w:rPr>
                <w:rFonts w:ascii="Times New Roman" w:hAnsi="Times New Roman"/>
                <w:color w:val="000000"/>
                <w:sz w:val="18"/>
                <w:szCs w:val="18"/>
                <w:lang w:eastAsia="sk-SK"/>
              </w:rPr>
            </w:pPr>
            <w:r w:rsidRPr="00D90E38">
              <w:rPr>
                <w:rFonts w:ascii="Times New Roman" w:hAnsi="Times New Roman"/>
                <w:color w:val="000000"/>
                <w:sz w:val="18"/>
                <w:szCs w:val="18"/>
                <w:lang w:eastAsia="sk-SK"/>
              </w:rPr>
              <w:t xml:space="preserve">     Verejné vysoké školy</w:t>
            </w:r>
          </w:p>
        </w:tc>
        <w:tc>
          <w:tcPr>
            <w:tcW w:w="650" w:type="pct"/>
            <w:tcBorders>
              <w:top w:val="nil"/>
              <w:left w:val="nil"/>
              <w:bottom w:val="nil"/>
              <w:right w:val="nil"/>
            </w:tcBorders>
            <w:noWrap/>
            <w:vAlign w:val="center"/>
            <w:hideMark/>
          </w:tcPr>
          <w:p w14:paraId="5DBCA622"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20</w:t>
            </w:r>
          </w:p>
        </w:tc>
        <w:tc>
          <w:tcPr>
            <w:tcW w:w="650" w:type="pct"/>
            <w:tcBorders>
              <w:top w:val="nil"/>
              <w:left w:val="nil"/>
              <w:bottom w:val="nil"/>
              <w:right w:val="nil"/>
            </w:tcBorders>
            <w:noWrap/>
            <w:vAlign w:val="center"/>
            <w:hideMark/>
          </w:tcPr>
          <w:p w14:paraId="293E5FAA"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20</w:t>
            </w:r>
          </w:p>
        </w:tc>
        <w:tc>
          <w:tcPr>
            <w:tcW w:w="651" w:type="pct"/>
            <w:tcBorders>
              <w:top w:val="nil"/>
              <w:left w:val="nil"/>
              <w:bottom w:val="nil"/>
              <w:right w:val="nil"/>
            </w:tcBorders>
            <w:noWrap/>
            <w:vAlign w:val="center"/>
            <w:hideMark/>
          </w:tcPr>
          <w:p w14:paraId="58E8B328"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0</w:t>
            </w:r>
          </w:p>
        </w:tc>
      </w:tr>
      <w:tr w:rsidR="00D90E38" w:rsidRPr="007253B7" w14:paraId="091803E0" w14:textId="77777777" w:rsidTr="0085799C">
        <w:trPr>
          <w:trHeight w:val="227"/>
          <w:jc w:val="center"/>
        </w:trPr>
        <w:tc>
          <w:tcPr>
            <w:tcW w:w="3049" w:type="pct"/>
            <w:tcBorders>
              <w:top w:val="nil"/>
              <w:left w:val="nil"/>
              <w:bottom w:val="nil"/>
              <w:right w:val="nil"/>
            </w:tcBorders>
            <w:noWrap/>
            <w:vAlign w:val="center"/>
            <w:hideMark/>
          </w:tcPr>
          <w:p w14:paraId="642159B8" w14:textId="77777777" w:rsidR="00D90E38" w:rsidRPr="00D90E38" w:rsidRDefault="00D90E38" w:rsidP="00D90E38">
            <w:pPr>
              <w:spacing w:after="0" w:line="240" w:lineRule="auto"/>
              <w:rPr>
                <w:rFonts w:ascii="Times New Roman" w:hAnsi="Times New Roman"/>
                <w:color w:val="000000"/>
                <w:sz w:val="18"/>
                <w:szCs w:val="18"/>
                <w:lang w:eastAsia="sk-SK"/>
              </w:rPr>
            </w:pPr>
            <w:r w:rsidRPr="00D90E38">
              <w:rPr>
                <w:rFonts w:ascii="Times New Roman" w:hAnsi="Times New Roman"/>
                <w:color w:val="000000"/>
                <w:sz w:val="18"/>
                <w:szCs w:val="18"/>
                <w:lang w:eastAsia="sk-SK"/>
              </w:rPr>
              <w:t xml:space="preserve">     Subjekty založené zákonom a neziskové organizácie súhrnného celku</w:t>
            </w:r>
          </w:p>
        </w:tc>
        <w:tc>
          <w:tcPr>
            <w:tcW w:w="650" w:type="pct"/>
            <w:tcBorders>
              <w:top w:val="nil"/>
              <w:left w:val="nil"/>
              <w:bottom w:val="nil"/>
              <w:right w:val="nil"/>
            </w:tcBorders>
            <w:noWrap/>
            <w:vAlign w:val="center"/>
            <w:hideMark/>
          </w:tcPr>
          <w:p w14:paraId="6E7BC4AD"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536</w:t>
            </w:r>
          </w:p>
        </w:tc>
        <w:tc>
          <w:tcPr>
            <w:tcW w:w="650" w:type="pct"/>
            <w:tcBorders>
              <w:top w:val="nil"/>
              <w:left w:val="nil"/>
              <w:bottom w:val="nil"/>
              <w:right w:val="nil"/>
            </w:tcBorders>
            <w:noWrap/>
            <w:vAlign w:val="center"/>
            <w:hideMark/>
          </w:tcPr>
          <w:p w14:paraId="1D352313"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488</w:t>
            </w:r>
          </w:p>
        </w:tc>
        <w:tc>
          <w:tcPr>
            <w:tcW w:w="651" w:type="pct"/>
            <w:tcBorders>
              <w:top w:val="nil"/>
              <w:left w:val="nil"/>
              <w:bottom w:val="nil"/>
              <w:right w:val="nil"/>
            </w:tcBorders>
            <w:noWrap/>
            <w:vAlign w:val="center"/>
            <w:hideMark/>
          </w:tcPr>
          <w:p w14:paraId="1A8F5E0E" w14:textId="77777777" w:rsidR="00D90E38" w:rsidRPr="00D90E38" w:rsidRDefault="00D90E38" w:rsidP="0085799C">
            <w:pPr>
              <w:spacing w:after="0" w:line="240" w:lineRule="auto"/>
              <w:jc w:val="right"/>
              <w:rPr>
                <w:rFonts w:ascii="Times New Roman" w:hAnsi="Times New Roman"/>
                <w:color w:val="000000"/>
                <w:sz w:val="18"/>
                <w:szCs w:val="18"/>
                <w:lang w:eastAsia="sk-SK"/>
              </w:rPr>
            </w:pPr>
            <w:r w:rsidRPr="00D90E38">
              <w:rPr>
                <w:rFonts w:ascii="Times New Roman" w:hAnsi="Times New Roman"/>
                <w:color w:val="000000"/>
                <w:sz w:val="18"/>
                <w:szCs w:val="18"/>
                <w:lang w:eastAsia="sk-SK"/>
              </w:rPr>
              <w:t>48</w:t>
            </w:r>
          </w:p>
        </w:tc>
      </w:tr>
      <w:tr w:rsidR="00B17EE3" w:rsidRPr="007253B7" w14:paraId="72AFDCAD" w14:textId="77777777" w:rsidTr="0085799C">
        <w:trPr>
          <w:trHeight w:val="227"/>
          <w:jc w:val="center"/>
        </w:trPr>
        <w:tc>
          <w:tcPr>
            <w:tcW w:w="5000" w:type="pct"/>
            <w:gridSpan w:val="4"/>
            <w:tcBorders>
              <w:top w:val="single" w:sz="8" w:space="0" w:color="auto"/>
              <w:left w:val="nil"/>
              <w:bottom w:val="nil"/>
              <w:right w:val="nil"/>
            </w:tcBorders>
            <w:noWrap/>
            <w:vAlign w:val="center"/>
            <w:hideMark/>
          </w:tcPr>
          <w:p w14:paraId="7959521B" w14:textId="77777777" w:rsidR="00D90E38" w:rsidRPr="00D90E38" w:rsidRDefault="00D90E38" w:rsidP="00D90E38">
            <w:pPr>
              <w:spacing w:after="0" w:line="240" w:lineRule="auto"/>
              <w:jc w:val="right"/>
              <w:rPr>
                <w:rFonts w:ascii="Times New Roman" w:hAnsi="Times New Roman"/>
                <w:color w:val="000000"/>
                <w:sz w:val="16"/>
                <w:szCs w:val="16"/>
                <w:lang w:eastAsia="sk-SK"/>
              </w:rPr>
            </w:pPr>
            <w:r w:rsidRPr="00D90E38">
              <w:rPr>
                <w:rFonts w:ascii="Times New Roman" w:hAnsi="Times New Roman"/>
                <w:color w:val="000000"/>
                <w:sz w:val="16"/>
                <w:szCs w:val="16"/>
                <w:lang w:eastAsia="sk-SK"/>
              </w:rPr>
              <w:t>Zdroj: MF SR, Centrálny konsolidačný systém</w:t>
            </w:r>
          </w:p>
        </w:tc>
      </w:tr>
    </w:tbl>
    <w:p w14:paraId="3FB48E6E" w14:textId="77777777" w:rsidR="003D6E7C" w:rsidRPr="0085799C" w:rsidRDefault="003D6E7C" w:rsidP="0085799C">
      <w:pPr>
        <w:spacing w:after="0" w:line="240" w:lineRule="auto"/>
      </w:pPr>
    </w:p>
    <w:p w14:paraId="5903FFE8" w14:textId="77777777" w:rsidR="00647542" w:rsidRPr="0085799C" w:rsidRDefault="00647542" w:rsidP="00647542">
      <w:pPr>
        <w:spacing w:after="120" w:line="240" w:lineRule="auto"/>
        <w:jc w:val="both"/>
        <w:rPr>
          <w:rFonts w:ascii="Times New Roman" w:hAnsi="Times New Roman"/>
          <w:szCs w:val="22"/>
        </w:rPr>
      </w:pPr>
      <w:r w:rsidRPr="0085799C">
        <w:rPr>
          <w:rFonts w:ascii="Times New Roman" w:hAnsi="Times New Roman"/>
          <w:szCs w:val="22"/>
        </w:rPr>
        <w:t>Bližší prehľad o počte subjektov súhrnného celku je uvedený v prílohe č. 1 poznámok súhrnnej účtovnej závierky.</w:t>
      </w:r>
    </w:p>
    <w:p w14:paraId="097D4A1E" w14:textId="6390D00A" w:rsidR="00647542" w:rsidRPr="007253B7" w:rsidRDefault="001F47C9" w:rsidP="0085799C">
      <w:pPr>
        <w:pStyle w:val="Nadpis2"/>
        <w:rPr>
          <w:szCs w:val="24"/>
        </w:rPr>
      </w:pPr>
      <w:r>
        <w:t xml:space="preserve">3. </w:t>
      </w:r>
      <w:r w:rsidR="00647542" w:rsidRPr="00D50CE7">
        <w:t>Informácie o účtovných zásadách a účtovných metódach</w:t>
      </w:r>
    </w:p>
    <w:p w14:paraId="2691046B" w14:textId="5F31D2E4" w:rsidR="00647542" w:rsidRPr="00907622" w:rsidRDefault="00647542" w:rsidP="00647542">
      <w:pPr>
        <w:spacing w:after="120" w:line="240" w:lineRule="auto"/>
        <w:jc w:val="both"/>
        <w:rPr>
          <w:rFonts w:ascii="Times New Roman" w:hAnsi="Times New Roman"/>
          <w:szCs w:val="22"/>
          <w:lang w:eastAsia="sk-SK"/>
        </w:rPr>
      </w:pPr>
      <w:r w:rsidRPr="00907622">
        <w:rPr>
          <w:rFonts w:ascii="Times New Roman" w:hAnsi="Times New Roman"/>
          <w:szCs w:val="22"/>
          <w:lang w:eastAsia="sk-SK"/>
        </w:rPr>
        <w:t>Účtovné zásady a účtovné metódy sú uplatňované v súlade so zákonom o účtovníctve a postupmi účtovania pre jednotlivé právne formy účtovných jednotiek, ktoré sú definované:</w:t>
      </w:r>
    </w:p>
    <w:p w14:paraId="24633418" w14:textId="4589FD67" w:rsidR="00647542" w:rsidRPr="00907622" w:rsidRDefault="00957607" w:rsidP="002B5E5D">
      <w:pPr>
        <w:pStyle w:val="Odsekzoznamu"/>
        <w:numPr>
          <w:ilvl w:val="0"/>
          <w:numId w:val="18"/>
        </w:numPr>
        <w:spacing w:after="120" w:line="240" w:lineRule="auto"/>
        <w:ind w:left="284" w:hanging="284"/>
        <w:jc w:val="both"/>
        <w:rPr>
          <w:rFonts w:ascii="Times New Roman" w:hAnsi="Times New Roman"/>
          <w:szCs w:val="22"/>
          <w:lang w:eastAsia="sk-SK"/>
        </w:rPr>
      </w:pPr>
      <w:r w:rsidRPr="00907622">
        <w:rPr>
          <w:rFonts w:ascii="Times New Roman" w:hAnsi="Times New Roman"/>
          <w:szCs w:val="22"/>
          <w:lang w:eastAsia="sk-SK"/>
        </w:rPr>
        <w:t>opatrenie Ministerstva financií Slovenskej republiky zo 7. decembra 2022 č. MF/14522/2022-36</w:t>
      </w:r>
      <w:r w:rsidR="008B2C13" w:rsidRPr="00907622">
        <w:rPr>
          <w:rFonts w:ascii="Times New Roman" w:hAnsi="Times New Roman"/>
          <w:szCs w:val="22"/>
          <w:lang w:eastAsia="sk-SK"/>
        </w:rPr>
        <w:t xml:space="preserve"> v znení neskorších predpisov</w:t>
      </w:r>
      <w:r w:rsidR="00647542" w:rsidRPr="00907622">
        <w:rPr>
          <w:rFonts w:ascii="Times New Roman" w:hAnsi="Times New Roman"/>
          <w:szCs w:val="22"/>
          <w:lang w:eastAsia="sk-SK"/>
        </w:rPr>
        <w:t>, ktorým sa ustanovujú podrobnosti o postupoch účtovania a rámcovej účtovej osnove pre štátne rozpočtové organizácie, štátne príspevkové organizácie a štátne účelové fondy,</w:t>
      </w:r>
    </w:p>
    <w:p w14:paraId="0CD2518B" w14:textId="59CB363A" w:rsidR="00647542" w:rsidRPr="00907622" w:rsidRDefault="00957607" w:rsidP="002B5E5D">
      <w:pPr>
        <w:pStyle w:val="Odsekzoznamu"/>
        <w:numPr>
          <w:ilvl w:val="0"/>
          <w:numId w:val="18"/>
        </w:numPr>
        <w:spacing w:after="120" w:line="240" w:lineRule="auto"/>
        <w:ind w:left="284" w:hanging="284"/>
        <w:jc w:val="both"/>
        <w:rPr>
          <w:rFonts w:ascii="Times New Roman" w:hAnsi="Times New Roman"/>
          <w:szCs w:val="22"/>
          <w:lang w:eastAsia="sk-SK"/>
        </w:rPr>
      </w:pPr>
      <w:r w:rsidRPr="00907622">
        <w:rPr>
          <w:rFonts w:ascii="Times New Roman" w:hAnsi="Times New Roman"/>
          <w:szCs w:val="22"/>
          <w:lang w:eastAsia="sk-SK"/>
        </w:rPr>
        <w:t>opatrenie Ministerstva financií Slovenskej republiky zo dňa 12. 12. 2022 č. MF/014454/2022-36</w:t>
      </w:r>
      <w:r w:rsidR="006134BE" w:rsidRPr="00907622">
        <w:rPr>
          <w:rFonts w:ascii="Times New Roman" w:hAnsi="Times New Roman"/>
          <w:szCs w:val="22"/>
          <w:lang w:eastAsia="sk-SK"/>
        </w:rPr>
        <w:t xml:space="preserve"> v znení neskorších predpisov</w:t>
      </w:r>
      <w:r w:rsidR="00647542" w:rsidRPr="00907622">
        <w:rPr>
          <w:rFonts w:ascii="Times New Roman" w:hAnsi="Times New Roman"/>
          <w:szCs w:val="22"/>
          <w:lang w:eastAsia="sk-SK"/>
        </w:rPr>
        <w:t>, ktorým sa ustanovujú podrobnosti o postupoch účtovania rámcovej účtovej osnove pre obce, vyššie územné celky a nimi zriadené rozpočtové organizácie a príspevkové organizácie,</w:t>
      </w:r>
    </w:p>
    <w:p w14:paraId="7B8EE648" w14:textId="63EC38CB" w:rsidR="00647542" w:rsidRPr="00907622" w:rsidRDefault="00957607" w:rsidP="002B5E5D">
      <w:pPr>
        <w:pStyle w:val="Odsekzoznamu"/>
        <w:numPr>
          <w:ilvl w:val="0"/>
          <w:numId w:val="18"/>
        </w:numPr>
        <w:spacing w:after="120" w:line="240" w:lineRule="auto"/>
        <w:ind w:left="284" w:hanging="284"/>
        <w:jc w:val="both"/>
        <w:rPr>
          <w:rFonts w:ascii="Times New Roman" w:hAnsi="Times New Roman"/>
          <w:szCs w:val="22"/>
          <w:lang w:eastAsia="sk-SK"/>
        </w:rPr>
      </w:pPr>
      <w:r w:rsidRPr="00907622">
        <w:rPr>
          <w:rFonts w:ascii="Times New Roman" w:hAnsi="Times New Roman"/>
          <w:szCs w:val="22"/>
          <w:lang w:eastAsia="sk-SK"/>
        </w:rPr>
        <w:t>opatrenie Ministerstva financií Slovenskej republiky zo 16. decembra 2002 č. 23054/2002-92</w:t>
      </w:r>
      <w:r w:rsidR="00802631" w:rsidRPr="00907622">
        <w:rPr>
          <w:rFonts w:ascii="Times New Roman" w:hAnsi="Times New Roman"/>
          <w:szCs w:val="22"/>
          <w:lang w:eastAsia="sk-SK"/>
        </w:rPr>
        <w:t xml:space="preserve"> v znení neskorších predpisov</w:t>
      </w:r>
      <w:r w:rsidR="00647542" w:rsidRPr="00907622">
        <w:rPr>
          <w:rFonts w:ascii="Times New Roman" w:hAnsi="Times New Roman"/>
          <w:szCs w:val="22"/>
          <w:lang w:eastAsia="sk-SK"/>
        </w:rPr>
        <w:t>, ktorým sa ustanovujú podrobnosti o postupoch účtovania a rámcovej účtovej osnove pre podnikateľov účtujúcich v sústave podvojného účtovníctva v znení neskorších predpisov,</w:t>
      </w:r>
    </w:p>
    <w:p w14:paraId="34255F7A" w14:textId="784BA8E5" w:rsidR="00647542" w:rsidRPr="00907622" w:rsidRDefault="00957607" w:rsidP="002B5E5D">
      <w:pPr>
        <w:pStyle w:val="Odsekzoznamu"/>
        <w:numPr>
          <w:ilvl w:val="0"/>
          <w:numId w:val="18"/>
        </w:numPr>
        <w:spacing w:after="120" w:line="240" w:lineRule="auto"/>
        <w:ind w:left="284" w:hanging="284"/>
        <w:jc w:val="both"/>
        <w:rPr>
          <w:rFonts w:ascii="Times New Roman" w:hAnsi="Times New Roman"/>
          <w:szCs w:val="22"/>
          <w:lang w:eastAsia="sk-SK"/>
        </w:rPr>
      </w:pPr>
      <w:r w:rsidRPr="00907622">
        <w:rPr>
          <w:rFonts w:ascii="Times New Roman" w:hAnsi="Times New Roman"/>
          <w:szCs w:val="22"/>
          <w:lang w:eastAsia="sk-SK"/>
        </w:rPr>
        <w:t>opatrenie Ministerstva financií Slovenskej republiky z 30. novembra 2005 č. MF/22930/2005-74</w:t>
      </w:r>
      <w:r w:rsidR="000B5CE0" w:rsidRPr="00907622">
        <w:rPr>
          <w:rFonts w:ascii="Times New Roman" w:hAnsi="Times New Roman"/>
          <w:szCs w:val="22"/>
          <w:lang w:eastAsia="sk-SK"/>
        </w:rPr>
        <w:t xml:space="preserve"> v znení neskorších predpisov</w:t>
      </w:r>
      <w:r w:rsidR="00647542" w:rsidRPr="00907622">
        <w:rPr>
          <w:rFonts w:ascii="Times New Roman" w:hAnsi="Times New Roman"/>
          <w:szCs w:val="22"/>
          <w:lang w:eastAsia="sk-SK"/>
        </w:rPr>
        <w:t>, ktorým sa ustanovujú podrobnosti o postupoch účtovania a rámcovej účtovej osnove pre zdravotné poisťovne,</w:t>
      </w:r>
    </w:p>
    <w:p w14:paraId="18CCA6F6" w14:textId="099B61A4" w:rsidR="00647542" w:rsidRPr="00907622" w:rsidRDefault="00957607" w:rsidP="002B5E5D">
      <w:pPr>
        <w:pStyle w:val="Odsekzoznamu"/>
        <w:numPr>
          <w:ilvl w:val="0"/>
          <w:numId w:val="18"/>
        </w:numPr>
        <w:spacing w:after="120" w:line="240" w:lineRule="auto"/>
        <w:ind w:left="284" w:hanging="284"/>
        <w:jc w:val="both"/>
        <w:rPr>
          <w:rFonts w:ascii="Times New Roman" w:hAnsi="Times New Roman"/>
          <w:szCs w:val="22"/>
          <w:lang w:eastAsia="sk-SK"/>
        </w:rPr>
      </w:pPr>
      <w:r w:rsidRPr="00907622">
        <w:rPr>
          <w:rFonts w:ascii="Times New Roman" w:hAnsi="Times New Roman"/>
          <w:szCs w:val="22"/>
          <w:lang w:eastAsia="sk-SK"/>
        </w:rPr>
        <w:t>opatrenie Ministerstva financií Slovenskej republiky z 30. novembra 2005 č. MF/24035/2005-74</w:t>
      </w:r>
      <w:r w:rsidR="000B5CE0" w:rsidRPr="00907622">
        <w:rPr>
          <w:rFonts w:ascii="Times New Roman" w:hAnsi="Times New Roman"/>
          <w:szCs w:val="22"/>
          <w:lang w:eastAsia="sk-SK"/>
        </w:rPr>
        <w:t xml:space="preserve"> v znení neskorších predpisov</w:t>
      </w:r>
      <w:r w:rsidR="00647542" w:rsidRPr="00907622">
        <w:rPr>
          <w:rFonts w:ascii="Times New Roman" w:hAnsi="Times New Roman"/>
          <w:szCs w:val="22"/>
          <w:lang w:eastAsia="sk-SK"/>
        </w:rPr>
        <w:t>, ktorým sa ustanovujú podrobnosti o postupoch účtovania a účtovej osnove pre Sociálnu poisťovňu,</w:t>
      </w:r>
    </w:p>
    <w:p w14:paraId="7E2DE476" w14:textId="28FD7B37" w:rsidR="00647542" w:rsidRPr="00907622" w:rsidRDefault="00957607" w:rsidP="002B5E5D">
      <w:pPr>
        <w:pStyle w:val="Odsekzoznamu"/>
        <w:numPr>
          <w:ilvl w:val="0"/>
          <w:numId w:val="18"/>
        </w:numPr>
        <w:spacing w:after="120" w:line="240" w:lineRule="auto"/>
        <w:ind w:left="284" w:hanging="284"/>
        <w:jc w:val="both"/>
        <w:rPr>
          <w:rFonts w:ascii="Times New Roman" w:hAnsi="Times New Roman"/>
          <w:szCs w:val="22"/>
          <w:lang w:eastAsia="sk-SK"/>
        </w:rPr>
      </w:pPr>
      <w:r w:rsidRPr="00907622">
        <w:rPr>
          <w:rFonts w:ascii="Times New Roman" w:hAnsi="Times New Roman"/>
          <w:szCs w:val="22"/>
          <w:lang w:eastAsia="sk-SK"/>
        </w:rPr>
        <w:t>opatrenie Ministerstva financií Slovenskej republiky zo 14. novembra 2007 č. MF/24342/2007-74</w:t>
      </w:r>
      <w:r w:rsidR="000B5CE0" w:rsidRPr="00907622">
        <w:rPr>
          <w:rFonts w:ascii="Times New Roman" w:hAnsi="Times New Roman"/>
          <w:szCs w:val="22"/>
          <w:lang w:eastAsia="sk-SK"/>
        </w:rPr>
        <w:t xml:space="preserve"> v znení neskorších predpisov</w:t>
      </w:r>
      <w:r w:rsidR="00647542" w:rsidRPr="00907622">
        <w:rPr>
          <w:rFonts w:ascii="Times New Roman" w:hAnsi="Times New Roman"/>
          <w:szCs w:val="22"/>
          <w:lang w:eastAsia="sk-SK"/>
        </w:rPr>
        <w:t xml:space="preserve">, ktorým sa ustanovujú podrobnosti o postupoch účtovania a účtovej osnove pre účtovné jednotky, ktoré nie sú založené alebo zriadené na účel podnikania a </w:t>
      </w:r>
    </w:p>
    <w:p w14:paraId="41A26C71" w14:textId="77777777" w:rsidR="00647542" w:rsidRPr="00907622" w:rsidRDefault="00647542" w:rsidP="002B5E5D">
      <w:pPr>
        <w:pStyle w:val="Odsekzoznamu"/>
        <w:numPr>
          <w:ilvl w:val="0"/>
          <w:numId w:val="18"/>
        </w:numPr>
        <w:spacing w:after="120" w:line="240" w:lineRule="auto"/>
        <w:ind w:left="284" w:hanging="284"/>
        <w:jc w:val="both"/>
        <w:rPr>
          <w:rFonts w:ascii="Times New Roman" w:hAnsi="Times New Roman"/>
          <w:szCs w:val="22"/>
          <w:lang w:eastAsia="sk-SK"/>
        </w:rPr>
      </w:pPr>
      <w:r w:rsidRPr="00907622">
        <w:rPr>
          <w:rFonts w:ascii="Times New Roman" w:hAnsi="Times New Roman"/>
          <w:szCs w:val="22"/>
          <w:lang w:eastAsia="sk-SK"/>
        </w:rPr>
        <w:t>medzinárodnými štandardami pre finančné výkazníctvo (IFRS) v prípade niektorých obchodných spoločností.</w:t>
      </w:r>
    </w:p>
    <w:p w14:paraId="6691B4E5" w14:textId="5980E1A5" w:rsidR="00647542" w:rsidRPr="00907622" w:rsidRDefault="00647542" w:rsidP="00A66E07">
      <w:pPr>
        <w:spacing w:after="0" w:line="240" w:lineRule="auto"/>
        <w:jc w:val="both"/>
        <w:rPr>
          <w:rFonts w:ascii="Times New Roman" w:hAnsi="Times New Roman"/>
          <w:szCs w:val="22"/>
          <w:lang w:eastAsia="sk-SK"/>
        </w:rPr>
      </w:pPr>
      <w:r w:rsidRPr="00907622">
        <w:rPr>
          <w:rFonts w:ascii="Times New Roman" w:hAnsi="Times New Roman"/>
          <w:szCs w:val="22"/>
          <w:lang w:eastAsia="sk-SK"/>
        </w:rPr>
        <w:t xml:space="preserve">Pre účely zostavenia súhrnnej účtovnej závierky sa výkazy účtovných jednotiek, ktorých právna forma je iná než rozpočtová organizácia, </w:t>
      </w:r>
      <w:r w:rsidR="0009566B" w:rsidRPr="00907622">
        <w:rPr>
          <w:rFonts w:ascii="Times New Roman" w:hAnsi="Times New Roman"/>
          <w:szCs w:val="22"/>
          <w:lang w:eastAsia="sk-SK"/>
        </w:rPr>
        <w:t>príspevková organizácia alebo štátny fond</w:t>
      </w:r>
      <w:r w:rsidR="009A4C6E">
        <w:rPr>
          <w:rFonts w:ascii="Times New Roman" w:hAnsi="Times New Roman"/>
          <w:szCs w:val="22"/>
          <w:lang w:eastAsia="sk-SK"/>
        </w:rPr>
        <w:t>,</w:t>
      </w:r>
      <w:r w:rsidR="0009566B" w:rsidRPr="00907622">
        <w:rPr>
          <w:rFonts w:ascii="Times New Roman" w:hAnsi="Times New Roman"/>
          <w:szCs w:val="22"/>
          <w:lang w:eastAsia="sk-SK"/>
        </w:rPr>
        <w:t xml:space="preserve"> </w:t>
      </w:r>
      <w:r w:rsidRPr="00907622">
        <w:rPr>
          <w:rFonts w:ascii="Times New Roman" w:hAnsi="Times New Roman"/>
          <w:szCs w:val="22"/>
          <w:lang w:eastAsia="sk-SK"/>
        </w:rPr>
        <w:t xml:space="preserve">upravili prostredníctvom </w:t>
      </w:r>
      <w:r w:rsidRPr="00907622">
        <w:rPr>
          <w:rFonts w:ascii="Times New Roman" w:hAnsi="Times New Roman"/>
          <w:i/>
          <w:szCs w:val="22"/>
          <w:lang w:eastAsia="sk-SK"/>
        </w:rPr>
        <w:t>prevodových mostíkov</w:t>
      </w:r>
      <w:r w:rsidRPr="00907622">
        <w:rPr>
          <w:rFonts w:ascii="Times New Roman" w:hAnsi="Times New Roman"/>
          <w:szCs w:val="22"/>
          <w:lang w:eastAsia="sk-SK"/>
        </w:rPr>
        <w:t xml:space="preserve"> na štruktúru výkazov </w:t>
      </w:r>
      <w:r w:rsidR="004C64E0" w:rsidRPr="00907622">
        <w:rPr>
          <w:rFonts w:ascii="Times New Roman" w:hAnsi="Times New Roman"/>
          <w:szCs w:val="22"/>
          <w:lang w:eastAsia="sk-SK"/>
        </w:rPr>
        <w:t xml:space="preserve">vzťahujúcich sa na účtovnú jednotku </w:t>
      </w:r>
      <w:r w:rsidRPr="00907622">
        <w:rPr>
          <w:rFonts w:ascii="Times New Roman" w:hAnsi="Times New Roman"/>
          <w:szCs w:val="22"/>
          <w:lang w:eastAsia="sk-SK"/>
        </w:rPr>
        <w:t xml:space="preserve"> Ministerstvo financií SR. Tým je zabezpečená agregácia údajov v rovnakej štruktúre za všetky účtovné jednotky v súhrnnom </w:t>
      </w:r>
      <w:r w:rsidRPr="00907622">
        <w:rPr>
          <w:rFonts w:ascii="Times New Roman" w:hAnsi="Times New Roman"/>
          <w:szCs w:val="22"/>
          <w:lang w:eastAsia="sk-SK"/>
        </w:rPr>
        <w:lastRenderedPageBreak/>
        <w:t>celku. Číselné údaje v poznámkach súhrnnej účtovnej závierky sú vykazované v mene euro, zaokrúhlené na tisíce, ak nie je uvedené inak.</w:t>
      </w:r>
    </w:p>
    <w:p w14:paraId="7ED5A79A" w14:textId="1E429FB5" w:rsidR="00647542" w:rsidRPr="007253B7" w:rsidRDefault="001F47C9" w:rsidP="0085799C">
      <w:pPr>
        <w:pStyle w:val="Nadpis2"/>
        <w:rPr>
          <w:szCs w:val="24"/>
          <w:lang w:eastAsia="sk-SK"/>
        </w:rPr>
      </w:pPr>
      <w:r>
        <w:t xml:space="preserve">4. </w:t>
      </w:r>
      <w:r w:rsidR="00647542" w:rsidRPr="0085799C">
        <w:t xml:space="preserve">Ďalšie informácie z konsolidovaných a individuálnych účtovných závierok </w:t>
      </w:r>
    </w:p>
    <w:p w14:paraId="65555586" w14:textId="5015A863" w:rsidR="00505C0F" w:rsidRDefault="00647542" w:rsidP="002B5E5D">
      <w:pPr>
        <w:spacing w:after="120" w:line="240" w:lineRule="auto"/>
        <w:jc w:val="both"/>
        <w:rPr>
          <w:rFonts w:ascii="Times New Roman" w:hAnsi="Times New Roman"/>
          <w:szCs w:val="22"/>
        </w:rPr>
      </w:pPr>
      <w:r w:rsidRPr="00907622">
        <w:rPr>
          <w:rFonts w:ascii="Times New Roman" w:hAnsi="Times New Roman"/>
          <w:szCs w:val="22"/>
          <w:lang w:eastAsia="sk-SK"/>
        </w:rPr>
        <w:t>Opis položiek v S</w:t>
      </w:r>
      <w:r w:rsidR="00AF39E6" w:rsidRPr="00907622">
        <w:rPr>
          <w:rFonts w:ascii="Times New Roman" w:hAnsi="Times New Roman"/>
          <w:szCs w:val="22"/>
          <w:lang w:eastAsia="sk-SK"/>
        </w:rPr>
        <w:t>Ú</w:t>
      </w:r>
      <w:r w:rsidRPr="00907622">
        <w:rPr>
          <w:rFonts w:ascii="Times New Roman" w:hAnsi="Times New Roman"/>
          <w:szCs w:val="22"/>
          <w:lang w:eastAsia="sk-SK"/>
        </w:rPr>
        <w:t xml:space="preserve">Z (súvaha, výkaz ziskov a strát) sa zakladá na informáciách, ktoré sú uvedené v poznámkach individuálnych alebo konsolidovaných účtovných závierkach subjektov súhrnného celku, výročných správ a na informáciách vyžiadaných materskou účtovnou jednotkou. Pre tieto účely </w:t>
      </w:r>
      <w:r w:rsidRPr="00505C0F">
        <w:rPr>
          <w:rFonts w:ascii="Times New Roman" w:hAnsi="Times New Roman"/>
          <w:szCs w:val="22"/>
          <w:lang w:eastAsia="sk-SK"/>
        </w:rPr>
        <w:t xml:space="preserve">je možné nahliadnuť do Registra účtovných závierok na webovom sídle </w:t>
      </w:r>
      <w:hyperlink r:id="rId16" w:history="1">
        <w:r w:rsidRPr="00505C0F">
          <w:rPr>
            <w:rStyle w:val="Hypertextovprepojenie"/>
            <w:rFonts w:ascii="Times New Roman" w:hAnsi="Times New Roman"/>
            <w:szCs w:val="22"/>
            <w:lang w:eastAsia="sk-SK"/>
          </w:rPr>
          <w:t>www.registeruz.sk</w:t>
        </w:r>
      </w:hyperlink>
      <w:r w:rsidRPr="00505C0F">
        <w:rPr>
          <w:rFonts w:ascii="Times New Roman" w:hAnsi="Times New Roman"/>
          <w:szCs w:val="22"/>
          <w:lang w:eastAsia="sk-SK"/>
        </w:rPr>
        <w:t xml:space="preserve">. </w:t>
      </w:r>
    </w:p>
    <w:p w14:paraId="3F4A6E71" w14:textId="20EDA650" w:rsidR="00647542" w:rsidRPr="0085799C" w:rsidRDefault="00B90870" w:rsidP="0085799C">
      <w:pPr>
        <w:pStyle w:val="IHLAVN"/>
        <w:rPr>
          <w:b w:val="0"/>
          <w:caps w:val="0"/>
        </w:rPr>
      </w:pPr>
      <w:r w:rsidRPr="00F17E4B">
        <w:t xml:space="preserve">II. </w:t>
      </w:r>
      <w:r w:rsidR="00F17E4B">
        <w:t>INFORMÁCIE O METÓDACH A POSTUPE KOSOLIDÁCIE</w:t>
      </w:r>
    </w:p>
    <w:p w14:paraId="6D9F7878" w14:textId="7ACE2668" w:rsidR="006125C0" w:rsidRDefault="006125C0" w:rsidP="001F47C9">
      <w:pPr>
        <w:pStyle w:val="Nadpis2"/>
      </w:pPr>
      <w:r>
        <w:t>1. Informácie o</w:t>
      </w:r>
      <w:r w:rsidR="00605A26">
        <w:t xml:space="preserve"> </w:t>
      </w:r>
      <w:r>
        <w:t>použitých metódach konsolidácie</w:t>
      </w:r>
    </w:p>
    <w:p w14:paraId="18DB110B" w14:textId="7E83C475" w:rsidR="00647542" w:rsidRPr="00907622" w:rsidRDefault="00647542" w:rsidP="00647542">
      <w:pPr>
        <w:spacing w:after="120" w:line="240" w:lineRule="auto"/>
        <w:jc w:val="both"/>
        <w:rPr>
          <w:rFonts w:ascii="Times New Roman" w:hAnsi="Times New Roman"/>
          <w:szCs w:val="22"/>
        </w:rPr>
      </w:pPr>
      <w:r w:rsidRPr="00907622">
        <w:rPr>
          <w:rFonts w:ascii="Times New Roman" w:hAnsi="Times New Roman"/>
          <w:szCs w:val="22"/>
        </w:rPr>
        <w:t>Na zostavenie súhrnnej účtovnej závierky boli primerane použité metódy a</w:t>
      </w:r>
      <w:r w:rsidR="00DB2E96">
        <w:rPr>
          <w:rFonts w:ascii="Times New Roman" w:hAnsi="Times New Roman"/>
          <w:szCs w:val="22"/>
        </w:rPr>
        <w:t xml:space="preserve"> </w:t>
      </w:r>
      <w:r w:rsidRPr="00907622">
        <w:rPr>
          <w:rFonts w:ascii="Times New Roman" w:hAnsi="Times New Roman"/>
          <w:szCs w:val="22"/>
        </w:rPr>
        <w:t xml:space="preserve">postupy konsolidácie podľa opatrenia ku konsolidácii vo verejnej správe. Účtovné jednotky boli zahrnuté do súhrnnej účtovnej závierky nasledovnými metódami: </w:t>
      </w:r>
    </w:p>
    <w:p w14:paraId="27299921" w14:textId="194DF10F" w:rsidR="00647542" w:rsidRPr="00907622" w:rsidRDefault="784630BC" w:rsidP="00647542">
      <w:pPr>
        <w:pStyle w:val="Popis"/>
        <w:keepNext/>
      </w:pPr>
      <w:r w:rsidRPr="00907622">
        <w:t xml:space="preserve">Tabuľka </w:t>
      </w:r>
      <w:r w:rsidR="00647542" w:rsidRPr="00907622">
        <w:fldChar w:fldCharType="begin"/>
      </w:r>
      <w:r w:rsidR="00647542" w:rsidRPr="00907622">
        <w:instrText xml:space="preserve"> SEQ Tabuľka \* ARABIC </w:instrText>
      </w:r>
      <w:r w:rsidR="00647542" w:rsidRPr="00907622">
        <w:fldChar w:fldCharType="separate"/>
      </w:r>
      <w:r w:rsidRPr="00907622">
        <w:rPr>
          <w:noProof/>
        </w:rPr>
        <w:t>2</w:t>
      </w:r>
      <w:r w:rsidR="00647542" w:rsidRPr="00907622">
        <w:rPr>
          <w:noProof/>
        </w:rPr>
        <w:fldChar w:fldCharType="end"/>
      </w:r>
    </w:p>
    <w:tbl>
      <w:tblPr>
        <w:tblW w:w="9072" w:type="dxa"/>
        <w:jc w:val="center"/>
        <w:tblLayout w:type="fixed"/>
        <w:tblLook w:val="06A0" w:firstRow="1" w:lastRow="0" w:firstColumn="1" w:lastColumn="0" w:noHBand="1" w:noVBand="1"/>
      </w:tblPr>
      <w:tblGrid>
        <w:gridCol w:w="5692"/>
        <w:gridCol w:w="3380"/>
      </w:tblGrid>
      <w:tr w:rsidR="23ACC2EC" w:rsidRPr="00907622" w14:paraId="4CA1E11D" w14:textId="77777777" w:rsidTr="0085799C">
        <w:trPr>
          <w:trHeight w:val="227"/>
          <w:jc w:val="center"/>
        </w:trPr>
        <w:tc>
          <w:tcPr>
            <w:tcW w:w="5000" w:type="pct"/>
            <w:gridSpan w:val="2"/>
            <w:tcBorders>
              <w:top w:val="single" w:sz="8" w:space="0" w:color="auto"/>
              <w:left w:val="nil"/>
              <w:bottom w:val="single" w:sz="8" w:space="0" w:color="auto"/>
              <w:right w:val="nil"/>
            </w:tcBorders>
            <w:shd w:val="clear" w:color="auto" w:fill="F4B084"/>
            <w:tcMar>
              <w:top w:w="15" w:type="dxa"/>
              <w:left w:w="15" w:type="dxa"/>
              <w:right w:w="15" w:type="dxa"/>
            </w:tcMar>
            <w:vAlign w:val="center"/>
          </w:tcPr>
          <w:p w14:paraId="5B353746" w14:textId="336E08A8" w:rsidR="23ACC2EC" w:rsidRPr="00907622" w:rsidRDefault="23ACC2EC" w:rsidP="0085799C">
            <w:pPr>
              <w:spacing w:after="0"/>
              <w:rPr>
                <w:rFonts w:ascii="Times New Roman" w:hAnsi="Times New Roman"/>
                <w:b/>
                <w:bCs/>
                <w:color w:val="000000" w:themeColor="text1"/>
                <w:sz w:val="18"/>
                <w:szCs w:val="18"/>
              </w:rPr>
            </w:pPr>
            <w:r w:rsidRPr="00907622">
              <w:rPr>
                <w:rFonts w:ascii="Times New Roman" w:hAnsi="Times New Roman"/>
                <w:b/>
                <w:bCs/>
                <w:color w:val="000000" w:themeColor="text1"/>
                <w:sz w:val="18"/>
                <w:szCs w:val="18"/>
              </w:rPr>
              <w:t>Metóda zahrnutia účtovných jednotiek do súhrnného celku</w:t>
            </w:r>
          </w:p>
        </w:tc>
      </w:tr>
      <w:tr w:rsidR="23ACC2EC" w:rsidRPr="00907622" w14:paraId="6D2CC1EC" w14:textId="77777777" w:rsidTr="00B17EE3">
        <w:trPr>
          <w:trHeight w:val="227"/>
          <w:jc w:val="center"/>
        </w:trPr>
        <w:tc>
          <w:tcPr>
            <w:tcW w:w="3137" w:type="pct"/>
            <w:tcBorders>
              <w:top w:val="single" w:sz="8" w:space="0" w:color="auto"/>
              <w:left w:val="nil"/>
              <w:bottom w:val="single" w:sz="8" w:space="0" w:color="auto"/>
              <w:right w:val="nil"/>
            </w:tcBorders>
            <w:shd w:val="clear" w:color="auto" w:fill="BDD7EE"/>
            <w:tcMar>
              <w:top w:w="15" w:type="dxa"/>
              <w:left w:w="15" w:type="dxa"/>
              <w:right w:w="15" w:type="dxa"/>
            </w:tcMar>
            <w:vAlign w:val="center"/>
          </w:tcPr>
          <w:p w14:paraId="73F04E6D" w14:textId="1134C8CE" w:rsidR="23ACC2EC" w:rsidRPr="00907622" w:rsidRDefault="23ACC2EC" w:rsidP="0085799C">
            <w:pPr>
              <w:spacing w:after="0"/>
              <w:rPr>
                <w:rFonts w:ascii="Times New Roman" w:hAnsi="Times New Roman"/>
                <w:b/>
                <w:bCs/>
                <w:color w:val="000000" w:themeColor="text1"/>
                <w:sz w:val="18"/>
                <w:szCs w:val="18"/>
              </w:rPr>
            </w:pPr>
            <w:r w:rsidRPr="00907622">
              <w:rPr>
                <w:rFonts w:ascii="Times New Roman" w:hAnsi="Times New Roman"/>
                <w:b/>
                <w:bCs/>
                <w:color w:val="000000" w:themeColor="text1"/>
                <w:sz w:val="18"/>
                <w:szCs w:val="18"/>
              </w:rPr>
              <w:t xml:space="preserve"> Druh účtovnej jednotky</w:t>
            </w:r>
          </w:p>
        </w:tc>
        <w:tc>
          <w:tcPr>
            <w:tcW w:w="1863" w:type="pct"/>
            <w:tcBorders>
              <w:top w:val="nil"/>
              <w:left w:val="nil"/>
              <w:bottom w:val="single" w:sz="8" w:space="0" w:color="auto"/>
              <w:right w:val="nil"/>
            </w:tcBorders>
            <w:shd w:val="clear" w:color="auto" w:fill="BDD7EE"/>
            <w:tcMar>
              <w:top w:w="15" w:type="dxa"/>
              <w:left w:w="15" w:type="dxa"/>
              <w:right w:w="15" w:type="dxa"/>
            </w:tcMar>
            <w:vAlign w:val="center"/>
          </w:tcPr>
          <w:p w14:paraId="74EB2A66" w14:textId="748A1EEE" w:rsidR="23ACC2EC" w:rsidRPr="00907622" w:rsidRDefault="23ACC2EC" w:rsidP="0085799C">
            <w:pPr>
              <w:spacing w:after="0"/>
              <w:jc w:val="center"/>
              <w:rPr>
                <w:rFonts w:ascii="Times New Roman" w:hAnsi="Times New Roman"/>
                <w:b/>
                <w:bCs/>
                <w:color w:val="000000" w:themeColor="text1"/>
                <w:sz w:val="18"/>
                <w:szCs w:val="18"/>
              </w:rPr>
            </w:pPr>
            <w:r w:rsidRPr="00907622">
              <w:rPr>
                <w:rFonts w:ascii="Times New Roman" w:hAnsi="Times New Roman"/>
                <w:b/>
                <w:bCs/>
                <w:color w:val="000000" w:themeColor="text1"/>
                <w:sz w:val="18"/>
                <w:szCs w:val="18"/>
              </w:rPr>
              <w:t>Metóda</w:t>
            </w:r>
          </w:p>
        </w:tc>
      </w:tr>
      <w:tr w:rsidR="23ACC2EC" w:rsidRPr="00907622" w14:paraId="1ABBA277" w14:textId="77777777" w:rsidTr="0085799C">
        <w:trPr>
          <w:trHeight w:val="227"/>
          <w:jc w:val="center"/>
        </w:trPr>
        <w:tc>
          <w:tcPr>
            <w:tcW w:w="3137" w:type="pct"/>
            <w:tcBorders>
              <w:top w:val="single" w:sz="8" w:space="0" w:color="auto"/>
              <w:left w:val="nil"/>
              <w:bottom w:val="nil"/>
              <w:right w:val="nil"/>
            </w:tcBorders>
            <w:shd w:val="clear" w:color="auto" w:fill="FFFFFF" w:themeFill="background1"/>
            <w:tcMar>
              <w:top w:w="15" w:type="dxa"/>
              <w:left w:w="15" w:type="dxa"/>
              <w:right w:w="15" w:type="dxa"/>
            </w:tcMar>
            <w:vAlign w:val="center"/>
          </w:tcPr>
          <w:p w14:paraId="6D5BDD05" w14:textId="3DF28A45" w:rsidR="23ACC2EC" w:rsidRPr="00907622" w:rsidRDefault="23ACC2EC" w:rsidP="0085799C">
            <w:pPr>
              <w:spacing w:after="0"/>
              <w:rPr>
                <w:rFonts w:ascii="Times New Roman" w:hAnsi="Times New Roman"/>
                <w:color w:val="000000" w:themeColor="text1"/>
                <w:sz w:val="18"/>
                <w:szCs w:val="18"/>
              </w:rPr>
            </w:pPr>
            <w:r w:rsidRPr="00907622">
              <w:rPr>
                <w:rFonts w:ascii="Times New Roman" w:hAnsi="Times New Roman"/>
                <w:color w:val="000000" w:themeColor="text1"/>
                <w:sz w:val="18"/>
                <w:szCs w:val="18"/>
              </w:rPr>
              <w:t>Rozpočtové a príspevkové organizácie</w:t>
            </w:r>
          </w:p>
        </w:tc>
        <w:tc>
          <w:tcPr>
            <w:tcW w:w="1863" w:type="pct"/>
            <w:tcBorders>
              <w:top w:val="single" w:sz="8" w:space="0" w:color="auto"/>
              <w:left w:val="nil"/>
              <w:bottom w:val="nil"/>
              <w:right w:val="nil"/>
            </w:tcBorders>
            <w:shd w:val="clear" w:color="auto" w:fill="FFFFFF" w:themeFill="background1"/>
            <w:tcMar>
              <w:top w:w="15" w:type="dxa"/>
              <w:left w:w="15" w:type="dxa"/>
              <w:right w:w="15" w:type="dxa"/>
            </w:tcMar>
            <w:vAlign w:val="center"/>
          </w:tcPr>
          <w:p w14:paraId="1CC3DB17" w14:textId="010BA27A" w:rsidR="23ACC2EC" w:rsidRPr="00907622" w:rsidRDefault="23ACC2EC" w:rsidP="0085799C">
            <w:pPr>
              <w:spacing w:after="0"/>
              <w:jc w:val="center"/>
              <w:rPr>
                <w:rFonts w:ascii="Times New Roman" w:hAnsi="Times New Roman"/>
                <w:color w:val="000000" w:themeColor="text1"/>
                <w:sz w:val="18"/>
                <w:szCs w:val="18"/>
              </w:rPr>
            </w:pPr>
            <w:r w:rsidRPr="00907622">
              <w:rPr>
                <w:rFonts w:ascii="Times New Roman" w:hAnsi="Times New Roman"/>
                <w:color w:val="000000" w:themeColor="text1"/>
                <w:sz w:val="18"/>
                <w:szCs w:val="18"/>
              </w:rPr>
              <w:t>metóda úplnej konsolidácie</w:t>
            </w:r>
          </w:p>
        </w:tc>
      </w:tr>
      <w:tr w:rsidR="23ACC2EC" w:rsidRPr="00907622" w14:paraId="5952995D" w14:textId="77777777" w:rsidTr="0085799C">
        <w:trPr>
          <w:trHeight w:val="227"/>
          <w:jc w:val="center"/>
        </w:trPr>
        <w:tc>
          <w:tcPr>
            <w:tcW w:w="3137" w:type="pct"/>
            <w:tcBorders>
              <w:top w:val="nil"/>
              <w:left w:val="nil"/>
              <w:bottom w:val="nil"/>
              <w:right w:val="nil"/>
            </w:tcBorders>
            <w:shd w:val="clear" w:color="auto" w:fill="FFFFFF" w:themeFill="background1"/>
            <w:tcMar>
              <w:top w:w="15" w:type="dxa"/>
              <w:left w:w="15" w:type="dxa"/>
              <w:right w:w="15" w:type="dxa"/>
            </w:tcMar>
            <w:vAlign w:val="center"/>
          </w:tcPr>
          <w:p w14:paraId="62150D67" w14:textId="6A76B353" w:rsidR="23ACC2EC" w:rsidRPr="00907622" w:rsidRDefault="23ACC2EC" w:rsidP="0085799C">
            <w:pPr>
              <w:spacing w:after="0"/>
              <w:rPr>
                <w:rFonts w:ascii="Times New Roman" w:hAnsi="Times New Roman"/>
                <w:color w:val="000000" w:themeColor="text1"/>
                <w:sz w:val="18"/>
                <w:szCs w:val="18"/>
              </w:rPr>
            </w:pPr>
            <w:r w:rsidRPr="00907622">
              <w:rPr>
                <w:rFonts w:ascii="Times New Roman" w:hAnsi="Times New Roman"/>
                <w:color w:val="000000" w:themeColor="text1"/>
                <w:sz w:val="18"/>
                <w:szCs w:val="18"/>
              </w:rPr>
              <w:t>Obce a vyššie územné celky</w:t>
            </w:r>
          </w:p>
        </w:tc>
        <w:tc>
          <w:tcPr>
            <w:tcW w:w="1863" w:type="pct"/>
            <w:tcBorders>
              <w:top w:val="nil"/>
              <w:left w:val="nil"/>
              <w:bottom w:val="nil"/>
              <w:right w:val="nil"/>
            </w:tcBorders>
            <w:shd w:val="clear" w:color="auto" w:fill="FFFFFF" w:themeFill="background1"/>
            <w:tcMar>
              <w:top w:w="15" w:type="dxa"/>
              <w:left w:w="15" w:type="dxa"/>
              <w:right w:w="15" w:type="dxa"/>
            </w:tcMar>
            <w:vAlign w:val="center"/>
          </w:tcPr>
          <w:p w14:paraId="79F9BED5" w14:textId="7EFF1C03" w:rsidR="23ACC2EC" w:rsidRPr="00907622" w:rsidRDefault="23ACC2EC" w:rsidP="0085799C">
            <w:pPr>
              <w:spacing w:after="0"/>
              <w:jc w:val="center"/>
              <w:rPr>
                <w:rFonts w:ascii="Times New Roman" w:hAnsi="Times New Roman"/>
                <w:color w:val="000000" w:themeColor="text1"/>
                <w:sz w:val="18"/>
                <w:szCs w:val="18"/>
              </w:rPr>
            </w:pPr>
            <w:r w:rsidRPr="00907622">
              <w:rPr>
                <w:rFonts w:ascii="Times New Roman" w:hAnsi="Times New Roman"/>
                <w:color w:val="000000" w:themeColor="text1"/>
                <w:sz w:val="18"/>
                <w:szCs w:val="18"/>
              </w:rPr>
              <w:t>metóda úplnej konsolidácie</w:t>
            </w:r>
          </w:p>
        </w:tc>
      </w:tr>
      <w:tr w:rsidR="23ACC2EC" w:rsidRPr="00907622" w14:paraId="3D50E8FD" w14:textId="77777777" w:rsidTr="0085799C">
        <w:trPr>
          <w:trHeight w:val="227"/>
          <w:jc w:val="center"/>
        </w:trPr>
        <w:tc>
          <w:tcPr>
            <w:tcW w:w="3137" w:type="pct"/>
            <w:tcBorders>
              <w:top w:val="nil"/>
              <w:left w:val="nil"/>
              <w:bottom w:val="nil"/>
              <w:right w:val="nil"/>
            </w:tcBorders>
            <w:shd w:val="clear" w:color="auto" w:fill="FFFFFF" w:themeFill="background1"/>
            <w:tcMar>
              <w:top w:w="15" w:type="dxa"/>
              <w:left w:w="15" w:type="dxa"/>
              <w:right w:w="15" w:type="dxa"/>
            </w:tcMar>
            <w:vAlign w:val="center"/>
          </w:tcPr>
          <w:p w14:paraId="7EE66487" w14:textId="368F957F" w:rsidR="23ACC2EC" w:rsidRPr="00907622" w:rsidRDefault="23ACC2EC" w:rsidP="0085799C">
            <w:pPr>
              <w:spacing w:after="0"/>
              <w:rPr>
                <w:rFonts w:ascii="Times New Roman" w:hAnsi="Times New Roman"/>
                <w:color w:val="000000" w:themeColor="text1"/>
                <w:sz w:val="18"/>
                <w:szCs w:val="18"/>
              </w:rPr>
            </w:pPr>
            <w:r w:rsidRPr="00907622">
              <w:rPr>
                <w:rFonts w:ascii="Times New Roman" w:hAnsi="Times New Roman"/>
                <w:color w:val="000000" w:themeColor="text1"/>
                <w:sz w:val="18"/>
                <w:szCs w:val="18"/>
              </w:rPr>
              <w:t xml:space="preserve">Štátne fondy </w:t>
            </w:r>
          </w:p>
        </w:tc>
        <w:tc>
          <w:tcPr>
            <w:tcW w:w="1863" w:type="pct"/>
            <w:tcBorders>
              <w:top w:val="nil"/>
              <w:left w:val="nil"/>
              <w:bottom w:val="nil"/>
              <w:right w:val="nil"/>
            </w:tcBorders>
            <w:shd w:val="clear" w:color="auto" w:fill="FFFFFF" w:themeFill="background1"/>
            <w:tcMar>
              <w:top w:w="15" w:type="dxa"/>
              <w:left w:w="15" w:type="dxa"/>
              <w:right w:w="15" w:type="dxa"/>
            </w:tcMar>
            <w:vAlign w:val="center"/>
          </w:tcPr>
          <w:p w14:paraId="0C112756" w14:textId="60EE1356" w:rsidR="23ACC2EC" w:rsidRPr="00907622" w:rsidRDefault="23ACC2EC" w:rsidP="0085799C">
            <w:pPr>
              <w:spacing w:after="0"/>
              <w:jc w:val="center"/>
              <w:rPr>
                <w:rFonts w:ascii="Times New Roman" w:hAnsi="Times New Roman"/>
                <w:color w:val="000000" w:themeColor="text1"/>
                <w:sz w:val="18"/>
                <w:szCs w:val="18"/>
              </w:rPr>
            </w:pPr>
            <w:r w:rsidRPr="00907622">
              <w:rPr>
                <w:rFonts w:ascii="Times New Roman" w:hAnsi="Times New Roman"/>
                <w:color w:val="000000" w:themeColor="text1"/>
                <w:sz w:val="18"/>
                <w:szCs w:val="18"/>
              </w:rPr>
              <w:t>metóda úplnej konsolidácie</w:t>
            </w:r>
          </w:p>
        </w:tc>
      </w:tr>
      <w:tr w:rsidR="23ACC2EC" w:rsidRPr="00907622" w14:paraId="7211A62C" w14:textId="77777777" w:rsidTr="0085799C">
        <w:trPr>
          <w:trHeight w:val="227"/>
          <w:jc w:val="center"/>
        </w:trPr>
        <w:tc>
          <w:tcPr>
            <w:tcW w:w="3137" w:type="pct"/>
            <w:tcBorders>
              <w:top w:val="nil"/>
              <w:left w:val="nil"/>
              <w:bottom w:val="nil"/>
              <w:right w:val="nil"/>
            </w:tcBorders>
            <w:shd w:val="clear" w:color="auto" w:fill="FFFFFF" w:themeFill="background1"/>
            <w:tcMar>
              <w:top w:w="15" w:type="dxa"/>
              <w:left w:w="15" w:type="dxa"/>
              <w:right w:w="15" w:type="dxa"/>
            </w:tcMar>
            <w:vAlign w:val="center"/>
          </w:tcPr>
          <w:p w14:paraId="0872021F" w14:textId="3244F41A" w:rsidR="23ACC2EC" w:rsidRPr="00907622" w:rsidRDefault="23ACC2EC" w:rsidP="0085799C">
            <w:pPr>
              <w:spacing w:after="0"/>
              <w:rPr>
                <w:rFonts w:ascii="Times New Roman" w:hAnsi="Times New Roman"/>
                <w:color w:val="000000" w:themeColor="text1"/>
                <w:sz w:val="18"/>
                <w:szCs w:val="18"/>
              </w:rPr>
            </w:pPr>
            <w:r w:rsidRPr="00907622">
              <w:rPr>
                <w:rFonts w:ascii="Times New Roman" w:hAnsi="Times New Roman"/>
                <w:color w:val="000000" w:themeColor="text1"/>
                <w:sz w:val="18"/>
                <w:szCs w:val="18"/>
              </w:rPr>
              <w:t>Obchodné spoločnosti štátu (dcérske ÚJ) a štátne podniky</w:t>
            </w:r>
          </w:p>
        </w:tc>
        <w:tc>
          <w:tcPr>
            <w:tcW w:w="1863" w:type="pct"/>
            <w:tcBorders>
              <w:top w:val="nil"/>
              <w:left w:val="nil"/>
              <w:bottom w:val="nil"/>
              <w:right w:val="nil"/>
            </w:tcBorders>
            <w:shd w:val="clear" w:color="auto" w:fill="FFFFFF" w:themeFill="background1"/>
            <w:tcMar>
              <w:top w:w="15" w:type="dxa"/>
              <w:left w:w="15" w:type="dxa"/>
              <w:right w:w="15" w:type="dxa"/>
            </w:tcMar>
            <w:vAlign w:val="center"/>
          </w:tcPr>
          <w:p w14:paraId="5F67D44E" w14:textId="05F256EE" w:rsidR="23ACC2EC" w:rsidRPr="00907622" w:rsidRDefault="23ACC2EC" w:rsidP="0085799C">
            <w:pPr>
              <w:spacing w:after="0"/>
              <w:jc w:val="center"/>
              <w:rPr>
                <w:rFonts w:ascii="Times New Roman" w:hAnsi="Times New Roman"/>
                <w:color w:val="000000" w:themeColor="text1"/>
                <w:sz w:val="18"/>
                <w:szCs w:val="18"/>
              </w:rPr>
            </w:pPr>
            <w:r w:rsidRPr="00907622">
              <w:rPr>
                <w:rFonts w:ascii="Times New Roman" w:hAnsi="Times New Roman"/>
                <w:color w:val="000000" w:themeColor="text1"/>
                <w:sz w:val="18"/>
                <w:szCs w:val="18"/>
              </w:rPr>
              <w:t>metóda úplnej konsolidácie</w:t>
            </w:r>
          </w:p>
        </w:tc>
      </w:tr>
      <w:tr w:rsidR="23ACC2EC" w:rsidRPr="00907622" w14:paraId="6CDC1147" w14:textId="77777777" w:rsidTr="0085799C">
        <w:trPr>
          <w:trHeight w:val="227"/>
          <w:jc w:val="center"/>
        </w:trPr>
        <w:tc>
          <w:tcPr>
            <w:tcW w:w="3137" w:type="pct"/>
            <w:tcBorders>
              <w:top w:val="nil"/>
              <w:left w:val="nil"/>
              <w:bottom w:val="nil"/>
              <w:right w:val="nil"/>
            </w:tcBorders>
            <w:shd w:val="clear" w:color="auto" w:fill="FFFFFF" w:themeFill="background1"/>
            <w:tcMar>
              <w:top w:w="15" w:type="dxa"/>
              <w:left w:w="15" w:type="dxa"/>
              <w:right w:w="15" w:type="dxa"/>
            </w:tcMar>
            <w:vAlign w:val="center"/>
          </w:tcPr>
          <w:p w14:paraId="5BC047B5" w14:textId="4761C64E" w:rsidR="23ACC2EC" w:rsidRPr="00907622" w:rsidRDefault="23ACC2EC" w:rsidP="0085799C">
            <w:pPr>
              <w:spacing w:after="0"/>
              <w:rPr>
                <w:rFonts w:ascii="Times New Roman" w:hAnsi="Times New Roman"/>
                <w:color w:val="000000" w:themeColor="text1"/>
                <w:sz w:val="18"/>
                <w:szCs w:val="18"/>
              </w:rPr>
            </w:pPr>
            <w:r w:rsidRPr="00907622">
              <w:rPr>
                <w:rFonts w:ascii="Times New Roman" w:hAnsi="Times New Roman"/>
                <w:color w:val="000000" w:themeColor="text1"/>
                <w:sz w:val="18"/>
                <w:szCs w:val="18"/>
              </w:rPr>
              <w:t>Verejné vysoké školy</w:t>
            </w:r>
          </w:p>
        </w:tc>
        <w:tc>
          <w:tcPr>
            <w:tcW w:w="1863" w:type="pct"/>
            <w:tcBorders>
              <w:top w:val="nil"/>
              <w:left w:val="nil"/>
              <w:bottom w:val="nil"/>
              <w:right w:val="nil"/>
            </w:tcBorders>
            <w:shd w:val="clear" w:color="auto" w:fill="FFFFFF" w:themeFill="background1"/>
            <w:tcMar>
              <w:top w:w="15" w:type="dxa"/>
              <w:left w:w="15" w:type="dxa"/>
              <w:right w:w="15" w:type="dxa"/>
            </w:tcMar>
            <w:vAlign w:val="center"/>
          </w:tcPr>
          <w:p w14:paraId="4B49C4A4" w14:textId="3860A3A0" w:rsidR="23ACC2EC" w:rsidRPr="00907622" w:rsidRDefault="23ACC2EC" w:rsidP="0085799C">
            <w:pPr>
              <w:spacing w:after="0"/>
              <w:jc w:val="center"/>
              <w:rPr>
                <w:rFonts w:ascii="Times New Roman" w:hAnsi="Times New Roman"/>
                <w:color w:val="000000" w:themeColor="text1"/>
                <w:sz w:val="18"/>
                <w:szCs w:val="18"/>
              </w:rPr>
            </w:pPr>
            <w:r w:rsidRPr="00907622">
              <w:rPr>
                <w:rFonts w:ascii="Times New Roman" w:hAnsi="Times New Roman"/>
                <w:color w:val="000000" w:themeColor="text1"/>
                <w:sz w:val="18"/>
                <w:szCs w:val="18"/>
              </w:rPr>
              <w:t>metóda úplnej konsolidácie</w:t>
            </w:r>
          </w:p>
        </w:tc>
      </w:tr>
      <w:tr w:rsidR="23ACC2EC" w:rsidRPr="00907622" w14:paraId="0B79A22C" w14:textId="77777777" w:rsidTr="0085799C">
        <w:trPr>
          <w:trHeight w:val="227"/>
          <w:jc w:val="center"/>
        </w:trPr>
        <w:tc>
          <w:tcPr>
            <w:tcW w:w="3137" w:type="pct"/>
            <w:tcBorders>
              <w:top w:val="nil"/>
              <w:left w:val="nil"/>
              <w:bottom w:val="nil"/>
              <w:right w:val="nil"/>
            </w:tcBorders>
            <w:shd w:val="clear" w:color="auto" w:fill="FFFFFF" w:themeFill="background1"/>
            <w:tcMar>
              <w:top w:w="15" w:type="dxa"/>
              <w:left w:w="15" w:type="dxa"/>
              <w:right w:w="15" w:type="dxa"/>
            </w:tcMar>
            <w:vAlign w:val="center"/>
          </w:tcPr>
          <w:p w14:paraId="55AA75AA" w14:textId="77C33239" w:rsidR="23ACC2EC" w:rsidRPr="00907622" w:rsidRDefault="23ACC2EC" w:rsidP="0085799C">
            <w:pPr>
              <w:spacing w:after="0"/>
              <w:rPr>
                <w:rFonts w:ascii="Times New Roman" w:hAnsi="Times New Roman"/>
                <w:color w:val="000000" w:themeColor="text1"/>
                <w:sz w:val="18"/>
                <w:szCs w:val="18"/>
              </w:rPr>
            </w:pPr>
            <w:r w:rsidRPr="00907622">
              <w:rPr>
                <w:rFonts w:ascii="Times New Roman" w:hAnsi="Times New Roman"/>
                <w:color w:val="000000" w:themeColor="text1"/>
                <w:sz w:val="18"/>
                <w:szCs w:val="18"/>
              </w:rPr>
              <w:t>Verejné výskumné inštitúcie</w:t>
            </w:r>
          </w:p>
        </w:tc>
        <w:tc>
          <w:tcPr>
            <w:tcW w:w="1863" w:type="pct"/>
            <w:tcBorders>
              <w:top w:val="nil"/>
              <w:left w:val="nil"/>
              <w:bottom w:val="nil"/>
              <w:right w:val="nil"/>
            </w:tcBorders>
            <w:shd w:val="clear" w:color="auto" w:fill="FFFFFF" w:themeFill="background1"/>
            <w:tcMar>
              <w:top w:w="15" w:type="dxa"/>
              <w:left w:w="15" w:type="dxa"/>
              <w:right w:w="15" w:type="dxa"/>
            </w:tcMar>
            <w:vAlign w:val="center"/>
          </w:tcPr>
          <w:p w14:paraId="2845D210" w14:textId="27411EB3" w:rsidR="23ACC2EC" w:rsidRPr="00907622" w:rsidRDefault="23ACC2EC" w:rsidP="0085799C">
            <w:pPr>
              <w:spacing w:after="0"/>
              <w:jc w:val="center"/>
              <w:rPr>
                <w:rFonts w:ascii="Times New Roman" w:hAnsi="Times New Roman"/>
                <w:color w:val="000000" w:themeColor="text1"/>
                <w:sz w:val="18"/>
                <w:szCs w:val="18"/>
              </w:rPr>
            </w:pPr>
            <w:r w:rsidRPr="00907622">
              <w:rPr>
                <w:rFonts w:ascii="Times New Roman" w:hAnsi="Times New Roman"/>
                <w:color w:val="000000" w:themeColor="text1"/>
                <w:sz w:val="18"/>
                <w:szCs w:val="18"/>
              </w:rPr>
              <w:t>metóda úplnej konsolidácie</w:t>
            </w:r>
          </w:p>
        </w:tc>
      </w:tr>
      <w:tr w:rsidR="23ACC2EC" w:rsidRPr="00907622" w14:paraId="194B39FE" w14:textId="77777777" w:rsidTr="0085799C">
        <w:trPr>
          <w:trHeight w:val="227"/>
          <w:jc w:val="center"/>
        </w:trPr>
        <w:tc>
          <w:tcPr>
            <w:tcW w:w="3137" w:type="pct"/>
            <w:tcBorders>
              <w:top w:val="nil"/>
              <w:left w:val="nil"/>
              <w:bottom w:val="nil"/>
              <w:right w:val="nil"/>
            </w:tcBorders>
            <w:shd w:val="clear" w:color="auto" w:fill="FFFFFF" w:themeFill="background1"/>
            <w:tcMar>
              <w:top w:w="15" w:type="dxa"/>
              <w:left w:w="15" w:type="dxa"/>
              <w:right w:w="15" w:type="dxa"/>
            </w:tcMar>
            <w:vAlign w:val="center"/>
          </w:tcPr>
          <w:p w14:paraId="2BE502C3" w14:textId="5277F9CC" w:rsidR="23ACC2EC" w:rsidRPr="00907622" w:rsidRDefault="23ACC2EC" w:rsidP="0085799C">
            <w:pPr>
              <w:spacing w:after="0"/>
              <w:rPr>
                <w:rFonts w:ascii="Times New Roman" w:hAnsi="Times New Roman"/>
                <w:color w:val="000000" w:themeColor="text1"/>
                <w:sz w:val="18"/>
                <w:szCs w:val="18"/>
              </w:rPr>
            </w:pPr>
            <w:r w:rsidRPr="00907622">
              <w:rPr>
                <w:rFonts w:ascii="Times New Roman" w:hAnsi="Times New Roman"/>
                <w:color w:val="000000" w:themeColor="text1"/>
                <w:sz w:val="18"/>
                <w:szCs w:val="18"/>
              </w:rPr>
              <w:t>Ostatné subjekty podľa osobitného zákona</w:t>
            </w:r>
          </w:p>
        </w:tc>
        <w:tc>
          <w:tcPr>
            <w:tcW w:w="1863" w:type="pct"/>
            <w:tcBorders>
              <w:top w:val="nil"/>
              <w:left w:val="nil"/>
              <w:bottom w:val="nil"/>
              <w:right w:val="nil"/>
            </w:tcBorders>
            <w:shd w:val="clear" w:color="auto" w:fill="FFFFFF" w:themeFill="background1"/>
            <w:tcMar>
              <w:top w:w="15" w:type="dxa"/>
              <w:left w:w="15" w:type="dxa"/>
              <w:right w:w="15" w:type="dxa"/>
            </w:tcMar>
            <w:vAlign w:val="center"/>
          </w:tcPr>
          <w:p w14:paraId="5E99F73E" w14:textId="6DDC56E3" w:rsidR="23ACC2EC" w:rsidRPr="00907622" w:rsidRDefault="23ACC2EC" w:rsidP="0085799C">
            <w:pPr>
              <w:spacing w:after="0"/>
              <w:jc w:val="center"/>
              <w:rPr>
                <w:rFonts w:ascii="Times New Roman" w:hAnsi="Times New Roman"/>
                <w:color w:val="000000" w:themeColor="text1"/>
                <w:sz w:val="18"/>
                <w:szCs w:val="18"/>
              </w:rPr>
            </w:pPr>
            <w:r w:rsidRPr="00907622">
              <w:rPr>
                <w:rFonts w:ascii="Times New Roman" w:hAnsi="Times New Roman"/>
                <w:color w:val="000000" w:themeColor="text1"/>
                <w:sz w:val="18"/>
                <w:szCs w:val="18"/>
              </w:rPr>
              <w:t>metóda úplnej konsolidácie</w:t>
            </w:r>
          </w:p>
        </w:tc>
      </w:tr>
      <w:tr w:rsidR="23ACC2EC" w:rsidRPr="00907622" w14:paraId="62E264E1" w14:textId="77777777" w:rsidTr="0085799C">
        <w:trPr>
          <w:trHeight w:val="227"/>
          <w:jc w:val="center"/>
        </w:trPr>
        <w:tc>
          <w:tcPr>
            <w:tcW w:w="3137" w:type="pct"/>
            <w:tcBorders>
              <w:top w:val="nil"/>
              <w:left w:val="nil"/>
              <w:bottom w:val="single" w:sz="8" w:space="0" w:color="auto"/>
              <w:right w:val="nil"/>
            </w:tcBorders>
            <w:shd w:val="clear" w:color="auto" w:fill="FFFFFF" w:themeFill="background1"/>
            <w:tcMar>
              <w:top w:w="15" w:type="dxa"/>
              <w:left w:w="15" w:type="dxa"/>
              <w:right w:w="15" w:type="dxa"/>
            </w:tcMar>
            <w:vAlign w:val="center"/>
          </w:tcPr>
          <w:p w14:paraId="106E1089" w14:textId="796A3BCA" w:rsidR="23ACC2EC" w:rsidRPr="00907622" w:rsidRDefault="23ACC2EC" w:rsidP="0085799C">
            <w:pPr>
              <w:spacing w:after="0"/>
              <w:rPr>
                <w:rFonts w:ascii="Times New Roman" w:hAnsi="Times New Roman"/>
                <w:color w:val="000000" w:themeColor="text1"/>
                <w:sz w:val="18"/>
                <w:szCs w:val="18"/>
              </w:rPr>
            </w:pPr>
            <w:r w:rsidRPr="00907622">
              <w:rPr>
                <w:rFonts w:ascii="Times New Roman" w:hAnsi="Times New Roman"/>
                <w:color w:val="000000" w:themeColor="text1"/>
                <w:sz w:val="18"/>
                <w:szCs w:val="18"/>
              </w:rPr>
              <w:t>Spoločné a pridružené účtovné jednotky</w:t>
            </w:r>
          </w:p>
        </w:tc>
        <w:tc>
          <w:tcPr>
            <w:tcW w:w="1863" w:type="pct"/>
            <w:tcBorders>
              <w:top w:val="nil"/>
              <w:left w:val="nil"/>
              <w:bottom w:val="single" w:sz="8" w:space="0" w:color="auto"/>
              <w:right w:val="nil"/>
            </w:tcBorders>
            <w:shd w:val="clear" w:color="auto" w:fill="FFFFFF" w:themeFill="background1"/>
            <w:tcMar>
              <w:top w:w="15" w:type="dxa"/>
              <w:left w:w="15" w:type="dxa"/>
              <w:right w:w="15" w:type="dxa"/>
            </w:tcMar>
            <w:vAlign w:val="center"/>
          </w:tcPr>
          <w:p w14:paraId="05E4A2C2" w14:textId="5025D73B" w:rsidR="23ACC2EC" w:rsidRPr="00907622" w:rsidRDefault="23ACC2EC" w:rsidP="0085799C">
            <w:pPr>
              <w:spacing w:after="0"/>
              <w:jc w:val="center"/>
              <w:rPr>
                <w:rFonts w:ascii="Times New Roman" w:hAnsi="Times New Roman"/>
                <w:color w:val="000000" w:themeColor="text1"/>
                <w:sz w:val="18"/>
                <w:szCs w:val="18"/>
              </w:rPr>
            </w:pPr>
            <w:r w:rsidRPr="00907622">
              <w:rPr>
                <w:rFonts w:ascii="Times New Roman" w:hAnsi="Times New Roman"/>
                <w:color w:val="000000" w:themeColor="text1"/>
                <w:sz w:val="18"/>
                <w:szCs w:val="18"/>
              </w:rPr>
              <w:t>metóda vlastného imania</w:t>
            </w:r>
          </w:p>
        </w:tc>
      </w:tr>
      <w:tr w:rsidR="23ACC2EC" w:rsidRPr="00907622" w14:paraId="67CBF738" w14:textId="77777777" w:rsidTr="0085799C">
        <w:trPr>
          <w:trHeight w:val="227"/>
          <w:jc w:val="center"/>
        </w:trPr>
        <w:tc>
          <w:tcPr>
            <w:tcW w:w="5000" w:type="pct"/>
            <w:gridSpan w:val="2"/>
            <w:tcBorders>
              <w:top w:val="single" w:sz="8" w:space="0" w:color="000000" w:themeColor="text1"/>
              <w:left w:val="nil"/>
              <w:bottom w:val="nil"/>
              <w:right w:val="nil"/>
            </w:tcBorders>
            <w:tcMar>
              <w:top w:w="15" w:type="dxa"/>
              <w:left w:w="15" w:type="dxa"/>
              <w:right w:w="15" w:type="dxa"/>
            </w:tcMar>
            <w:vAlign w:val="center"/>
          </w:tcPr>
          <w:p w14:paraId="6D986CE1" w14:textId="0D0A53C4" w:rsidR="23ACC2EC" w:rsidRPr="00907622" w:rsidRDefault="23ACC2EC" w:rsidP="0085799C">
            <w:pPr>
              <w:spacing w:after="0"/>
              <w:jc w:val="right"/>
              <w:rPr>
                <w:rFonts w:ascii="Times New Roman" w:hAnsi="Times New Roman"/>
                <w:color w:val="000000" w:themeColor="text1"/>
                <w:sz w:val="16"/>
                <w:szCs w:val="16"/>
              </w:rPr>
            </w:pPr>
            <w:r w:rsidRPr="00907622">
              <w:rPr>
                <w:rFonts w:ascii="Times New Roman" w:hAnsi="Times New Roman"/>
                <w:color w:val="000000" w:themeColor="text1"/>
                <w:sz w:val="16"/>
                <w:szCs w:val="16"/>
              </w:rPr>
              <w:t>Zdroj: MF SR, Centrálny konsolidačný systém</w:t>
            </w:r>
          </w:p>
        </w:tc>
      </w:tr>
    </w:tbl>
    <w:p w14:paraId="2C8D1C02" w14:textId="77777777" w:rsidR="00647542" w:rsidRPr="00907622" w:rsidRDefault="00647542" w:rsidP="00647542">
      <w:pPr>
        <w:spacing w:before="120" w:after="120" w:line="240" w:lineRule="auto"/>
        <w:rPr>
          <w:rFonts w:ascii="Times New Roman" w:hAnsi="Times New Roman"/>
          <w:b/>
          <w:szCs w:val="22"/>
        </w:rPr>
      </w:pPr>
      <w:r w:rsidRPr="00907622">
        <w:rPr>
          <w:rFonts w:ascii="Times New Roman" w:hAnsi="Times New Roman"/>
          <w:b/>
          <w:szCs w:val="22"/>
        </w:rPr>
        <w:t>Popis metód konsolidácie</w:t>
      </w:r>
    </w:p>
    <w:p w14:paraId="3C7837BE" w14:textId="77777777" w:rsidR="00647542" w:rsidRPr="00907622" w:rsidRDefault="00647542" w:rsidP="00647542">
      <w:pPr>
        <w:numPr>
          <w:ilvl w:val="0"/>
          <w:numId w:val="12"/>
        </w:numPr>
        <w:spacing w:before="120" w:after="0" w:line="240" w:lineRule="auto"/>
        <w:ind w:left="714" w:hanging="357"/>
        <w:jc w:val="both"/>
        <w:rPr>
          <w:rFonts w:ascii="Times New Roman" w:hAnsi="Times New Roman"/>
          <w:szCs w:val="22"/>
          <w:u w:val="single"/>
        </w:rPr>
      </w:pPr>
      <w:r w:rsidRPr="00907622">
        <w:rPr>
          <w:rFonts w:ascii="Times New Roman" w:hAnsi="Times New Roman"/>
          <w:i/>
          <w:szCs w:val="22"/>
          <w:u w:val="single"/>
        </w:rPr>
        <w:t>Metóda úplnej konsolidácie</w:t>
      </w:r>
    </w:p>
    <w:p w14:paraId="6AFF44A5" w14:textId="77777777" w:rsidR="00647542" w:rsidRPr="00907622" w:rsidRDefault="00647542" w:rsidP="00647542">
      <w:pPr>
        <w:spacing w:before="120" w:after="0" w:line="240" w:lineRule="auto"/>
        <w:jc w:val="both"/>
        <w:rPr>
          <w:rFonts w:ascii="Times New Roman" w:hAnsi="Times New Roman"/>
          <w:szCs w:val="22"/>
          <w:u w:val="single"/>
        </w:rPr>
      </w:pPr>
      <w:r w:rsidRPr="00907622">
        <w:rPr>
          <w:rFonts w:ascii="Times New Roman" w:hAnsi="Times New Roman"/>
          <w:szCs w:val="22"/>
        </w:rPr>
        <w:t>Pri použití tejto metódy sa prispôsobujú účtovné výkazy všetkých dcérskych účtovných jednotiek na štruktúru výkazov účtovnej závierky pre rozpočtové organizácie. Položky účtovných výkazov sa do agregácie preberajú v plnej miere a identifikované vzájomné vzťahy v rámci súhrnného celku sa vylučujú v plnej výške.</w:t>
      </w:r>
    </w:p>
    <w:p w14:paraId="5DF958DD" w14:textId="77777777" w:rsidR="00647542" w:rsidRPr="00907622" w:rsidRDefault="00647542" w:rsidP="00647542">
      <w:pPr>
        <w:numPr>
          <w:ilvl w:val="0"/>
          <w:numId w:val="12"/>
        </w:numPr>
        <w:spacing w:before="120" w:after="0" w:line="240" w:lineRule="auto"/>
        <w:ind w:left="714" w:hanging="357"/>
        <w:jc w:val="both"/>
        <w:rPr>
          <w:rFonts w:ascii="Times New Roman" w:hAnsi="Times New Roman"/>
          <w:szCs w:val="22"/>
          <w:u w:val="single"/>
        </w:rPr>
      </w:pPr>
      <w:r w:rsidRPr="00907622">
        <w:rPr>
          <w:rFonts w:ascii="Times New Roman" w:hAnsi="Times New Roman"/>
          <w:i/>
          <w:szCs w:val="22"/>
          <w:u w:val="single"/>
        </w:rPr>
        <w:t>Metóda vlastného imania</w:t>
      </w:r>
    </w:p>
    <w:p w14:paraId="41D2F7EB" w14:textId="77777777" w:rsidR="00647542" w:rsidRPr="00907622" w:rsidRDefault="00647542" w:rsidP="00647542">
      <w:pPr>
        <w:spacing w:before="120" w:after="0" w:line="240" w:lineRule="auto"/>
        <w:jc w:val="both"/>
        <w:rPr>
          <w:rFonts w:ascii="Times New Roman" w:hAnsi="Times New Roman"/>
          <w:b/>
          <w:szCs w:val="22"/>
        </w:rPr>
      </w:pPr>
      <w:r w:rsidRPr="00907622">
        <w:rPr>
          <w:rFonts w:ascii="Times New Roman" w:hAnsi="Times New Roman"/>
          <w:szCs w:val="22"/>
        </w:rPr>
        <w:t>Pri použití tejto metódy sa položky účtovných výkazov spoločných a pridružených účtovných jednotiek do agregácie nepreberajú. Zosúlaďuje sa hodnota podielov konsolidujúcej účtovnej jednotky na konsolidovanej účtovnej jednotke s tou časťou reálnej hodnoty majetku a záväzkov účtovnej jednotky, ktorá na tieto podiely pripadá.</w:t>
      </w:r>
    </w:p>
    <w:p w14:paraId="557DBFD9" w14:textId="77777777" w:rsidR="00647542" w:rsidRPr="00907622" w:rsidRDefault="00647542" w:rsidP="00647542">
      <w:pPr>
        <w:spacing w:before="120" w:after="120" w:line="240" w:lineRule="auto"/>
        <w:jc w:val="both"/>
        <w:rPr>
          <w:rFonts w:ascii="Times New Roman" w:hAnsi="Times New Roman"/>
          <w:b/>
          <w:szCs w:val="22"/>
        </w:rPr>
      </w:pPr>
      <w:r w:rsidRPr="00907622">
        <w:rPr>
          <w:rFonts w:ascii="Times New Roman" w:hAnsi="Times New Roman"/>
          <w:b/>
          <w:szCs w:val="22"/>
        </w:rPr>
        <w:t>Postup pri zostavení súhrnnej účtovnej závierky</w:t>
      </w:r>
    </w:p>
    <w:p w14:paraId="5435BAA0" w14:textId="77777777" w:rsidR="00647542" w:rsidRPr="00907622" w:rsidRDefault="00647542" w:rsidP="00647542">
      <w:pPr>
        <w:numPr>
          <w:ilvl w:val="0"/>
          <w:numId w:val="5"/>
        </w:numPr>
        <w:spacing w:before="120" w:after="120" w:line="240" w:lineRule="auto"/>
        <w:ind w:left="425" w:hanging="425"/>
        <w:jc w:val="both"/>
        <w:rPr>
          <w:rFonts w:ascii="Times New Roman" w:hAnsi="Times New Roman"/>
          <w:i/>
          <w:szCs w:val="22"/>
          <w:u w:val="single"/>
        </w:rPr>
      </w:pPr>
      <w:r w:rsidRPr="00907622">
        <w:rPr>
          <w:rFonts w:ascii="Times New Roman" w:hAnsi="Times New Roman"/>
          <w:i/>
          <w:szCs w:val="22"/>
          <w:u w:val="single"/>
        </w:rPr>
        <w:t>Prevod účtovných výkazov na rovnaký základ a štruktúru</w:t>
      </w:r>
    </w:p>
    <w:p w14:paraId="017EB734" w14:textId="56E5DA15" w:rsidR="00647542" w:rsidRPr="00907622" w:rsidRDefault="00647542" w:rsidP="0085799C">
      <w:pPr>
        <w:spacing w:after="0" w:line="240" w:lineRule="auto"/>
        <w:jc w:val="both"/>
        <w:rPr>
          <w:rFonts w:ascii="Times New Roman" w:hAnsi="Times New Roman"/>
          <w:i/>
          <w:u w:val="single"/>
        </w:rPr>
      </w:pPr>
      <w:r w:rsidRPr="00907622">
        <w:rPr>
          <w:rFonts w:ascii="Times New Roman" w:hAnsi="Times New Roman"/>
          <w:szCs w:val="22"/>
        </w:rPr>
        <w:t xml:space="preserve">Za spoločný základ účtovných výkazov bola použitá štruktúra individuálnej účtovnej závierky pre rozpočtové organizácie, príspevkové organizácie, štátne fondy, obce a vyššie územné celky. Týkalo sa to všetkých obchodných spoločností, štátnych podnikov, verejných vysokých škôl, verejných výskumných inštitúcií, Sociálnej poisťovne a ostatných subjektov verejnej správy. Prevod údajov sa zabezpečuje použitím prevodových mostíkov, ktoré vypracovalo Ministerstvo financií SR ako zostavovateľ súhrnnej účtovnej závierky verejnej správy. </w:t>
      </w:r>
      <w:r w:rsidRPr="00907622">
        <w:rPr>
          <w:rFonts w:ascii="Times New Roman" w:hAnsi="Times New Roman"/>
          <w:szCs w:val="22"/>
          <w:lang w:eastAsia="sk-SK"/>
        </w:rPr>
        <w:t xml:space="preserve">V rámci spracovania údajov dochádza aj k zosúladeniu metodických odlišností vyplývajúcich z rôznych postupov účtovania (napríklad </w:t>
      </w:r>
      <w:proofErr w:type="spellStart"/>
      <w:r w:rsidRPr="00907622">
        <w:rPr>
          <w:rFonts w:ascii="Times New Roman" w:hAnsi="Times New Roman"/>
          <w:szCs w:val="22"/>
          <w:lang w:eastAsia="sk-SK"/>
        </w:rPr>
        <w:t>odúročovanie</w:t>
      </w:r>
      <w:proofErr w:type="spellEnd"/>
      <w:r w:rsidRPr="00907622">
        <w:rPr>
          <w:rFonts w:ascii="Times New Roman" w:hAnsi="Times New Roman"/>
          <w:szCs w:val="22"/>
          <w:lang w:eastAsia="sk-SK"/>
        </w:rPr>
        <w:t xml:space="preserve"> pohľadávok a záväzkov, vykazovanie rezervy a opravných položiek).</w:t>
      </w:r>
    </w:p>
    <w:p w14:paraId="7546F0E6" w14:textId="77777777" w:rsidR="00647542" w:rsidRPr="00907622" w:rsidRDefault="00647542" w:rsidP="00647542">
      <w:pPr>
        <w:numPr>
          <w:ilvl w:val="0"/>
          <w:numId w:val="5"/>
        </w:numPr>
        <w:spacing w:before="120" w:after="120" w:line="240" w:lineRule="auto"/>
        <w:ind w:left="425" w:hanging="425"/>
        <w:jc w:val="both"/>
        <w:rPr>
          <w:rFonts w:ascii="Times New Roman" w:hAnsi="Times New Roman"/>
          <w:i/>
          <w:szCs w:val="22"/>
          <w:u w:val="single"/>
        </w:rPr>
      </w:pPr>
      <w:r w:rsidRPr="00907622">
        <w:rPr>
          <w:rFonts w:ascii="Times New Roman" w:hAnsi="Times New Roman"/>
          <w:i/>
          <w:szCs w:val="22"/>
          <w:u w:val="single"/>
        </w:rPr>
        <w:lastRenderedPageBreak/>
        <w:t>Agregácia údajov</w:t>
      </w:r>
    </w:p>
    <w:p w14:paraId="3D948B70" w14:textId="77777777" w:rsidR="00647542" w:rsidRPr="00907622" w:rsidRDefault="00647542" w:rsidP="00647542">
      <w:pPr>
        <w:spacing w:after="0" w:line="240" w:lineRule="auto"/>
        <w:jc w:val="both"/>
        <w:rPr>
          <w:rFonts w:ascii="Times New Roman" w:hAnsi="Times New Roman"/>
          <w:i/>
          <w:szCs w:val="22"/>
          <w:u w:val="single"/>
        </w:rPr>
      </w:pPr>
      <w:r w:rsidRPr="00907622">
        <w:rPr>
          <w:rFonts w:ascii="Times New Roman" w:hAnsi="Times New Roman"/>
          <w:szCs w:val="22"/>
        </w:rPr>
        <w:t>Agregovali sa konsolidované účtovné závierky, individuálne účtovné závierky a podklady pre identifikáciu vzájomných vzťahov. Ak bola účtovná jednotka súčasťou konsolidovaného celku na nižšej úrovni, bola vykázaná v rámci konsolidovaných výkazov materskej účtovnej jednotky</w:t>
      </w:r>
      <w:r w:rsidRPr="00907622">
        <w:rPr>
          <w:rFonts w:ascii="Times New Roman" w:hAnsi="Times New Roman"/>
          <w:szCs w:val="22"/>
        </w:rPr>
        <w:br/>
        <w:t>(napr. obchodná spoločnosť obce).</w:t>
      </w:r>
    </w:p>
    <w:p w14:paraId="06B60BA7" w14:textId="77777777" w:rsidR="00647542" w:rsidRPr="00907622" w:rsidRDefault="00647542" w:rsidP="00647542">
      <w:pPr>
        <w:numPr>
          <w:ilvl w:val="0"/>
          <w:numId w:val="5"/>
        </w:numPr>
        <w:spacing w:before="120" w:after="120" w:line="240" w:lineRule="auto"/>
        <w:ind w:left="425" w:hanging="425"/>
        <w:jc w:val="both"/>
        <w:rPr>
          <w:rFonts w:ascii="Times New Roman" w:hAnsi="Times New Roman"/>
          <w:i/>
          <w:szCs w:val="22"/>
          <w:u w:val="single"/>
        </w:rPr>
      </w:pPr>
      <w:r w:rsidRPr="00907622">
        <w:rPr>
          <w:rFonts w:ascii="Times New Roman" w:hAnsi="Times New Roman"/>
          <w:i/>
          <w:szCs w:val="22"/>
          <w:u w:val="single"/>
        </w:rPr>
        <w:t>Konsolidačné operácie</w:t>
      </w:r>
    </w:p>
    <w:p w14:paraId="10E9AF7B" w14:textId="77777777" w:rsidR="00647542" w:rsidRPr="00907622" w:rsidRDefault="00647542" w:rsidP="00647542">
      <w:pPr>
        <w:spacing w:after="120" w:line="240" w:lineRule="auto"/>
        <w:jc w:val="both"/>
        <w:rPr>
          <w:rFonts w:ascii="Times New Roman" w:hAnsi="Times New Roman"/>
          <w:szCs w:val="22"/>
        </w:rPr>
      </w:pPr>
      <w:r w:rsidRPr="00907622">
        <w:rPr>
          <w:rFonts w:ascii="Times New Roman" w:hAnsi="Times New Roman"/>
          <w:szCs w:val="22"/>
        </w:rPr>
        <w:t xml:space="preserve">V rámci súhrnného celku boli vykonané konsolidačné operácie v oblasti pohľadávok a záväzkov, nákladov a výnosov. V prípade nekonzistentne vykázaných vzájomných vzťahov sa pred elimináciou vykonala ich úprava. Na identifikáciu vzájomných vzťahov boli spracované </w:t>
      </w:r>
      <w:r w:rsidRPr="00907622">
        <w:rPr>
          <w:rFonts w:ascii="Times New Roman" w:hAnsi="Times New Roman"/>
          <w:i/>
          <w:szCs w:val="22"/>
        </w:rPr>
        <w:t>konsolidačné balíky</w:t>
      </w:r>
      <w:r w:rsidRPr="00907622">
        <w:rPr>
          <w:rFonts w:ascii="Times New Roman" w:hAnsi="Times New Roman"/>
          <w:szCs w:val="22"/>
        </w:rPr>
        <w:t xml:space="preserve"> a za obce a ich organizácie boli spracované </w:t>
      </w:r>
      <w:r w:rsidRPr="0085799C">
        <w:rPr>
          <w:rFonts w:ascii="Times New Roman" w:hAnsi="Times New Roman"/>
          <w:i/>
          <w:iCs/>
          <w:szCs w:val="22"/>
        </w:rPr>
        <w:t>formuláre vzájomných vzťahov</w:t>
      </w:r>
      <w:r w:rsidRPr="00907622">
        <w:rPr>
          <w:rFonts w:ascii="Times New Roman" w:hAnsi="Times New Roman"/>
          <w:szCs w:val="22"/>
        </w:rPr>
        <w:t>.</w:t>
      </w:r>
    </w:p>
    <w:p w14:paraId="6FFDC2CB" w14:textId="77777777" w:rsidR="00647542" w:rsidRPr="00907622" w:rsidRDefault="00647542" w:rsidP="00647542">
      <w:pPr>
        <w:spacing w:after="120" w:line="240" w:lineRule="auto"/>
        <w:jc w:val="both"/>
        <w:rPr>
          <w:rFonts w:ascii="Times New Roman" w:hAnsi="Times New Roman"/>
          <w:szCs w:val="22"/>
        </w:rPr>
      </w:pPr>
      <w:r w:rsidRPr="00907622">
        <w:rPr>
          <w:rFonts w:ascii="Times New Roman" w:hAnsi="Times New Roman"/>
          <w:szCs w:val="22"/>
        </w:rPr>
        <w:t>V rámci súhrnného celku nebola vykonaná konsolidácia kapitálu a ani konsolidácia medzivýsledku.</w:t>
      </w:r>
    </w:p>
    <w:p w14:paraId="7526E007" w14:textId="77777777" w:rsidR="00647542" w:rsidRPr="00907622" w:rsidRDefault="00647542" w:rsidP="00647542">
      <w:pPr>
        <w:spacing w:after="0" w:line="240" w:lineRule="auto"/>
        <w:jc w:val="both"/>
        <w:rPr>
          <w:rFonts w:ascii="Times New Roman" w:hAnsi="Times New Roman"/>
          <w:szCs w:val="22"/>
        </w:rPr>
      </w:pPr>
      <w:r w:rsidRPr="00907622">
        <w:rPr>
          <w:rFonts w:ascii="Times New Roman" w:hAnsi="Times New Roman"/>
          <w:szCs w:val="22"/>
        </w:rPr>
        <w:t>Z dôvodu odlišnej metodiky účtovania niektorých transakcií, časového posunu vykázania vzájomných hodnôt, ako aj z dôvodu neidentifikovaných vzájomných vzťahov v rovnakej hodnote neboli na úrovni súhrnnej účtovnej závierky eliminované nasledovné vzťahy:</w:t>
      </w:r>
    </w:p>
    <w:p w14:paraId="6F6D572A" w14:textId="77777777" w:rsidR="00647542" w:rsidRPr="00907622" w:rsidRDefault="00647542" w:rsidP="00647542">
      <w:pPr>
        <w:numPr>
          <w:ilvl w:val="0"/>
          <w:numId w:val="9"/>
        </w:numPr>
        <w:spacing w:after="0" w:line="240" w:lineRule="auto"/>
        <w:jc w:val="both"/>
        <w:rPr>
          <w:rFonts w:ascii="Times New Roman" w:hAnsi="Times New Roman"/>
          <w:szCs w:val="22"/>
        </w:rPr>
      </w:pPr>
      <w:r w:rsidRPr="00907622">
        <w:rPr>
          <w:rFonts w:ascii="Times New Roman" w:hAnsi="Times New Roman"/>
          <w:szCs w:val="22"/>
        </w:rPr>
        <w:t>v súvahe daň z príjmu právnických osôb, fyzických osôb, daň z pridanej hodnoty,</w:t>
      </w:r>
    </w:p>
    <w:p w14:paraId="50B5D261" w14:textId="77777777" w:rsidR="00647542" w:rsidRPr="00907622" w:rsidRDefault="00647542" w:rsidP="00647542">
      <w:pPr>
        <w:numPr>
          <w:ilvl w:val="0"/>
          <w:numId w:val="9"/>
        </w:numPr>
        <w:spacing w:after="0" w:line="240" w:lineRule="auto"/>
        <w:jc w:val="both"/>
        <w:rPr>
          <w:rFonts w:ascii="Times New Roman" w:hAnsi="Times New Roman"/>
          <w:szCs w:val="22"/>
        </w:rPr>
      </w:pPr>
      <w:r w:rsidRPr="00907622">
        <w:rPr>
          <w:rFonts w:ascii="Times New Roman" w:hAnsi="Times New Roman"/>
          <w:szCs w:val="22"/>
        </w:rPr>
        <w:t xml:space="preserve">sociálne poistenie v oblasti pohľadávok, záväzkov, nákladov a výnosov, </w:t>
      </w:r>
    </w:p>
    <w:p w14:paraId="6A54B145" w14:textId="77777777" w:rsidR="00647542" w:rsidRPr="00907622" w:rsidRDefault="00647542" w:rsidP="00647542">
      <w:pPr>
        <w:numPr>
          <w:ilvl w:val="0"/>
          <w:numId w:val="9"/>
        </w:numPr>
        <w:spacing w:after="0" w:line="240" w:lineRule="auto"/>
        <w:jc w:val="both"/>
        <w:rPr>
          <w:rFonts w:ascii="Times New Roman" w:hAnsi="Times New Roman"/>
          <w:szCs w:val="22"/>
        </w:rPr>
      </w:pPr>
      <w:r w:rsidRPr="00907622">
        <w:rPr>
          <w:rFonts w:ascii="Times New Roman" w:hAnsi="Times New Roman"/>
          <w:szCs w:val="22"/>
        </w:rPr>
        <w:t>ostatné pohľadávky, záväzky, náklady a výnosy a časové rozlíšenie nákladov a výnosov s rozdielnou hodnotou vykázanou v podkladoch pre eliminácie za jednotlivé účtovné jednotky.</w:t>
      </w:r>
    </w:p>
    <w:p w14:paraId="4E21A2B2" w14:textId="77777777" w:rsidR="00647542" w:rsidRPr="00907622" w:rsidRDefault="00647542" w:rsidP="00647542">
      <w:pPr>
        <w:numPr>
          <w:ilvl w:val="0"/>
          <w:numId w:val="5"/>
        </w:numPr>
        <w:spacing w:before="120" w:after="120" w:line="240" w:lineRule="auto"/>
        <w:ind w:left="425" w:hanging="425"/>
        <w:jc w:val="both"/>
        <w:rPr>
          <w:rFonts w:ascii="Times New Roman" w:hAnsi="Times New Roman"/>
          <w:i/>
          <w:szCs w:val="22"/>
          <w:u w:val="single"/>
        </w:rPr>
      </w:pPr>
      <w:r w:rsidRPr="00907622">
        <w:rPr>
          <w:rFonts w:ascii="Times New Roman" w:hAnsi="Times New Roman"/>
          <w:i/>
          <w:szCs w:val="22"/>
          <w:u w:val="single"/>
        </w:rPr>
        <w:t>Spracovanie výkazov súhrnnej účtovnej závierky</w:t>
      </w:r>
    </w:p>
    <w:p w14:paraId="68CCDDE8" w14:textId="4BDE88D6" w:rsidR="00605A26" w:rsidRDefault="00647542" w:rsidP="00647542">
      <w:pPr>
        <w:spacing w:after="120" w:line="240" w:lineRule="auto"/>
        <w:jc w:val="both"/>
        <w:rPr>
          <w:rFonts w:ascii="Times New Roman" w:hAnsi="Times New Roman"/>
          <w:szCs w:val="22"/>
        </w:rPr>
      </w:pPr>
      <w:r w:rsidRPr="00907622">
        <w:rPr>
          <w:rFonts w:ascii="Times New Roman" w:hAnsi="Times New Roman"/>
          <w:szCs w:val="22"/>
        </w:rPr>
        <w:t>Výkazy S</w:t>
      </w:r>
      <w:r w:rsidR="00AF39E6" w:rsidRPr="00907622">
        <w:rPr>
          <w:rFonts w:ascii="Times New Roman" w:hAnsi="Times New Roman"/>
          <w:szCs w:val="22"/>
        </w:rPr>
        <w:t>Ú</w:t>
      </w:r>
      <w:r w:rsidRPr="00907622">
        <w:rPr>
          <w:rFonts w:ascii="Times New Roman" w:hAnsi="Times New Roman"/>
          <w:szCs w:val="22"/>
        </w:rPr>
        <w:t>Z verejnej správy za rok 20</w:t>
      </w:r>
      <w:r w:rsidR="005D46EE" w:rsidRPr="00907622">
        <w:rPr>
          <w:rFonts w:ascii="Times New Roman" w:hAnsi="Times New Roman"/>
          <w:szCs w:val="22"/>
        </w:rPr>
        <w:t>24</w:t>
      </w:r>
      <w:r w:rsidRPr="00907622">
        <w:rPr>
          <w:rFonts w:ascii="Times New Roman" w:hAnsi="Times New Roman"/>
          <w:szCs w:val="22"/>
        </w:rPr>
        <w:t xml:space="preserve"> sa predkladajú v osobitnej štruktúre. Vzhľadom na to, že ich štruktúra nie je predpísaná žiadnym všeobecne záväzným právnym predpisom, boli použité princípy medzinárodných účtovných štandardov pre verejný sektor (IPSAS), ktoré kladú dôraz na významnosť a prehľadnosť údajov. Z tohto dôvodu je štruktúra S</w:t>
      </w:r>
      <w:r w:rsidR="00AF39E6" w:rsidRPr="00907622">
        <w:rPr>
          <w:rFonts w:ascii="Times New Roman" w:hAnsi="Times New Roman"/>
          <w:szCs w:val="22"/>
        </w:rPr>
        <w:t>Ú</w:t>
      </w:r>
      <w:r w:rsidRPr="00907622">
        <w:rPr>
          <w:rFonts w:ascii="Times New Roman" w:hAnsi="Times New Roman"/>
          <w:szCs w:val="22"/>
        </w:rPr>
        <w:t>Z odlišná od individuálnej účtovnej závierky jednotlivých právnych foriem v súhrnnom celku, ale aj od štruktúry konsolidovanej účtovnej závierky subjektu verejnej správy</w:t>
      </w:r>
      <w:r w:rsidR="000745B1" w:rsidRPr="00907622">
        <w:rPr>
          <w:rFonts w:ascii="Times New Roman" w:hAnsi="Times New Roman"/>
          <w:szCs w:val="22"/>
        </w:rPr>
        <w:t>.</w:t>
      </w:r>
    </w:p>
    <w:p w14:paraId="7B6B5F73" w14:textId="11BC2D5C" w:rsidR="00647542" w:rsidRPr="00907622" w:rsidRDefault="0073351E" w:rsidP="00647542">
      <w:pPr>
        <w:spacing w:after="120" w:line="240" w:lineRule="auto"/>
        <w:jc w:val="both"/>
        <w:rPr>
          <w:rFonts w:ascii="Times New Roman" w:hAnsi="Times New Roman"/>
          <w:b/>
          <w:szCs w:val="22"/>
        </w:rPr>
      </w:pPr>
      <w:r w:rsidRPr="00907622">
        <w:rPr>
          <w:rFonts w:ascii="Times New Roman" w:hAnsi="Times New Roman"/>
          <w:b/>
          <w:szCs w:val="22"/>
        </w:rPr>
        <w:t>Š</w:t>
      </w:r>
      <w:r w:rsidR="00647542" w:rsidRPr="00907622">
        <w:rPr>
          <w:rFonts w:ascii="Times New Roman" w:hAnsi="Times New Roman"/>
          <w:b/>
          <w:szCs w:val="22"/>
        </w:rPr>
        <w:t>truktúr</w:t>
      </w:r>
      <w:r w:rsidRPr="00907622">
        <w:rPr>
          <w:rFonts w:ascii="Times New Roman" w:hAnsi="Times New Roman"/>
          <w:b/>
          <w:szCs w:val="22"/>
        </w:rPr>
        <w:t>a</w:t>
      </w:r>
      <w:r w:rsidR="00647542" w:rsidRPr="00907622">
        <w:rPr>
          <w:rFonts w:ascii="Times New Roman" w:hAnsi="Times New Roman"/>
          <w:b/>
          <w:szCs w:val="22"/>
        </w:rPr>
        <w:t xml:space="preserve"> výkazov za rok 202</w:t>
      </w:r>
      <w:r w:rsidRPr="00907622">
        <w:rPr>
          <w:rFonts w:ascii="Times New Roman" w:hAnsi="Times New Roman"/>
          <w:b/>
          <w:szCs w:val="22"/>
        </w:rPr>
        <w:t>4 zostáva nezmenená v porovnaní s rokom 2023</w:t>
      </w:r>
      <w:r w:rsidR="00647542" w:rsidRPr="00907622">
        <w:rPr>
          <w:rFonts w:ascii="Times New Roman" w:hAnsi="Times New Roman"/>
          <w:b/>
          <w:szCs w:val="22"/>
        </w:rPr>
        <w:t>.</w:t>
      </w:r>
    </w:p>
    <w:p w14:paraId="6139C858" w14:textId="77777777" w:rsidR="00647542" w:rsidRPr="00907622" w:rsidRDefault="00647542" w:rsidP="00647542">
      <w:pPr>
        <w:numPr>
          <w:ilvl w:val="0"/>
          <w:numId w:val="5"/>
        </w:numPr>
        <w:spacing w:before="120" w:after="120" w:line="240" w:lineRule="auto"/>
        <w:ind w:left="425" w:hanging="425"/>
        <w:jc w:val="both"/>
        <w:rPr>
          <w:rFonts w:ascii="Times New Roman" w:hAnsi="Times New Roman"/>
          <w:i/>
          <w:szCs w:val="22"/>
          <w:u w:val="single"/>
        </w:rPr>
      </w:pPr>
      <w:r w:rsidRPr="00907622">
        <w:rPr>
          <w:rFonts w:ascii="Times New Roman" w:hAnsi="Times New Roman"/>
          <w:i/>
          <w:szCs w:val="22"/>
          <w:u w:val="single"/>
        </w:rPr>
        <w:t>Hodnota konsolidácie na úrovni súhrnného celku</w:t>
      </w:r>
    </w:p>
    <w:p w14:paraId="00C7C4B2" w14:textId="1D2A92B3" w:rsidR="00647542" w:rsidRPr="00907622" w:rsidRDefault="00647542" w:rsidP="00647542">
      <w:pPr>
        <w:spacing w:before="120" w:after="0" w:line="240" w:lineRule="auto"/>
        <w:jc w:val="both"/>
        <w:rPr>
          <w:rFonts w:ascii="Times New Roman" w:hAnsi="Times New Roman"/>
          <w:szCs w:val="22"/>
        </w:rPr>
      </w:pPr>
      <w:r w:rsidRPr="00907622">
        <w:rPr>
          <w:rFonts w:ascii="Times New Roman" w:hAnsi="Times New Roman"/>
          <w:szCs w:val="22"/>
        </w:rPr>
        <w:t>V roku 20</w:t>
      </w:r>
      <w:r w:rsidR="007137B4" w:rsidRPr="00907622">
        <w:rPr>
          <w:rFonts w:ascii="Times New Roman" w:hAnsi="Times New Roman"/>
          <w:szCs w:val="22"/>
        </w:rPr>
        <w:t>24</w:t>
      </w:r>
      <w:r w:rsidRPr="00907622">
        <w:rPr>
          <w:rFonts w:ascii="Times New Roman" w:hAnsi="Times New Roman"/>
          <w:szCs w:val="22"/>
        </w:rPr>
        <w:t xml:space="preserve"> dosiahla výška konsolidácie aktív/pasív 3 </w:t>
      </w:r>
      <w:r w:rsidR="00CB134D" w:rsidRPr="00907622">
        <w:rPr>
          <w:rFonts w:ascii="Times New Roman" w:hAnsi="Times New Roman"/>
          <w:szCs w:val="22"/>
        </w:rPr>
        <w:t>252</w:t>
      </w:r>
      <w:r w:rsidR="00B2751D">
        <w:rPr>
          <w:rFonts w:ascii="Times New Roman" w:hAnsi="Times New Roman"/>
          <w:szCs w:val="22"/>
        </w:rPr>
        <w:t> </w:t>
      </w:r>
      <w:r w:rsidR="00CB134D" w:rsidRPr="00907622">
        <w:rPr>
          <w:rFonts w:ascii="Times New Roman" w:hAnsi="Times New Roman"/>
          <w:szCs w:val="22"/>
        </w:rPr>
        <w:t>036</w:t>
      </w:r>
      <w:r w:rsidR="00B2751D">
        <w:rPr>
          <w:rFonts w:ascii="Times New Roman" w:hAnsi="Times New Roman"/>
          <w:szCs w:val="22"/>
        </w:rPr>
        <w:t> </w:t>
      </w:r>
      <w:r w:rsidRPr="00907622">
        <w:rPr>
          <w:rFonts w:ascii="Times New Roman" w:hAnsi="Times New Roman"/>
          <w:szCs w:val="22"/>
        </w:rPr>
        <w:t xml:space="preserve">tis. eur, </w:t>
      </w:r>
      <w:r w:rsidR="002D6B63" w:rsidRPr="00907622">
        <w:rPr>
          <w:rFonts w:ascii="Times New Roman" w:hAnsi="Times New Roman"/>
          <w:szCs w:val="22"/>
        </w:rPr>
        <w:t>4</w:t>
      </w:r>
      <w:r w:rsidR="00B2751D">
        <w:rPr>
          <w:rFonts w:ascii="Times New Roman" w:hAnsi="Times New Roman"/>
          <w:szCs w:val="22"/>
        </w:rPr>
        <w:t> </w:t>
      </w:r>
      <w:r w:rsidR="00EA058C">
        <w:rPr>
          <w:rFonts w:ascii="Times New Roman" w:hAnsi="Times New Roman"/>
          <w:szCs w:val="22"/>
        </w:rPr>
        <w:t>567</w:t>
      </w:r>
      <w:r w:rsidR="00B2751D">
        <w:rPr>
          <w:rFonts w:ascii="Times New Roman" w:hAnsi="Times New Roman"/>
          <w:szCs w:val="22"/>
        </w:rPr>
        <w:t> </w:t>
      </w:r>
      <w:r w:rsidR="000D25B2">
        <w:rPr>
          <w:rFonts w:ascii="Times New Roman" w:hAnsi="Times New Roman"/>
          <w:szCs w:val="22"/>
        </w:rPr>
        <w:t>572</w:t>
      </w:r>
      <w:r w:rsidR="00B2751D">
        <w:rPr>
          <w:rFonts w:ascii="Times New Roman" w:hAnsi="Times New Roman"/>
          <w:szCs w:val="22"/>
        </w:rPr>
        <w:t> </w:t>
      </w:r>
      <w:r w:rsidRPr="00907622">
        <w:rPr>
          <w:rFonts w:ascii="Times New Roman" w:hAnsi="Times New Roman"/>
          <w:szCs w:val="22"/>
        </w:rPr>
        <w:t>tis.</w:t>
      </w:r>
      <w:r w:rsidR="000C4E0A">
        <w:rPr>
          <w:rFonts w:ascii="Times New Roman" w:hAnsi="Times New Roman"/>
          <w:szCs w:val="22"/>
        </w:rPr>
        <w:t> </w:t>
      </w:r>
      <w:r w:rsidRPr="00907622">
        <w:rPr>
          <w:rFonts w:ascii="Times New Roman" w:hAnsi="Times New Roman"/>
          <w:szCs w:val="22"/>
        </w:rPr>
        <w:t>eur z nákladov a</w:t>
      </w:r>
      <w:r w:rsidR="001F058B">
        <w:rPr>
          <w:rFonts w:ascii="Times New Roman" w:hAnsi="Times New Roman"/>
          <w:szCs w:val="22"/>
        </w:rPr>
        <w:t> </w:t>
      </w:r>
      <w:r w:rsidR="002D6B63" w:rsidRPr="00907622">
        <w:rPr>
          <w:rFonts w:ascii="Times New Roman" w:hAnsi="Times New Roman"/>
          <w:szCs w:val="22"/>
        </w:rPr>
        <w:t>3</w:t>
      </w:r>
      <w:r w:rsidR="001F058B">
        <w:rPr>
          <w:rFonts w:ascii="Times New Roman" w:hAnsi="Times New Roman"/>
          <w:szCs w:val="22"/>
        </w:rPr>
        <w:t> </w:t>
      </w:r>
      <w:r w:rsidR="002D6B63">
        <w:rPr>
          <w:rFonts w:ascii="Times New Roman" w:hAnsi="Times New Roman"/>
          <w:szCs w:val="22"/>
        </w:rPr>
        <w:t>9</w:t>
      </w:r>
      <w:r w:rsidR="000D25B2">
        <w:rPr>
          <w:rFonts w:ascii="Times New Roman" w:hAnsi="Times New Roman"/>
          <w:szCs w:val="22"/>
        </w:rPr>
        <w:t>73</w:t>
      </w:r>
      <w:r w:rsidR="001F058B">
        <w:rPr>
          <w:rFonts w:ascii="Times New Roman" w:hAnsi="Times New Roman"/>
          <w:szCs w:val="22"/>
        </w:rPr>
        <w:t> </w:t>
      </w:r>
      <w:r w:rsidR="000D25B2">
        <w:rPr>
          <w:rFonts w:ascii="Times New Roman" w:hAnsi="Times New Roman"/>
          <w:szCs w:val="22"/>
        </w:rPr>
        <w:t>748</w:t>
      </w:r>
      <w:r w:rsidR="000C4E0A">
        <w:rPr>
          <w:rFonts w:ascii="Times New Roman" w:hAnsi="Times New Roman"/>
          <w:szCs w:val="22"/>
        </w:rPr>
        <w:t> </w:t>
      </w:r>
      <w:r w:rsidR="00406AC7">
        <w:rPr>
          <w:rFonts w:ascii="Times New Roman" w:hAnsi="Times New Roman"/>
          <w:szCs w:val="22"/>
        </w:rPr>
        <w:t>tis.</w:t>
      </w:r>
      <w:r w:rsidR="000C4E0A">
        <w:rPr>
          <w:rFonts w:ascii="Times New Roman" w:hAnsi="Times New Roman"/>
          <w:szCs w:val="22"/>
        </w:rPr>
        <w:t> </w:t>
      </w:r>
      <w:r w:rsidR="00406AC7">
        <w:rPr>
          <w:rFonts w:ascii="Times New Roman" w:hAnsi="Times New Roman"/>
          <w:szCs w:val="22"/>
        </w:rPr>
        <w:t>eur</w:t>
      </w:r>
      <w:r w:rsidRPr="00907622">
        <w:rPr>
          <w:rFonts w:ascii="Times New Roman" w:hAnsi="Times New Roman"/>
          <w:szCs w:val="22"/>
        </w:rPr>
        <w:t xml:space="preserve"> z výnosov. Výnosy boli pozitívne ovplyvnené </w:t>
      </w:r>
      <w:proofErr w:type="spellStart"/>
      <w:r w:rsidRPr="00907622">
        <w:rPr>
          <w:rFonts w:ascii="Times New Roman" w:hAnsi="Times New Roman"/>
          <w:szCs w:val="22"/>
        </w:rPr>
        <w:t>reklasifikáciou</w:t>
      </w:r>
      <w:proofErr w:type="spellEnd"/>
      <w:r w:rsidRPr="00907622">
        <w:rPr>
          <w:rFonts w:ascii="Times New Roman" w:hAnsi="Times New Roman"/>
          <w:szCs w:val="22"/>
        </w:rPr>
        <w:t xml:space="preserve"> časti zúčtovania transferov, na ktorých účtuje Ministerstvo financií SR vzťah z prevodu podielovej dane z príjmov voči samospráve. Decembrový prevod je preto možné považovať v rámci súhrnného celku za „spoločný“ výnos.</w:t>
      </w:r>
    </w:p>
    <w:p w14:paraId="0AD18349" w14:textId="43C11E11" w:rsidR="00647542" w:rsidRPr="00907622" w:rsidRDefault="00647542" w:rsidP="00647542">
      <w:pPr>
        <w:spacing w:before="120" w:after="0" w:line="240" w:lineRule="auto"/>
        <w:jc w:val="both"/>
        <w:rPr>
          <w:rFonts w:ascii="Times New Roman" w:hAnsi="Times New Roman"/>
          <w:szCs w:val="22"/>
        </w:rPr>
      </w:pPr>
      <w:r w:rsidRPr="00907622">
        <w:rPr>
          <w:rFonts w:ascii="Times New Roman" w:hAnsi="Times New Roman"/>
          <w:szCs w:val="22"/>
        </w:rPr>
        <w:t>V rámci konsolidácie v súvahe došlo k eliminácii zostatkov účtov klientov v</w:t>
      </w:r>
      <w:r w:rsidR="001602F7">
        <w:rPr>
          <w:rFonts w:ascii="Times New Roman" w:hAnsi="Times New Roman"/>
          <w:szCs w:val="22"/>
        </w:rPr>
        <w:t> </w:t>
      </w:r>
      <w:r w:rsidRPr="00907622">
        <w:rPr>
          <w:rFonts w:ascii="Times New Roman" w:hAnsi="Times New Roman"/>
          <w:szCs w:val="22"/>
        </w:rPr>
        <w:t>Š</w:t>
      </w:r>
      <w:r w:rsidR="001602F7">
        <w:rPr>
          <w:rFonts w:ascii="Times New Roman" w:hAnsi="Times New Roman"/>
          <w:szCs w:val="22"/>
        </w:rPr>
        <w:t>tátnej pokladnici</w:t>
      </w:r>
      <w:r w:rsidRPr="00907622">
        <w:rPr>
          <w:rFonts w:ascii="Times New Roman" w:hAnsi="Times New Roman"/>
          <w:szCs w:val="22"/>
        </w:rPr>
        <w:t xml:space="preserve"> </w:t>
      </w:r>
      <w:r w:rsidR="003E2CAC" w:rsidRPr="00907622">
        <w:rPr>
          <w:rFonts w:ascii="Times New Roman" w:hAnsi="Times New Roman"/>
          <w:szCs w:val="22"/>
        </w:rPr>
        <w:t>2</w:t>
      </w:r>
      <w:r w:rsidR="000C4E0A">
        <w:rPr>
          <w:rFonts w:ascii="Times New Roman" w:hAnsi="Times New Roman"/>
          <w:szCs w:val="22"/>
        </w:rPr>
        <w:t> </w:t>
      </w:r>
      <w:r w:rsidR="003E2CAC" w:rsidRPr="00907622">
        <w:rPr>
          <w:rFonts w:ascii="Times New Roman" w:hAnsi="Times New Roman"/>
          <w:szCs w:val="22"/>
        </w:rPr>
        <w:t>751</w:t>
      </w:r>
      <w:r w:rsidR="000C4E0A">
        <w:rPr>
          <w:rFonts w:ascii="Times New Roman" w:hAnsi="Times New Roman"/>
          <w:szCs w:val="22"/>
        </w:rPr>
        <w:t> </w:t>
      </w:r>
      <w:r w:rsidR="003E2CAC" w:rsidRPr="00907622">
        <w:rPr>
          <w:rFonts w:ascii="Times New Roman" w:hAnsi="Times New Roman"/>
          <w:szCs w:val="22"/>
        </w:rPr>
        <w:t>239</w:t>
      </w:r>
      <w:r w:rsidR="000C4E0A">
        <w:rPr>
          <w:rFonts w:ascii="Times New Roman" w:hAnsi="Times New Roman"/>
          <w:szCs w:val="22"/>
        </w:rPr>
        <w:t> </w:t>
      </w:r>
      <w:r w:rsidRPr="00907622">
        <w:rPr>
          <w:rFonts w:ascii="Times New Roman" w:hAnsi="Times New Roman"/>
          <w:szCs w:val="22"/>
        </w:rPr>
        <w:t>tis.</w:t>
      </w:r>
      <w:r w:rsidR="000C4E0A">
        <w:rPr>
          <w:rFonts w:ascii="Times New Roman" w:hAnsi="Times New Roman"/>
          <w:szCs w:val="22"/>
        </w:rPr>
        <w:t> </w:t>
      </w:r>
      <w:r w:rsidRPr="00907622">
        <w:rPr>
          <w:rFonts w:ascii="Times New Roman" w:hAnsi="Times New Roman"/>
          <w:szCs w:val="22"/>
        </w:rPr>
        <w:t xml:space="preserve">eur, eliminácii </w:t>
      </w:r>
      <w:r w:rsidR="00AC4D4C" w:rsidRPr="009F6D4F">
        <w:rPr>
          <w:rFonts w:ascii="Times New Roman" w:hAnsi="Times New Roman"/>
          <w:szCs w:val="22"/>
        </w:rPr>
        <w:t>pôžičiek ŠFRB 7</w:t>
      </w:r>
      <w:r w:rsidR="00AC4D4C">
        <w:rPr>
          <w:rFonts w:ascii="Times New Roman" w:hAnsi="Times New Roman"/>
          <w:szCs w:val="22"/>
        </w:rPr>
        <w:t>89</w:t>
      </w:r>
      <w:r w:rsidR="00AC4D4C" w:rsidRPr="009F6D4F">
        <w:rPr>
          <w:rFonts w:ascii="Times New Roman" w:hAnsi="Times New Roman"/>
          <w:szCs w:val="22"/>
        </w:rPr>
        <w:t> </w:t>
      </w:r>
      <w:r w:rsidR="00AC4D4C">
        <w:rPr>
          <w:rFonts w:ascii="Times New Roman" w:hAnsi="Times New Roman"/>
          <w:szCs w:val="22"/>
        </w:rPr>
        <w:t>150</w:t>
      </w:r>
      <w:r w:rsidR="000C4E0A">
        <w:rPr>
          <w:rFonts w:ascii="Times New Roman" w:hAnsi="Times New Roman"/>
          <w:szCs w:val="22"/>
        </w:rPr>
        <w:t> </w:t>
      </w:r>
      <w:r w:rsidR="00AC4D4C" w:rsidRPr="009F6D4F">
        <w:rPr>
          <w:rFonts w:ascii="Times New Roman" w:hAnsi="Times New Roman"/>
          <w:szCs w:val="22"/>
        </w:rPr>
        <w:t>tis.</w:t>
      </w:r>
      <w:r w:rsidR="000C4E0A">
        <w:rPr>
          <w:rFonts w:ascii="Times New Roman" w:hAnsi="Times New Roman"/>
          <w:szCs w:val="22"/>
        </w:rPr>
        <w:t> </w:t>
      </w:r>
      <w:r w:rsidR="00AC4D4C" w:rsidRPr="009F6D4F">
        <w:rPr>
          <w:rFonts w:ascii="Times New Roman" w:hAnsi="Times New Roman"/>
          <w:szCs w:val="22"/>
        </w:rPr>
        <w:t xml:space="preserve">eur, </w:t>
      </w:r>
      <w:r w:rsidRPr="00907622">
        <w:rPr>
          <w:rFonts w:ascii="Times New Roman" w:hAnsi="Times New Roman"/>
          <w:szCs w:val="22"/>
        </w:rPr>
        <w:t xml:space="preserve">vzájomných návratných finančných výpomocí </w:t>
      </w:r>
      <w:r w:rsidR="000C6312">
        <w:rPr>
          <w:rFonts w:ascii="Times New Roman" w:hAnsi="Times New Roman"/>
          <w:szCs w:val="22"/>
        </w:rPr>
        <w:t>278</w:t>
      </w:r>
      <w:r w:rsidR="000C4E0A">
        <w:rPr>
          <w:rFonts w:ascii="Times New Roman" w:hAnsi="Times New Roman"/>
          <w:szCs w:val="22"/>
        </w:rPr>
        <w:t> </w:t>
      </w:r>
      <w:r w:rsidR="000C6312">
        <w:rPr>
          <w:rFonts w:ascii="Times New Roman" w:hAnsi="Times New Roman"/>
          <w:szCs w:val="22"/>
        </w:rPr>
        <w:t>085</w:t>
      </w:r>
      <w:r w:rsidR="000C4E0A">
        <w:rPr>
          <w:rFonts w:ascii="Times New Roman" w:hAnsi="Times New Roman"/>
          <w:szCs w:val="22"/>
        </w:rPr>
        <w:t> </w:t>
      </w:r>
      <w:r w:rsidRPr="004C56FC">
        <w:rPr>
          <w:rFonts w:ascii="Times New Roman" w:hAnsi="Times New Roman"/>
          <w:szCs w:val="22"/>
        </w:rPr>
        <w:t>tis</w:t>
      </w:r>
      <w:r w:rsidRPr="00907622">
        <w:rPr>
          <w:rFonts w:ascii="Times New Roman" w:hAnsi="Times New Roman"/>
          <w:szCs w:val="22"/>
        </w:rPr>
        <w:t>.</w:t>
      </w:r>
      <w:r w:rsidR="000C4E0A">
        <w:rPr>
          <w:rFonts w:ascii="Times New Roman" w:hAnsi="Times New Roman"/>
          <w:szCs w:val="22"/>
        </w:rPr>
        <w:t> </w:t>
      </w:r>
      <w:r w:rsidRPr="009F6D4F">
        <w:rPr>
          <w:rFonts w:ascii="Times New Roman" w:hAnsi="Times New Roman"/>
          <w:szCs w:val="22"/>
        </w:rPr>
        <w:t xml:space="preserve">eur, </w:t>
      </w:r>
      <w:r w:rsidR="00AC4D4C" w:rsidRPr="009F6D4F">
        <w:rPr>
          <w:rFonts w:ascii="Times New Roman" w:hAnsi="Times New Roman"/>
          <w:szCs w:val="22"/>
        </w:rPr>
        <w:t xml:space="preserve">pôžičiek poskytnutých spoločnosťou </w:t>
      </w:r>
      <w:r w:rsidR="00AC4D4C" w:rsidRPr="0085799C">
        <w:rPr>
          <w:rFonts w:ascii="Times New Roman" w:hAnsi="Times New Roman"/>
          <w:szCs w:val="22"/>
          <w:u w:val="single"/>
        </w:rPr>
        <w:t xml:space="preserve">National </w:t>
      </w:r>
      <w:proofErr w:type="spellStart"/>
      <w:r w:rsidR="00AC4D4C" w:rsidRPr="0085799C">
        <w:rPr>
          <w:rFonts w:ascii="Times New Roman" w:hAnsi="Times New Roman"/>
          <w:szCs w:val="22"/>
          <w:u w:val="single"/>
        </w:rPr>
        <w:t>Development</w:t>
      </w:r>
      <w:proofErr w:type="spellEnd"/>
      <w:r w:rsidR="00AC4D4C" w:rsidRPr="0085799C">
        <w:rPr>
          <w:rFonts w:ascii="Times New Roman" w:hAnsi="Times New Roman"/>
          <w:szCs w:val="22"/>
          <w:u w:val="single"/>
        </w:rPr>
        <w:t xml:space="preserve"> </w:t>
      </w:r>
      <w:proofErr w:type="spellStart"/>
      <w:r w:rsidR="00AC4D4C" w:rsidRPr="0085799C">
        <w:rPr>
          <w:rFonts w:ascii="Times New Roman" w:hAnsi="Times New Roman"/>
          <w:szCs w:val="22"/>
          <w:u w:val="single"/>
        </w:rPr>
        <w:t>Fund</w:t>
      </w:r>
      <w:proofErr w:type="spellEnd"/>
      <w:r w:rsidR="00AC4D4C" w:rsidRPr="0085799C">
        <w:rPr>
          <w:rFonts w:ascii="Times New Roman" w:hAnsi="Times New Roman"/>
          <w:szCs w:val="22"/>
          <w:u w:val="single"/>
        </w:rPr>
        <w:t xml:space="preserve"> II.</w:t>
      </w:r>
      <w:r w:rsidR="00AC4D4C" w:rsidRPr="009F6D4F">
        <w:rPr>
          <w:rFonts w:ascii="Times New Roman" w:hAnsi="Times New Roman"/>
          <w:szCs w:val="22"/>
        </w:rPr>
        <w:t xml:space="preserve"> </w:t>
      </w:r>
      <w:r w:rsidR="00AC4D4C">
        <w:rPr>
          <w:rFonts w:ascii="Times New Roman" w:hAnsi="Times New Roman"/>
          <w:szCs w:val="22"/>
        </w:rPr>
        <w:t>119</w:t>
      </w:r>
      <w:r w:rsidR="000C4E0A">
        <w:rPr>
          <w:rFonts w:ascii="Times New Roman" w:hAnsi="Times New Roman"/>
          <w:szCs w:val="22"/>
        </w:rPr>
        <w:t> </w:t>
      </w:r>
      <w:r w:rsidR="00AC4D4C">
        <w:rPr>
          <w:rFonts w:ascii="Times New Roman" w:hAnsi="Times New Roman"/>
          <w:szCs w:val="22"/>
        </w:rPr>
        <w:t>590</w:t>
      </w:r>
      <w:r w:rsidR="000C4E0A">
        <w:rPr>
          <w:rFonts w:ascii="Times New Roman" w:hAnsi="Times New Roman"/>
          <w:szCs w:val="22"/>
        </w:rPr>
        <w:t> </w:t>
      </w:r>
      <w:r w:rsidR="00AC4D4C" w:rsidRPr="009F6D4F">
        <w:rPr>
          <w:rFonts w:ascii="Times New Roman" w:hAnsi="Times New Roman"/>
          <w:szCs w:val="22"/>
        </w:rPr>
        <w:t>tis.</w:t>
      </w:r>
      <w:r w:rsidR="000C4E0A">
        <w:rPr>
          <w:rFonts w:ascii="Times New Roman" w:hAnsi="Times New Roman"/>
          <w:szCs w:val="22"/>
        </w:rPr>
        <w:t> </w:t>
      </w:r>
      <w:r w:rsidRPr="00907622">
        <w:rPr>
          <w:rFonts w:ascii="Times New Roman" w:hAnsi="Times New Roman"/>
          <w:szCs w:val="22"/>
        </w:rPr>
        <w:t xml:space="preserve">eur, pôžičiek Environmentálneho fondu </w:t>
      </w:r>
      <w:r w:rsidR="00D223D4" w:rsidRPr="00907622">
        <w:rPr>
          <w:rFonts w:ascii="Times New Roman" w:hAnsi="Times New Roman"/>
          <w:szCs w:val="22"/>
        </w:rPr>
        <w:t>43</w:t>
      </w:r>
      <w:r w:rsidR="000C4E0A">
        <w:rPr>
          <w:rFonts w:ascii="Times New Roman" w:hAnsi="Times New Roman"/>
          <w:szCs w:val="22"/>
        </w:rPr>
        <w:t> </w:t>
      </w:r>
      <w:r w:rsidR="00D223D4" w:rsidRPr="00907622">
        <w:rPr>
          <w:rFonts w:ascii="Times New Roman" w:hAnsi="Times New Roman"/>
          <w:szCs w:val="22"/>
        </w:rPr>
        <w:t>707</w:t>
      </w:r>
      <w:r w:rsidR="000C4E0A">
        <w:rPr>
          <w:rFonts w:ascii="Times New Roman" w:hAnsi="Times New Roman"/>
          <w:szCs w:val="22"/>
        </w:rPr>
        <w:t> </w:t>
      </w:r>
      <w:r w:rsidRPr="00907622">
        <w:rPr>
          <w:rFonts w:ascii="Times New Roman" w:hAnsi="Times New Roman"/>
          <w:szCs w:val="22"/>
        </w:rPr>
        <w:t>tis.</w:t>
      </w:r>
      <w:r w:rsidR="000C4E0A">
        <w:rPr>
          <w:rFonts w:ascii="Times New Roman" w:hAnsi="Times New Roman"/>
          <w:szCs w:val="22"/>
        </w:rPr>
        <w:t> </w:t>
      </w:r>
      <w:r w:rsidRPr="00907622">
        <w:rPr>
          <w:rFonts w:ascii="Times New Roman" w:hAnsi="Times New Roman"/>
          <w:szCs w:val="22"/>
        </w:rPr>
        <w:t>eur a </w:t>
      </w:r>
      <w:proofErr w:type="spellStart"/>
      <w:r w:rsidRPr="00907622">
        <w:rPr>
          <w:rFonts w:ascii="Times New Roman" w:hAnsi="Times New Roman"/>
          <w:szCs w:val="22"/>
        </w:rPr>
        <w:t>reklasifikácia</w:t>
      </w:r>
      <w:proofErr w:type="spellEnd"/>
      <w:r w:rsidRPr="00907622">
        <w:rPr>
          <w:rFonts w:ascii="Times New Roman" w:hAnsi="Times New Roman"/>
          <w:szCs w:val="22"/>
        </w:rPr>
        <w:t xml:space="preserve"> záväzkov na fondy vo vlastnom imaní a následne na výsledok hospodárenia minulých rokov Slovenského pozemkového fondu </w:t>
      </w:r>
      <w:r w:rsidR="00055CDC" w:rsidRPr="00907622">
        <w:rPr>
          <w:rFonts w:ascii="Times New Roman" w:hAnsi="Times New Roman"/>
          <w:szCs w:val="22"/>
        </w:rPr>
        <w:t>187</w:t>
      </w:r>
      <w:r w:rsidRPr="00907622">
        <w:rPr>
          <w:rFonts w:ascii="Times New Roman" w:hAnsi="Times New Roman"/>
          <w:szCs w:val="22"/>
        </w:rPr>
        <w:t> </w:t>
      </w:r>
      <w:r w:rsidR="005B066C" w:rsidRPr="00907622">
        <w:rPr>
          <w:rFonts w:ascii="Times New Roman" w:hAnsi="Times New Roman"/>
          <w:szCs w:val="22"/>
        </w:rPr>
        <w:t>345</w:t>
      </w:r>
      <w:r w:rsidR="000C4E0A">
        <w:rPr>
          <w:rFonts w:ascii="Times New Roman" w:hAnsi="Times New Roman"/>
          <w:szCs w:val="22"/>
        </w:rPr>
        <w:t> </w:t>
      </w:r>
      <w:r w:rsidRPr="00907622">
        <w:rPr>
          <w:rFonts w:ascii="Times New Roman" w:hAnsi="Times New Roman"/>
          <w:szCs w:val="22"/>
        </w:rPr>
        <w:t>tis.</w:t>
      </w:r>
      <w:r w:rsidR="000C4E0A">
        <w:rPr>
          <w:rFonts w:ascii="Times New Roman" w:hAnsi="Times New Roman"/>
          <w:szCs w:val="22"/>
        </w:rPr>
        <w:t> </w:t>
      </w:r>
      <w:r w:rsidRPr="00907622">
        <w:rPr>
          <w:rFonts w:ascii="Times New Roman" w:hAnsi="Times New Roman"/>
          <w:szCs w:val="22"/>
        </w:rPr>
        <w:t>eur.</w:t>
      </w:r>
    </w:p>
    <w:p w14:paraId="22A637DA" w14:textId="3A9315EF" w:rsidR="00647542" w:rsidRPr="00907622" w:rsidRDefault="00647542" w:rsidP="00647542">
      <w:pPr>
        <w:spacing w:before="120" w:after="0" w:line="240" w:lineRule="auto"/>
        <w:jc w:val="both"/>
        <w:rPr>
          <w:rFonts w:ascii="Times New Roman" w:hAnsi="Times New Roman"/>
          <w:szCs w:val="22"/>
        </w:rPr>
      </w:pPr>
      <w:r w:rsidRPr="00907622">
        <w:rPr>
          <w:rFonts w:ascii="Times New Roman" w:hAnsi="Times New Roman"/>
          <w:szCs w:val="22"/>
        </w:rPr>
        <w:t xml:space="preserve">V nákladoch a výnosoch boli eliminované napríklad transfer Sociálnej poisťovni zo štátnych finančných aktív </w:t>
      </w:r>
      <w:r w:rsidR="00C137BD" w:rsidRPr="00907622">
        <w:rPr>
          <w:rFonts w:ascii="Times New Roman" w:hAnsi="Times New Roman"/>
          <w:szCs w:val="22"/>
        </w:rPr>
        <w:t>2</w:t>
      </w:r>
      <w:r w:rsidR="000A6EE8">
        <w:rPr>
          <w:rFonts w:ascii="Times New Roman" w:hAnsi="Times New Roman"/>
          <w:szCs w:val="22"/>
        </w:rPr>
        <w:t> </w:t>
      </w:r>
      <w:r w:rsidR="00C137BD" w:rsidRPr="00907622">
        <w:rPr>
          <w:rFonts w:ascii="Times New Roman" w:hAnsi="Times New Roman"/>
          <w:szCs w:val="22"/>
        </w:rPr>
        <w:t>720</w:t>
      </w:r>
      <w:r w:rsidR="000A6EE8">
        <w:rPr>
          <w:rFonts w:ascii="Times New Roman" w:hAnsi="Times New Roman"/>
          <w:szCs w:val="22"/>
        </w:rPr>
        <w:t> </w:t>
      </w:r>
      <w:r w:rsidR="00C137BD" w:rsidRPr="00907622">
        <w:rPr>
          <w:rFonts w:ascii="Times New Roman" w:hAnsi="Times New Roman"/>
          <w:szCs w:val="22"/>
        </w:rPr>
        <w:t>000</w:t>
      </w:r>
      <w:r w:rsidR="000A6EE8">
        <w:rPr>
          <w:rFonts w:ascii="Times New Roman" w:hAnsi="Times New Roman"/>
          <w:szCs w:val="22"/>
        </w:rPr>
        <w:t> </w:t>
      </w:r>
      <w:r w:rsidRPr="00907622">
        <w:rPr>
          <w:rFonts w:ascii="Times New Roman" w:hAnsi="Times New Roman"/>
          <w:szCs w:val="22"/>
        </w:rPr>
        <w:t>tis.</w:t>
      </w:r>
      <w:r w:rsidR="000A6EE8">
        <w:rPr>
          <w:rFonts w:ascii="Times New Roman" w:hAnsi="Times New Roman"/>
          <w:szCs w:val="22"/>
        </w:rPr>
        <w:t> </w:t>
      </w:r>
      <w:r w:rsidRPr="009F6D4F">
        <w:rPr>
          <w:rFonts w:ascii="Times New Roman" w:hAnsi="Times New Roman"/>
          <w:szCs w:val="22"/>
        </w:rPr>
        <w:t xml:space="preserve">eur, </w:t>
      </w:r>
      <w:r w:rsidR="00AC4D4C" w:rsidRPr="009F6D4F">
        <w:rPr>
          <w:rFonts w:ascii="Times New Roman" w:hAnsi="Times New Roman"/>
          <w:szCs w:val="22"/>
        </w:rPr>
        <w:t xml:space="preserve">náklady a výnosy z poistného </w:t>
      </w:r>
      <w:r w:rsidR="00AC4D4C">
        <w:rPr>
          <w:rFonts w:ascii="Times New Roman" w:hAnsi="Times New Roman"/>
          <w:szCs w:val="22"/>
        </w:rPr>
        <w:t>286</w:t>
      </w:r>
      <w:r w:rsidR="000A6EE8">
        <w:rPr>
          <w:rFonts w:ascii="Times New Roman" w:hAnsi="Times New Roman"/>
          <w:szCs w:val="22"/>
        </w:rPr>
        <w:t> </w:t>
      </w:r>
      <w:r w:rsidR="00AC4D4C">
        <w:rPr>
          <w:rFonts w:ascii="Times New Roman" w:hAnsi="Times New Roman"/>
          <w:szCs w:val="22"/>
        </w:rPr>
        <w:t>687</w:t>
      </w:r>
      <w:r w:rsidR="000A6EE8">
        <w:rPr>
          <w:rFonts w:ascii="Times New Roman" w:hAnsi="Times New Roman"/>
          <w:szCs w:val="22"/>
        </w:rPr>
        <w:t> </w:t>
      </w:r>
      <w:r w:rsidR="00AC4D4C" w:rsidRPr="009F6D4F">
        <w:rPr>
          <w:rFonts w:ascii="Times New Roman" w:hAnsi="Times New Roman"/>
          <w:szCs w:val="22"/>
        </w:rPr>
        <w:t>tis.</w:t>
      </w:r>
      <w:r w:rsidR="000A6EE8">
        <w:rPr>
          <w:rFonts w:ascii="Times New Roman" w:hAnsi="Times New Roman"/>
          <w:szCs w:val="22"/>
        </w:rPr>
        <w:t> </w:t>
      </w:r>
      <w:r w:rsidR="00AC4D4C" w:rsidRPr="009F6D4F">
        <w:rPr>
          <w:rFonts w:ascii="Times New Roman" w:hAnsi="Times New Roman"/>
          <w:szCs w:val="22"/>
        </w:rPr>
        <w:t xml:space="preserve">eur, </w:t>
      </w:r>
      <w:r w:rsidR="00E31044" w:rsidRPr="009F6D4F">
        <w:rPr>
          <w:rFonts w:ascii="Times New Roman" w:hAnsi="Times New Roman"/>
          <w:szCs w:val="22"/>
        </w:rPr>
        <w:t xml:space="preserve">poplatky a úroky </w:t>
      </w:r>
      <w:r w:rsidR="000D4C57">
        <w:rPr>
          <w:rFonts w:ascii="Times New Roman" w:hAnsi="Times New Roman"/>
          <w:szCs w:val="22"/>
        </w:rPr>
        <w:br/>
      </w:r>
      <w:r w:rsidR="00AC4D4C">
        <w:rPr>
          <w:rFonts w:ascii="Times New Roman" w:hAnsi="Times New Roman"/>
          <w:szCs w:val="22"/>
        </w:rPr>
        <w:t>1</w:t>
      </w:r>
      <w:r w:rsidR="000D4C57">
        <w:rPr>
          <w:rFonts w:ascii="Times New Roman" w:hAnsi="Times New Roman"/>
          <w:szCs w:val="22"/>
        </w:rPr>
        <w:t>49 953</w:t>
      </w:r>
      <w:r w:rsidR="000A6EE8">
        <w:rPr>
          <w:rFonts w:ascii="Times New Roman" w:hAnsi="Times New Roman"/>
          <w:szCs w:val="22"/>
        </w:rPr>
        <w:t> </w:t>
      </w:r>
      <w:r w:rsidR="00E31044" w:rsidRPr="0085799C">
        <w:rPr>
          <w:rFonts w:ascii="Times New Roman" w:hAnsi="Times New Roman"/>
          <w:szCs w:val="22"/>
        </w:rPr>
        <w:t>tis.</w:t>
      </w:r>
      <w:r w:rsidR="000A6EE8">
        <w:rPr>
          <w:rFonts w:ascii="Times New Roman" w:hAnsi="Times New Roman"/>
          <w:szCs w:val="22"/>
        </w:rPr>
        <w:t> </w:t>
      </w:r>
      <w:r w:rsidR="00E31044" w:rsidRPr="0085799C">
        <w:rPr>
          <w:rFonts w:ascii="Times New Roman" w:hAnsi="Times New Roman"/>
          <w:szCs w:val="22"/>
        </w:rPr>
        <w:t>eur</w:t>
      </w:r>
      <w:r w:rsidRPr="00907622">
        <w:rPr>
          <w:rFonts w:ascii="Times New Roman" w:hAnsi="Times New Roman"/>
          <w:szCs w:val="22"/>
        </w:rPr>
        <w:t>, transfery Environmentálneho fondu 1</w:t>
      </w:r>
      <w:r w:rsidR="00F319C3" w:rsidRPr="00907622">
        <w:rPr>
          <w:rFonts w:ascii="Times New Roman" w:hAnsi="Times New Roman"/>
          <w:szCs w:val="22"/>
        </w:rPr>
        <w:t>40</w:t>
      </w:r>
      <w:r w:rsidRPr="00907622">
        <w:rPr>
          <w:rFonts w:ascii="Times New Roman" w:hAnsi="Times New Roman"/>
          <w:szCs w:val="22"/>
        </w:rPr>
        <w:t> </w:t>
      </w:r>
      <w:r w:rsidR="00F319C3" w:rsidRPr="00907622">
        <w:rPr>
          <w:rFonts w:ascii="Times New Roman" w:hAnsi="Times New Roman"/>
          <w:szCs w:val="22"/>
        </w:rPr>
        <w:t>952</w:t>
      </w:r>
      <w:r w:rsidR="000A6EE8">
        <w:rPr>
          <w:rFonts w:ascii="Times New Roman" w:hAnsi="Times New Roman"/>
          <w:szCs w:val="22"/>
        </w:rPr>
        <w:t> </w:t>
      </w:r>
      <w:r w:rsidRPr="00907622">
        <w:rPr>
          <w:rFonts w:ascii="Times New Roman" w:hAnsi="Times New Roman"/>
          <w:szCs w:val="22"/>
        </w:rPr>
        <w:t>tis.</w:t>
      </w:r>
      <w:r w:rsidR="000A6EE8">
        <w:rPr>
          <w:rFonts w:ascii="Times New Roman" w:hAnsi="Times New Roman"/>
          <w:szCs w:val="22"/>
        </w:rPr>
        <w:t> </w:t>
      </w:r>
      <w:r w:rsidRPr="00907622">
        <w:rPr>
          <w:rFonts w:ascii="Times New Roman" w:hAnsi="Times New Roman"/>
          <w:szCs w:val="22"/>
        </w:rPr>
        <w:t xml:space="preserve">eur, daň z nehnuteľností </w:t>
      </w:r>
      <w:r w:rsidR="00C81741" w:rsidRPr="00907622">
        <w:rPr>
          <w:rFonts w:ascii="Times New Roman" w:hAnsi="Times New Roman"/>
          <w:szCs w:val="22"/>
        </w:rPr>
        <w:t>52</w:t>
      </w:r>
      <w:r w:rsidR="000A6EE8">
        <w:rPr>
          <w:rFonts w:ascii="Times New Roman" w:hAnsi="Times New Roman"/>
          <w:szCs w:val="22"/>
        </w:rPr>
        <w:t> </w:t>
      </w:r>
      <w:r w:rsidR="00C81741" w:rsidRPr="00907622">
        <w:rPr>
          <w:rFonts w:ascii="Times New Roman" w:hAnsi="Times New Roman"/>
          <w:szCs w:val="22"/>
        </w:rPr>
        <w:t>058</w:t>
      </w:r>
      <w:r w:rsidR="000A6EE8">
        <w:rPr>
          <w:rFonts w:ascii="Times New Roman" w:hAnsi="Times New Roman"/>
          <w:szCs w:val="22"/>
        </w:rPr>
        <w:t> </w:t>
      </w:r>
      <w:r w:rsidRPr="00907622">
        <w:rPr>
          <w:rFonts w:ascii="Times New Roman" w:hAnsi="Times New Roman"/>
          <w:szCs w:val="22"/>
        </w:rPr>
        <w:t>tis.</w:t>
      </w:r>
      <w:r w:rsidR="000A6EE8">
        <w:rPr>
          <w:rFonts w:ascii="Times New Roman" w:hAnsi="Times New Roman"/>
          <w:szCs w:val="22"/>
        </w:rPr>
        <w:t> </w:t>
      </w:r>
      <w:r w:rsidRPr="009F6D4F">
        <w:rPr>
          <w:rFonts w:ascii="Times New Roman" w:hAnsi="Times New Roman"/>
          <w:szCs w:val="22"/>
        </w:rPr>
        <w:t>eur</w:t>
      </w:r>
      <w:r w:rsidR="00AC4D4C">
        <w:rPr>
          <w:rFonts w:ascii="Times New Roman" w:hAnsi="Times New Roman"/>
          <w:szCs w:val="22"/>
        </w:rPr>
        <w:t xml:space="preserve">, </w:t>
      </w:r>
      <w:r w:rsidR="00AC4D4C" w:rsidRPr="009F6D4F">
        <w:rPr>
          <w:rFonts w:ascii="Times New Roman" w:hAnsi="Times New Roman"/>
          <w:szCs w:val="22"/>
        </w:rPr>
        <w:t xml:space="preserve">odpustenie návratných finančných výpomocí zo štátneho rozpočtu voči </w:t>
      </w:r>
      <w:r w:rsidR="003B4F7E">
        <w:rPr>
          <w:rFonts w:ascii="Times New Roman" w:hAnsi="Times New Roman"/>
          <w:szCs w:val="22"/>
        </w:rPr>
        <w:t>vyšším územným celkom</w:t>
      </w:r>
      <w:r w:rsidR="00AC4D4C" w:rsidRPr="009F6D4F">
        <w:rPr>
          <w:rFonts w:ascii="Times New Roman" w:hAnsi="Times New Roman"/>
          <w:szCs w:val="22"/>
        </w:rPr>
        <w:t xml:space="preserve"> </w:t>
      </w:r>
      <w:r w:rsidR="00AC4D4C">
        <w:rPr>
          <w:rFonts w:ascii="Times New Roman" w:hAnsi="Times New Roman"/>
          <w:szCs w:val="22"/>
        </w:rPr>
        <w:t>25</w:t>
      </w:r>
      <w:r w:rsidR="00856D5A">
        <w:rPr>
          <w:rFonts w:ascii="Times New Roman" w:hAnsi="Times New Roman"/>
          <w:szCs w:val="22"/>
        </w:rPr>
        <w:t> </w:t>
      </w:r>
      <w:r w:rsidR="00AC4D4C">
        <w:rPr>
          <w:rFonts w:ascii="Times New Roman" w:hAnsi="Times New Roman"/>
          <w:szCs w:val="22"/>
        </w:rPr>
        <w:t>600</w:t>
      </w:r>
      <w:r w:rsidR="00856D5A">
        <w:rPr>
          <w:rFonts w:ascii="Times New Roman" w:hAnsi="Times New Roman"/>
          <w:szCs w:val="22"/>
        </w:rPr>
        <w:t> </w:t>
      </w:r>
      <w:r w:rsidR="00AC4D4C" w:rsidRPr="009F6D4F">
        <w:rPr>
          <w:rFonts w:ascii="Times New Roman" w:hAnsi="Times New Roman"/>
          <w:szCs w:val="22"/>
        </w:rPr>
        <w:t>tis.</w:t>
      </w:r>
      <w:r w:rsidR="00856D5A">
        <w:rPr>
          <w:rFonts w:ascii="Times New Roman" w:hAnsi="Times New Roman"/>
          <w:szCs w:val="22"/>
        </w:rPr>
        <w:t> </w:t>
      </w:r>
      <w:r w:rsidR="00AC4D4C" w:rsidRPr="009F6D4F">
        <w:rPr>
          <w:rFonts w:ascii="Times New Roman" w:hAnsi="Times New Roman"/>
          <w:szCs w:val="22"/>
        </w:rPr>
        <w:t>eur</w:t>
      </w:r>
      <w:r w:rsidR="00856D5A">
        <w:rPr>
          <w:rFonts w:ascii="Times New Roman" w:hAnsi="Times New Roman"/>
          <w:szCs w:val="22"/>
        </w:rPr>
        <w:t xml:space="preserve"> </w:t>
      </w:r>
      <w:r w:rsidRPr="00907622">
        <w:rPr>
          <w:rFonts w:ascii="Times New Roman" w:hAnsi="Times New Roman"/>
          <w:szCs w:val="22"/>
        </w:rPr>
        <w:t xml:space="preserve">a daň z príjmov </w:t>
      </w:r>
      <w:r w:rsidR="00E00567" w:rsidRPr="00907622">
        <w:rPr>
          <w:rFonts w:ascii="Times New Roman" w:hAnsi="Times New Roman"/>
          <w:szCs w:val="22"/>
        </w:rPr>
        <w:t>23</w:t>
      </w:r>
      <w:r w:rsidR="00856D5A">
        <w:rPr>
          <w:rFonts w:ascii="Times New Roman" w:hAnsi="Times New Roman"/>
          <w:szCs w:val="22"/>
        </w:rPr>
        <w:t> </w:t>
      </w:r>
      <w:r w:rsidR="00E00567" w:rsidRPr="00907622">
        <w:rPr>
          <w:rFonts w:ascii="Times New Roman" w:hAnsi="Times New Roman"/>
          <w:szCs w:val="22"/>
        </w:rPr>
        <w:t>191</w:t>
      </w:r>
      <w:r w:rsidR="00856D5A">
        <w:rPr>
          <w:rFonts w:ascii="Times New Roman" w:hAnsi="Times New Roman"/>
          <w:szCs w:val="22"/>
        </w:rPr>
        <w:t> </w:t>
      </w:r>
      <w:r w:rsidRPr="00907622">
        <w:rPr>
          <w:rFonts w:ascii="Times New Roman" w:hAnsi="Times New Roman"/>
          <w:szCs w:val="22"/>
        </w:rPr>
        <w:t>tis.</w:t>
      </w:r>
      <w:r w:rsidR="00856D5A">
        <w:rPr>
          <w:rFonts w:ascii="Times New Roman" w:hAnsi="Times New Roman"/>
          <w:szCs w:val="22"/>
        </w:rPr>
        <w:t> </w:t>
      </w:r>
      <w:r w:rsidRPr="00907622">
        <w:rPr>
          <w:rFonts w:ascii="Times New Roman" w:hAnsi="Times New Roman"/>
          <w:szCs w:val="22"/>
        </w:rPr>
        <w:t>eur.</w:t>
      </w:r>
    </w:p>
    <w:p w14:paraId="5DB96B3E" w14:textId="37BD40B9" w:rsidR="00647542" w:rsidRPr="006125C0" w:rsidRDefault="00647542" w:rsidP="0085799C">
      <w:pPr>
        <w:pStyle w:val="Nadpis2"/>
      </w:pPr>
      <w:r w:rsidRPr="006125C0">
        <w:t>2. Zmeny účtovných metód a</w:t>
      </w:r>
      <w:r w:rsidR="001F058B">
        <w:t xml:space="preserve"> </w:t>
      </w:r>
      <w:r w:rsidRPr="006125C0">
        <w:t>účtovných zásad</w:t>
      </w:r>
    </w:p>
    <w:p w14:paraId="5EECBFB7" w14:textId="40588F12" w:rsidR="00F81200" w:rsidRPr="00907622" w:rsidRDefault="00F81200" w:rsidP="00647542">
      <w:pPr>
        <w:spacing w:after="120" w:line="240" w:lineRule="auto"/>
        <w:jc w:val="both"/>
        <w:rPr>
          <w:rFonts w:ascii="Times New Roman" w:hAnsi="Times New Roman"/>
          <w:szCs w:val="22"/>
          <w:lang w:eastAsia="sk-SK"/>
        </w:rPr>
      </w:pPr>
      <w:r w:rsidRPr="00907622">
        <w:rPr>
          <w:rFonts w:ascii="Times New Roman" w:hAnsi="Times New Roman"/>
          <w:szCs w:val="22"/>
          <w:lang w:eastAsia="sk-SK"/>
        </w:rPr>
        <w:t xml:space="preserve">Na základe </w:t>
      </w:r>
      <w:r w:rsidR="00A02729">
        <w:rPr>
          <w:rFonts w:ascii="Times New Roman" w:hAnsi="Times New Roman"/>
          <w:szCs w:val="22"/>
          <w:lang w:eastAsia="sk-SK"/>
        </w:rPr>
        <w:t>o</w:t>
      </w:r>
      <w:r w:rsidRPr="00907622">
        <w:rPr>
          <w:rFonts w:ascii="Times New Roman" w:hAnsi="Times New Roman"/>
          <w:szCs w:val="22"/>
          <w:lang w:eastAsia="sk-SK"/>
        </w:rPr>
        <w:t xml:space="preserve">patrenie MF SR zo 7. decembra 2023 č. MF/13953/2023-361 ktorým sa mení a dopĺňa opatrenie Ministerstva financií Slovenskej republiky zo 7. decembra 2022 č. MF/14522/2022-36, ktorým sa ustanovujú podrobnosti o postupoch účtovania a rámcovej účtovej osnove pre štátne rozpočtové organizácie, štátne príspevkové organizácie a štátne účelové fondy, ktoré je účinné od </w:t>
      </w:r>
      <w:r w:rsidRPr="00907622">
        <w:rPr>
          <w:rFonts w:ascii="Times New Roman" w:hAnsi="Times New Roman"/>
          <w:szCs w:val="22"/>
          <w:lang w:eastAsia="sk-SK"/>
        </w:rPr>
        <w:lastRenderedPageBreak/>
        <w:t>1.</w:t>
      </w:r>
      <w:r w:rsidR="00856D5A">
        <w:rPr>
          <w:rFonts w:ascii="Times New Roman" w:hAnsi="Times New Roman"/>
          <w:szCs w:val="22"/>
          <w:lang w:eastAsia="sk-SK"/>
        </w:rPr>
        <w:t> </w:t>
      </w:r>
      <w:r w:rsidRPr="00907622">
        <w:rPr>
          <w:rFonts w:ascii="Times New Roman" w:hAnsi="Times New Roman"/>
          <w:szCs w:val="22"/>
          <w:lang w:eastAsia="sk-SK"/>
        </w:rPr>
        <w:t>januára</w:t>
      </w:r>
      <w:r w:rsidR="00856D5A">
        <w:rPr>
          <w:rFonts w:ascii="Times New Roman" w:hAnsi="Times New Roman"/>
          <w:szCs w:val="22"/>
          <w:lang w:eastAsia="sk-SK"/>
        </w:rPr>
        <w:t> </w:t>
      </w:r>
      <w:r w:rsidRPr="00907622">
        <w:rPr>
          <w:rFonts w:ascii="Times New Roman" w:hAnsi="Times New Roman"/>
          <w:szCs w:val="22"/>
          <w:lang w:eastAsia="sk-SK"/>
        </w:rPr>
        <w:t>2024 sa ku dňu, ku ktorému sa zostavuje účtovná závierka v účtovnej jednotke, ktorou je štátna rozpočtová organizácia, zúčtujú inkasované príjmy na ťarchu účtu 351 – Zúčtovanie odvodov príjmov rozpočtových organizácií do rozpočtu zriaďovateľa súvzťažne s účtom 224 – Účet štátnych rozpočtových príjmov.</w:t>
      </w:r>
    </w:p>
    <w:p w14:paraId="3B83C02C" w14:textId="77777777" w:rsidR="00F81200" w:rsidRPr="00907622" w:rsidRDefault="00F81200" w:rsidP="00F81200">
      <w:pPr>
        <w:spacing w:after="120" w:line="240" w:lineRule="auto"/>
        <w:jc w:val="both"/>
        <w:rPr>
          <w:rFonts w:ascii="Times New Roman" w:hAnsi="Times New Roman"/>
          <w:szCs w:val="22"/>
          <w:lang w:eastAsia="sk-SK"/>
        </w:rPr>
      </w:pPr>
      <w:r w:rsidRPr="00907622">
        <w:rPr>
          <w:rFonts w:ascii="Times New Roman" w:hAnsi="Times New Roman"/>
          <w:szCs w:val="22"/>
          <w:lang w:eastAsia="sk-SK"/>
        </w:rPr>
        <w:t>Ministerstvo financií SR vydalo Pokyn č. MF/006236/2024-441 na zúčtovanie finančných vzťahov so štátnym rozpočtom za rok 2023 pre ústredné orgány štátnej správy, príspevkové a rozpočtové organizácie, podnikateľské subjekty, neziskové organizácie a ďalšie subjekty, ktorým boli poskytnuté prostriedky zo štátneho rozpočtu (ďalej len „Pokyn“) v zmysle ktorého je povinný správca rozpočtovej kapitoly zabezpečiť najneskôr do 30. novembra 2024 vykonanie zúčtovania za rok 2023.</w:t>
      </w:r>
    </w:p>
    <w:p w14:paraId="48703904" w14:textId="77777777" w:rsidR="00F81200" w:rsidRPr="00907622" w:rsidRDefault="00F81200" w:rsidP="00F81200">
      <w:pPr>
        <w:spacing w:after="120" w:line="240" w:lineRule="auto"/>
        <w:jc w:val="both"/>
        <w:rPr>
          <w:rFonts w:ascii="Times New Roman" w:hAnsi="Times New Roman"/>
          <w:szCs w:val="22"/>
          <w:lang w:eastAsia="sk-SK"/>
        </w:rPr>
      </w:pPr>
      <w:r w:rsidRPr="00907622">
        <w:rPr>
          <w:rFonts w:ascii="Times New Roman" w:hAnsi="Times New Roman"/>
          <w:szCs w:val="22"/>
          <w:lang w:eastAsia="sk-SK"/>
        </w:rPr>
        <w:t>V predchádzajúcich účtovných obdobiach sa nepoužité prostriedky bežných a kapitálových transferov odvádzali z rozpočtových kapitol do kapitoly Všeobecná pokladničná správa. Pri zúčtovaní finančných vzťahov za rok 2023 podľa Pokynu budú nepoužité prostriedky príjmom štátneho rozpočtu na úrovni príslušného správcu kapitoly, ktorá zúčtovanie realizuje, teda nenastáva ich odvod do kapitoly Všeobecná pokladničná správa.</w:t>
      </w:r>
    </w:p>
    <w:p w14:paraId="402CB5A8" w14:textId="77777777" w:rsidR="00F81200" w:rsidRPr="00907622" w:rsidRDefault="00F81200" w:rsidP="00F81200">
      <w:pPr>
        <w:spacing w:after="120" w:line="240" w:lineRule="auto"/>
        <w:jc w:val="both"/>
        <w:rPr>
          <w:rFonts w:ascii="Times New Roman" w:hAnsi="Times New Roman"/>
          <w:szCs w:val="22"/>
          <w:lang w:eastAsia="sk-SK"/>
        </w:rPr>
      </w:pPr>
      <w:r w:rsidRPr="00907622">
        <w:rPr>
          <w:rFonts w:ascii="Times New Roman" w:hAnsi="Times New Roman"/>
          <w:szCs w:val="22"/>
          <w:lang w:eastAsia="sk-SK"/>
        </w:rPr>
        <w:t xml:space="preserve">V súlade s Opatrením č. MF/14522/2022-36 sa predpis príjmu z výsledku zúčtovania od prijímateľa prostriedkov, ktorý bol predmetom zúčtovania a zároveň záväzok z odvodu </w:t>
      </w:r>
      <w:proofErr w:type="spellStart"/>
      <w:r w:rsidRPr="00907622">
        <w:rPr>
          <w:rFonts w:ascii="Times New Roman" w:hAnsi="Times New Roman"/>
          <w:szCs w:val="22"/>
          <w:lang w:eastAsia="sk-SK"/>
        </w:rPr>
        <w:t>vratky</w:t>
      </w:r>
      <w:proofErr w:type="spellEnd"/>
      <w:r w:rsidRPr="00907622">
        <w:rPr>
          <w:rFonts w:ascii="Times New Roman" w:hAnsi="Times New Roman"/>
          <w:szCs w:val="22"/>
          <w:lang w:eastAsia="sk-SK"/>
        </w:rPr>
        <w:t xml:space="preserve"> voči kapitole Všeobecná pokladničná správa účtoval na ťarchu účtu 378 – Iné pohľadávky a v prospech účtu 379 – Iné záväzky.</w:t>
      </w:r>
    </w:p>
    <w:p w14:paraId="144830E9" w14:textId="77777777" w:rsidR="00F81200" w:rsidRPr="00907622" w:rsidRDefault="00F81200" w:rsidP="00F81200">
      <w:pPr>
        <w:spacing w:after="120" w:line="240" w:lineRule="auto"/>
        <w:jc w:val="both"/>
        <w:rPr>
          <w:rFonts w:ascii="Times New Roman" w:hAnsi="Times New Roman"/>
          <w:szCs w:val="22"/>
          <w:lang w:eastAsia="sk-SK"/>
        </w:rPr>
      </w:pPr>
      <w:r w:rsidRPr="00907622">
        <w:rPr>
          <w:rFonts w:ascii="Times New Roman" w:hAnsi="Times New Roman"/>
          <w:szCs w:val="22"/>
          <w:lang w:eastAsia="sk-SK"/>
        </w:rPr>
        <w:t>Z dôvodu aplikácie Pokynu sa zrealizuje preúčtovanie z účtu 378 – Iné pohľadávky na účet 316 – Pohľadávky z nedaňových rozpočtových príjmov, preúčtovanie z účtu 379 – Iné záväzky na účet 428 – Nevysporiadaný výsledok hospodárenia minulých rokov a doúčtovanie záväzku z odvodu príjmov na príjmový účet na ťarchu účtu 428 – Nevysporiadaný výsledok hospodárenia minulých rokov a v prospech účtu 351 – Zúčtovanie odvodov príjmov rozpočtových organizácií do rozpočtu zriaďovateľa. Keď v priebehu roka 2024 nastane plnenie zo zúčtovania, zaúčtuje sa zníženie pohľadávky na účte 316 – Pohľadávky z nedaňových rozpočtových príjmov a príjem na účte 224 – Účet štátnych rozpočtových príjmov.</w:t>
      </w:r>
    </w:p>
    <w:p w14:paraId="5D9658FC" w14:textId="0BB4B22A" w:rsidR="00F81200" w:rsidRPr="00907622" w:rsidRDefault="00F81200" w:rsidP="00F81200">
      <w:pPr>
        <w:spacing w:after="120" w:line="240" w:lineRule="auto"/>
        <w:jc w:val="both"/>
        <w:rPr>
          <w:rFonts w:ascii="Times New Roman" w:hAnsi="Times New Roman"/>
          <w:lang w:eastAsia="sk-SK"/>
        </w:rPr>
      </w:pPr>
      <w:r w:rsidRPr="00907622">
        <w:rPr>
          <w:rFonts w:ascii="Times New Roman" w:hAnsi="Times New Roman"/>
          <w:lang w:eastAsia="sk-SK"/>
        </w:rPr>
        <w:t>Zúčtovanie realizované v roku 2024 za rok 2023 sa účtuje na ťarchu účtu 316 – Pohľadávky z nedaňových rozpočtových príjmov a v prospech účtu 648 – Ostatné výnosy z prevádzkovej činnosti.</w:t>
      </w:r>
    </w:p>
    <w:p w14:paraId="2CB33519" w14:textId="20756920" w:rsidR="00647542" w:rsidRDefault="0055589F" w:rsidP="00505C0F">
      <w:pPr>
        <w:spacing w:after="120" w:line="240" w:lineRule="auto"/>
        <w:jc w:val="both"/>
        <w:rPr>
          <w:rFonts w:ascii="Times New Roman" w:hAnsi="Times New Roman"/>
          <w:lang w:eastAsia="sk-SK"/>
        </w:rPr>
      </w:pPr>
      <w:r>
        <w:rPr>
          <w:rFonts w:ascii="Times New Roman" w:hAnsi="Times New Roman"/>
          <w:lang w:eastAsia="sk-SK"/>
        </w:rPr>
        <w:t>V súvislosti s</w:t>
      </w:r>
      <w:r w:rsidR="00641DBE">
        <w:rPr>
          <w:rFonts w:ascii="Times New Roman" w:hAnsi="Times New Roman"/>
          <w:lang w:eastAsia="sk-SK"/>
        </w:rPr>
        <w:t> vykazovaním dlhodobej rezervy Jadrovej a vyraďovacej spoločnosti, a. s. za účelom pokrytia nákladov spojených s vyraďovaním jadrových zariadení z prostriedkov akumulovaných v Národnom jadrovom fonde bola vykonaná zmena postupu účtovania pre účely zostavenia konsolidovanej účtovnej závierky ústrednej správy, ako aj súhrnnej účtovnej závierky verejnej správy.</w:t>
      </w:r>
      <w:r w:rsidR="00A91326">
        <w:rPr>
          <w:rFonts w:ascii="Times New Roman" w:hAnsi="Times New Roman"/>
          <w:lang w:eastAsia="sk-SK"/>
        </w:rPr>
        <w:t xml:space="preserve"> </w:t>
      </w:r>
      <w:r w:rsidR="00A91326" w:rsidRPr="0021498A">
        <w:rPr>
          <w:rFonts w:ascii="Times New Roman" w:hAnsi="Times New Roman"/>
          <w:szCs w:val="22"/>
        </w:rPr>
        <w:t xml:space="preserve">Zvýšenie </w:t>
      </w:r>
      <w:r w:rsidR="00A91326" w:rsidRPr="009E3C89">
        <w:rPr>
          <w:rFonts w:ascii="Times New Roman" w:hAnsi="Times New Roman"/>
          <w:szCs w:val="22"/>
        </w:rPr>
        <w:t xml:space="preserve">záväzkov </w:t>
      </w:r>
      <w:r w:rsidR="00A91326">
        <w:rPr>
          <w:rFonts w:ascii="Times New Roman" w:hAnsi="Times New Roman"/>
          <w:szCs w:val="22"/>
        </w:rPr>
        <w:t xml:space="preserve">Národného jadrového fondu </w:t>
      </w:r>
      <w:r w:rsidR="00A91326" w:rsidRPr="009E3C89">
        <w:rPr>
          <w:rFonts w:ascii="Times New Roman" w:hAnsi="Times New Roman"/>
          <w:szCs w:val="22"/>
        </w:rPr>
        <w:t xml:space="preserve">bolo spôsobené </w:t>
      </w:r>
      <w:r w:rsidR="00A91326">
        <w:rPr>
          <w:rFonts w:ascii="Times New Roman" w:hAnsi="Times New Roman"/>
          <w:szCs w:val="22"/>
        </w:rPr>
        <w:t xml:space="preserve">aplikáciou </w:t>
      </w:r>
      <w:r w:rsidR="00A91326" w:rsidRPr="0021498A">
        <w:rPr>
          <w:rFonts w:ascii="Times New Roman" w:hAnsi="Times New Roman"/>
          <w:szCs w:val="22"/>
        </w:rPr>
        <w:t>usmernen</w:t>
      </w:r>
      <w:r w:rsidR="00A91326">
        <w:rPr>
          <w:rFonts w:ascii="Times New Roman" w:hAnsi="Times New Roman"/>
          <w:szCs w:val="22"/>
        </w:rPr>
        <w:t>ia</w:t>
      </w:r>
      <w:r w:rsidR="00A91326" w:rsidRPr="0021498A">
        <w:rPr>
          <w:rFonts w:ascii="Times New Roman" w:hAnsi="Times New Roman"/>
          <w:szCs w:val="22"/>
        </w:rPr>
        <w:t xml:space="preserve"> Ministerstva financií SR, na základe </w:t>
      </w:r>
      <w:r w:rsidR="00A91326" w:rsidRPr="0085799C">
        <w:rPr>
          <w:rFonts w:ascii="Times New Roman" w:hAnsi="Times New Roman"/>
          <w:szCs w:val="22"/>
        </w:rPr>
        <w:t>ktorého sa zostatok dlhodobých záväzko</w:t>
      </w:r>
      <w:r w:rsidR="00A91326">
        <w:rPr>
          <w:rFonts w:ascii="Times New Roman" w:hAnsi="Times New Roman"/>
          <w:szCs w:val="22"/>
        </w:rPr>
        <w:t>v</w:t>
      </w:r>
      <w:r w:rsidR="00A91326" w:rsidRPr="0085799C">
        <w:rPr>
          <w:rFonts w:ascii="Times New Roman" w:hAnsi="Times New Roman"/>
          <w:szCs w:val="22"/>
        </w:rPr>
        <w:t xml:space="preserve"> Národného jadrového fondu vykazuje v </w:t>
      </w:r>
      <w:r w:rsidR="00A91326">
        <w:rPr>
          <w:rFonts w:ascii="Times New Roman" w:hAnsi="Times New Roman"/>
          <w:szCs w:val="22"/>
        </w:rPr>
        <w:t>k</w:t>
      </w:r>
      <w:r w:rsidR="00A91326" w:rsidRPr="0085799C">
        <w:rPr>
          <w:rFonts w:ascii="Times New Roman" w:hAnsi="Times New Roman"/>
          <w:szCs w:val="22"/>
        </w:rPr>
        <w:t xml:space="preserve">onsolidovanej účtovnej závierke Ministerstva hospodárstva SR </w:t>
      </w:r>
      <w:r w:rsidR="00A91326">
        <w:rPr>
          <w:rFonts w:ascii="Times New Roman" w:hAnsi="Times New Roman"/>
          <w:szCs w:val="22"/>
        </w:rPr>
        <w:t xml:space="preserve">v </w:t>
      </w:r>
      <w:r w:rsidR="00A91326" w:rsidRPr="0085799C">
        <w:rPr>
          <w:rFonts w:ascii="Times New Roman" w:hAnsi="Times New Roman"/>
          <w:szCs w:val="22"/>
        </w:rPr>
        <w:t xml:space="preserve">nezmenenej sume podľa </w:t>
      </w:r>
      <w:r w:rsidR="00A91326">
        <w:rPr>
          <w:rFonts w:ascii="Times New Roman" w:hAnsi="Times New Roman"/>
          <w:szCs w:val="22"/>
        </w:rPr>
        <w:t>i</w:t>
      </w:r>
      <w:r w:rsidR="00A91326" w:rsidRPr="0085799C">
        <w:rPr>
          <w:rFonts w:ascii="Times New Roman" w:hAnsi="Times New Roman"/>
          <w:szCs w:val="22"/>
        </w:rPr>
        <w:t xml:space="preserve">ndividuálnej účtovnej závierky </w:t>
      </w:r>
      <w:r w:rsidR="00A91326">
        <w:rPr>
          <w:rFonts w:ascii="Times New Roman" w:hAnsi="Times New Roman"/>
          <w:szCs w:val="22"/>
        </w:rPr>
        <w:t>Národného jadrového fondu,</w:t>
      </w:r>
      <w:r w:rsidR="00A91326" w:rsidRPr="0085799C">
        <w:rPr>
          <w:rFonts w:ascii="Times New Roman" w:hAnsi="Times New Roman"/>
          <w:szCs w:val="22"/>
        </w:rPr>
        <w:t xml:space="preserve"> t.</w:t>
      </w:r>
      <w:r w:rsidR="00A91326" w:rsidRPr="009E3C89">
        <w:rPr>
          <w:rFonts w:ascii="Times New Roman" w:hAnsi="Times New Roman"/>
          <w:szCs w:val="22"/>
        </w:rPr>
        <w:t xml:space="preserve"> </w:t>
      </w:r>
      <w:r w:rsidR="00A91326" w:rsidRPr="0085799C">
        <w:rPr>
          <w:rFonts w:ascii="Times New Roman" w:hAnsi="Times New Roman"/>
          <w:szCs w:val="22"/>
        </w:rPr>
        <w:t xml:space="preserve">j. ostatné dlhodobé záväzky </w:t>
      </w:r>
      <w:r w:rsidR="00A91326">
        <w:rPr>
          <w:rFonts w:ascii="Times New Roman" w:hAnsi="Times New Roman"/>
          <w:szCs w:val="22"/>
        </w:rPr>
        <w:t xml:space="preserve">fondu </w:t>
      </w:r>
      <w:r w:rsidR="00A91326" w:rsidRPr="0085799C">
        <w:rPr>
          <w:rFonts w:ascii="Times New Roman" w:hAnsi="Times New Roman"/>
          <w:szCs w:val="22"/>
        </w:rPr>
        <w:t>sa nekonsolidujú.</w:t>
      </w:r>
      <w:r w:rsidR="00A91326">
        <w:rPr>
          <w:rFonts w:ascii="Times New Roman" w:hAnsi="Times New Roman"/>
          <w:lang w:eastAsia="sk-SK"/>
        </w:rPr>
        <w:t xml:space="preserve"> </w:t>
      </w:r>
      <w:r w:rsidR="00641DBE">
        <w:rPr>
          <w:rFonts w:ascii="Times New Roman" w:hAnsi="Times New Roman"/>
          <w:lang w:eastAsia="sk-SK"/>
        </w:rPr>
        <w:t>Predmetnou zmenou došlo k odstráneniu zistení zo štatutárnych auditov</w:t>
      </w:r>
      <w:r w:rsidR="00A02729">
        <w:rPr>
          <w:rFonts w:ascii="Times New Roman" w:hAnsi="Times New Roman"/>
          <w:lang w:eastAsia="sk-SK"/>
        </w:rPr>
        <w:t xml:space="preserve"> konsolidovaných účtovných závierok ústrednej správy</w:t>
      </w:r>
      <w:r w:rsidR="00641DBE">
        <w:rPr>
          <w:rFonts w:ascii="Times New Roman" w:hAnsi="Times New Roman"/>
          <w:lang w:eastAsia="sk-SK"/>
        </w:rPr>
        <w:t xml:space="preserve"> za predchádzajúce účtovné obdobia.</w:t>
      </w:r>
    </w:p>
    <w:p w14:paraId="0DEFC66F" w14:textId="69D8DDA8" w:rsidR="00505C0F" w:rsidRPr="00505C0F" w:rsidRDefault="00A02729" w:rsidP="00505C0F">
      <w:pPr>
        <w:spacing w:after="120" w:line="240" w:lineRule="auto"/>
        <w:jc w:val="both"/>
        <w:rPr>
          <w:rFonts w:ascii="Times New Roman" w:hAnsi="Times New Roman"/>
          <w:szCs w:val="22"/>
          <w:lang w:eastAsia="sk-SK"/>
        </w:rPr>
      </w:pPr>
      <w:r w:rsidRPr="0051497E">
        <w:rPr>
          <w:rFonts w:ascii="Times New Roman" w:hAnsi="Times New Roman"/>
          <w:szCs w:val="22"/>
        </w:rPr>
        <w:t xml:space="preserve">Predstavenstvo </w:t>
      </w:r>
      <w:r w:rsidRPr="0051497E">
        <w:rPr>
          <w:rFonts w:ascii="Times New Roman" w:hAnsi="Times New Roman"/>
          <w:color w:val="000000" w:themeColor="text1"/>
          <w:szCs w:val="22"/>
        </w:rPr>
        <w:t>spoločnosti TIPOS v máji</w:t>
      </w:r>
      <w:r w:rsidRPr="0051497E">
        <w:rPr>
          <w:rFonts w:ascii="Times New Roman" w:hAnsi="Times New Roman"/>
          <w:szCs w:val="22"/>
        </w:rPr>
        <w:t xml:space="preserve"> 2024 schválilo zmenu účtovania (účtovnej metódy) pre výnosy z internetových hier v internetovom kasíne a kurzových stávok v internetovej herni k 1.</w:t>
      </w:r>
      <w:r>
        <w:rPr>
          <w:rFonts w:ascii="Times New Roman" w:hAnsi="Times New Roman"/>
          <w:szCs w:val="22"/>
        </w:rPr>
        <w:t xml:space="preserve"> júlu </w:t>
      </w:r>
      <w:r w:rsidRPr="0051497E">
        <w:rPr>
          <w:rFonts w:ascii="Times New Roman" w:hAnsi="Times New Roman"/>
          <w:szCs w:val="22"/>
        </w:rPr>
        <w:t>2024 s uplatnením zmeny účtovania od 1.</w:t>
      </w:r>
      <w:r>
        <w:rPr>
          <w:rFonts w:ascii="Times New Roman" w:hAnsi="Times New Roman"/>
          <w:szCs w:val="22"/>
        </w:rPr>
        <w:t xml:space="preserve"> januára </w:t>
      </w:r>
      <w:r w:rsidRPr="0051497E">
        <w:rPr>
          <w:rFonts w:ascii="Times New Roman" w:hAnsi="Times New Roman"/>
          <w:szCs w:val="22"/>
        </w:rPr>
        <w:t>2024 a ich následného vykazovania pre individuálnu účtovnú závierku obchodnej spoločnosti TIPOS, a.s. TIPOS, a.s. pred zmenou vykazovala pre súčasné portfólio internetových hier a kurzových stávok svoje výnosy (tržby) ako prijaté stávky (vklady) od hráčov. Po implementácii schválených zmien sú výnosy vykazované ako výťažok, čo predstavuje rozdiel medzi vkladmi hráčov a vyplatenými výhrami hráčom. Vykazovanie výnosov zo štátnej lotérie - číselných lotérií a okamžitých lotérií (žrebov) bolo ponechané v súčasnej podobe. Z tohto dôvodu pri nákladoch, ale aj výnosoch bol vykázaný medziročný pokles.</w:t>
      </w:r>
    </w:p>
    <w:p w14:paraId="24B2D763" w14:textId="77777777" w:rsidR="00505C0F" w:rsidRPr="00505C0F" w:rsidRDefault="00505C0F" w:rsidP="00505C0F">
      <w:pPr>
        <w:spacing w:after="120" w:line="240" w:lineRule="auto"/>
        <w:jc w:val="both"/>
        <w:rPr>
          <w:rFonts w:ascii="Times New Roman" w:hAnsi="Times New Roman"/>
          <w:szCs w:val="22"/>
          <w:lang w:eastAsia="sk-SK"/>
        </w:rPr>
      </w:pPr>
    </w:p>
    <w:p w14:paraId="4E67293A" w14:textId="77777777" w:rsidR="00505C0F" w:rsidRPr="00505C0F" w:rsidRDefault="00505C0F" w:rsidP="00505C0F">
      <w:pPr>
        <w:spacing w:after="120" w:line="240" w:lineRule="auto"/>
        <w:jc w:val="both"/>
        <w:rPr>
          <w:rFonts w:ascii="Times New Roman" w:hAnsi="Times New Roman"/>
          <w:szCs w:val="22"/>
          <w:highlight w:val="yellow"/>
          <w:lang w:eastAsia="sk-SK"/>
        </w:rPr>
      </w:pPr>
    </w:p>
    <w:p w14:paraId="734322EC" w14:textId="77777777" w:rsidR="009872A1" w:rsidRPr="0085799C" w:rsidRDefault="009872A1" w:rsidP="0085799C">
      <w:pPr>
        <w:spacing w:after="120" w:line="240" w:lineRule="auto"/>
        <w:rPr>
          <w:rFonts w:ascii="Times New Roman" w:eastAsiaTheme="majorEastAsia" w:hAnsi="Times New Roman"/>
          <w:b/>
          <w:bCs/>
          <w:color w:val="000000" w:themeColor="text1"/>
          <w:szCs w:val="22"/>
          <w:lang w:val="en-US"/>
        </w:rPr>
      </w:pPr>
      <w:r w:rsidRPr="0085799C">
        <w:rPr>
          <w:rFonts w:ascii="Times New Roman" w:hAnsi="Times New Roman"/>
          <w:szCs w:val="22"/>
        </w:rPr>
        <w:br w:type="page"/>
      </w:r>
    </w:p>
    <w:p w14:paraId="7208BAE6" w14:textId="0E2772EC" w:rsidR="00647542" w:rsidRPr="0085799C" w:rsidRDefault="00647542" w:rsidP="0085799C">
      <w:pPr>
        <w:pStyle w:val="IHLAVN"/>
        <w:rPr>
          <w:b w:val="0"/>
        </w:rPr>
      </w:pPr>
      <w:r w:rsidRPr="00907622">
        <w:lastRenderedPageBreak/>
        <w:t xml:space="preserve">III. </w:t>
      </w:r>
      <w:r w:rsidR="00F17E4B">
        <w:t>INFORAMÁCIE O ÚDAJOCH NA STRANE AKTÍV A PASÍV</w:t>
      </w:r>
      <w:r w:rsidRPr="007253B7">
        <w:t xml:space="preserve"> </w:t>
      </w:r>
      <w:r w:rsidR="00FC2D3F">
        <w:t>SÚVAHY</w:t>
      </w:r>
    </w:p>
    <w:p w14:paraId="53F6F9F2" w14:textId="669E4A86" w:rsidR="00647542" w:rsidRPr="0085799C" w:rsidRDefault="006125C0" w:rsidP="0085799C">
      <w:pPr>
        <w:pStyle w:val="Nadpis2"/>
        <w:rPr>
          <w:b w:val="0"/>
        </w:rPr>
      </w:pPr>
      <w:r w:rsidRPr="0085799C">
        <w:t>A</w:t>
      </w:r>
      <w:r w:rsidR="000279FB">
        <w:t>KTÍVA</w:t>
      </w:r>
    </w:p>
    <w:p w14:paraId="44DFA470" w14:textId="79667445" w:rsidR="00647542" w:rsidRPr="000279FB" w:rsidRDefault="5139F076" w:rsidP="23ACC2EC">
      <w:pPr>
        <w:spacing w:after="120" w:line="240" w:lineRule="auto"/>
        <w:jc w:val="both"/>
        <w:rPr>
          <w:rFonts w:ascii="Times New Roman" w:hAnsi="Times New Roman"/>
          <w:szCs w:val="22"/>
        </w:rPr>
      </w:pPr>
      <w:r w:rsidRPr="0085799C">
        <w:rPr>
          <w:rFonts w:ascii="Times New Roman" w:eastAsia="Calibri" w:hAnsi="Times New Roman"/>
          <w:szCs w:val="22"/>
        </w:rPr>
        <w:t xml:space="preserve">Celková netto hodnota </w:t>
      </w:r>
      <w:r w:rsidR="00EC35CD" w:rsidRPr="0085799C">
        <w:rPr>
          <w:rFonts w:ascii="Times New Roman" w:eastAsia="Calibri" w:hAnsi="Times New Roman"/>
          <w:szCs w:val="22"/>
        </w:rPr>
        <w:t>aktív</w:t>
      </w:r>
      <w:r w:rsidRPr="0085799C">
        <w:rPr>
          <w:rFonts w:ascii="Times New Roman" w:eastAsia="Calibri" w:hAnsi="Times New Roman"/>
          <w:szCs w:val="22"/>
        </w:rPr>
        <w:t xml:space="preserve"> k 31.</w:t>
      </w:r>
      <w:r w:rsidR="000B43D3" w:rsidRPr="0085799C">
        <w:rPr>
          <w:rFonts w:ascii="Times New Roman" w:eastAsia="Calibri" w:hAnsi="Times New Roman"/>
          <w:szCs w:val="22"/>
        </w:rPr>
        <w:t xml:space="preserve"> </w:t>
      </w:r>
      <w:r w:rsidRPr="0085799C">
        <w:rPr>
          <w:rFonts w:ascii="Times New Roman" w:eastAsia="Calibri" w:hAnsi="Times New Roman"/>
          <w:szCs w:val="22"/>
        </w:rPr>
        <w:t xml:space="preserve">decembru 2024 predstavovala sumu </w:t>
      </w:r>
      <w:r w:rsidR="00506A1E" w:rsidRPr="0085799C">
        <w:rPr>
          <w:rFonts w:ascii="Times New Roman" w:eastAsia="Calibri" w:hAnsi="Times New Roman"/>
          <w:szCs w:val="22"/>
        </w:rPr>
        <w:t>94 706</w:t>
      </w:r>
      <w:r w:rsidR="00856D5A">
        <w:rPr>
          <w:rFonts w:ascii="Times New Roman" w:eastAsia="Calibri" w:hAnsi="Times New Roman"/>
          <w:szCs w:val="22"/>
        </w:rPr>
        <w:t> </w:t>
      </w:r>
      <w:r w:rsidR="00506A1E" w:rsidRPr="0085799C">
        <w:rPr>
          <w:rFonts w:ascii="Times New Roman" w:eastAsia="Calibri" w:hAnsi="Times New Roman"/>
          <w:szCs w:val="22"/>
        </w:rPr>
        <w:t>512</w:t>
      </w:r>
      <w:r w:rsidR="00856D5A">
        <w:rPr>
          <w:rFonts w:ascii="Times New Roman" w:eastAsia="Calibri" w:hAnsi="Times New Roman"/>
          <w:szCs w:val="22"/>
        </w:rPr>
        <w:t> </w:t>
      </w:r>
      <w:r w:rsidR="00C676BE" w:rsidRPr="0085799C">
        <w:rPr>
          <w:rFonts w:ascii="Times New Roman" w:eastAsia="Calibri" w:hAnsi="Times New Roman"/>
          <w:szCs w:val="22"/>
        </w:rPr>
        <w:t>tis.</w:t>
      </w:r>
      <w:r w:rsidR="00856D5A">
        <w:rPr>
          <w:rFonts w:ascii="Times New Roman" w:eastAsia="Calibri" w:hAnsi="Times New Roman"/>
          <w:szCs w:val="22"/>
        </w:rPr>
        <w:t> </w:t>
      </w:r>
      <w:r w:rsidRPr="0085799C">
        <w:rPr>
          <w:rFonts w:ascii="Times New Roman" w:eastAsia="Calibri" w:hAnsi="Times New Roman"/>
          <w:szCs w:val="22"/>
        </w:rPr>
        <w:t>eur. Oproti roku 2023 došlo k</w:t>
      </w:r>
      <w:r w:rsidR="000321C9" w:rsidRPr="0085799C">
        <w:rPr>
          <w:rFonts w:ascii="Times New Roman" w:eastAsia="Calibri" w:hAnsi="Times New Roman"/>
          <w:szCs w:val="22"/>
        </w:rPr>
        <w:t> </w:t>
      </w:r>
      <w:r w:rsidRPr="0085799C">
        <w:rPr>
          <w:rFonts w:ascii="Times New Roman" w:eastAsia="Calibri" w:hAnsi="Times New Roman"/>
          <w:szCs w:val="22"/>
        </w:rPr>
        <w:t xml:space="preserve">zvýšeniu hodnoty </w:t>
      </w:r>
      <w:r w:rsidR="00C676BE" w:rsidRPr="0085799C">
        <w:rPr>
          <w:rFonts w:ascii="Times New Roman" w:eastAsia="Calibri" w:hAnsi="Times New Roman"/>
          <w:szCs w:val="22"/>
        </w:rPr>
        <w:t>aktív</w:t>
      </w:r>
      <w:r w:rsidRPr="0085799C">
        <w:rPr>
          <w:rFonts w:ascii="Times New Roman" w:eastAsia="Calibri" w:hAnsi="Times New Roman"/>
          <w:szCs w:val="22"/>
        </w:rPr>
        <w:t xml:space="preserve"> o 4</w:t>
      </w:r>
      <w:r w:rsidR="006E1CEC" w:rsidRPr="0085799C">
        <w:rPr>
          <w:rFonts w:ascii="Times New Roman" w:eastAsia="Calibri" w:hAnsi="Times New Roman"/>
          <w:szCs w:val="22"/>
        </w:rPr>
        <w:t> 875 254</w:t>
      </w:r>
      <w:r w:rsidR="00856D5A">
        <w:rPr>
          <w:rFonts w:ascii="Times New Roman" w:eastAsia="Calibri" w:hAnsi="Times New Roman"/>
          <w:szCs w:val="22"/>
        </w:rPr>
        <w:t> </w:t>
      </w:r>
      <w:r w:rsidR="006E1CEC" w:rsidRPr="0085799C">
        <w:rPr>
          <w:rFonts w:ascii="Times New Roman" w:eastAsia="Calibri" w:hAnsi="Times New Roman"/>
          <w:szCs w:val="22"/>
        </w:rPr>
        <w:t>tis.</w:t>
      </w:r>
      <w:r w:rsidR="00856D5A">
        <w:rPr>
          <w:rFonts w:ascii="Times New Roman" w:eastAsia="Calibri" w:hAnsi="Times New Roman"/>
          <w:szCs w:val="22"/>
        </w:rPr>
        <w:t> </w:t>
      </w:r>
      <w:r w:rsidRPr="0085799C">
        <w:rPr>
          <w:rFonts w:ascii="Times New Roman" w:eastAsia="Calibri" w:hAnsi="Times New Roman"/>
          <w:szCs w:val="22"/>
        </w:rPr>
        <w:t xml:space="preserve">eur. </w:t>
      </w:r>
      <w:r w:rsidR="006E1CEC" w:rsidRPr="0085799C">
        <w:rPr>
          <w:rFonts w:ascii="Times New Roman" w:eastAsia="Calibri" w:hAnsi="Times New Roman"/>
          <w:szCs w:val="22"/>
        </w:rPr>
        <w:t xml:space="preserve">Celková </w:t>
      </w:r>
      <w:r w:rsidR="00B11117" w:rsidRPr="0085799C">
        <w:rPr>
          <w:rFonts w:ascii="Times New Roman" w:eastAsia="Calibri" w:hAnsi="Times New Roman"/>
          <w:szCs w:val="22"/>
        </w:rPr>
        <w:t>aktíva sú tvorené najmä dlhodobým</w:t>
      </w:r>
      <w:r w:rsidR="00266990" w:rsidRPr="0085799C">
        <w:rPr>
          <w:rFonts w:ascii="Times New Roman" w:eastAsia="Calibri" w:hAnsi="Times New Roman"/>
          <w:szCs w:val="22"/>
        </w:rPr>
        <w:t xml:space="preserve"> hmotným</w:t>
      </w:r>
      <w:r w:rsidR="00B11117" w:rsidRPr="0085799C">
        <w:rPr>
          <w:rFonts w:ascii="Times New Roman" w:eastAsia="Calibri" w:hAnsi="Times New Roman"/>
          <w:szCs w:val="22"/>
        </w:rPr>
        <w:t xml:space="preserve"> majetkom</w:t>
      </w:r>
      <w:r w:rsidR="00266990" w:rsidRPr="0085799C">
        <w:rPr>
          <w:rFonts w:ascii="Times New Roman" w:eastAsia="Calibri" w:hAnsi="Times New Roman"/>
          <w:szCs w:val="22"/>
        </w:rPr>
        <w:t xml:space="preserve"> (</w:t>
      </w:r>
      <w:r w:rsidR="000022CF" w:rsidRPr="0085799C">
        <w:rPr>
          <w:rFonts w:ascii="Times New Roman" w:eastAsia="Calibri" w:hAnsi="Times New Roman"/>
          <w:szCs w:val="22"/>
        </w:rPr>
        <w:t>64,</w:t>
      </w:r>
      <w:r w:rsidR="00C272E3" w:rsidRPr="0085799C">
        <w:rPr>
          <w:rFonts w:ascii="Times New Roman" w:eastAsia="Calibri" w:hAnsi="Times New Roman"/>
          <w:szCs w:val="22"/>
        </w:rPr>
        <w:t>4</w:t>
      </w:r>
      <w:r w:rsidR="000321C9" w:rsidRPr="0085799C">
        <w:rPr>
          <w:rFonts w:ascii="Times New Roman" w:eastAsia="Calibri" w:hAnsi="Times New Roman"/>
          <w:szCs w:val="22"/>
        </w:rPr>
        <w:t> </w:t>
      </w:r>
      <w:r w:rsidR="00C272E3" w:rsidRPr="0085799C">
        <w:rPr>
          <w:rFonts w:ascii="Times New Roman" w:eastAsia="Calibri" w:hAnsi="Times New Roman"/>
          <w:szCs w:val="22"/>
        </w:rPr>
        <w:t>%)</w:t>
      </w:r>
      <w:r w:rsidR="00B11117" w:rsidRPr="0085799C">
        <w:rPr>
          <w:rFonts w:ascii="Times New Roman" w:eastAsia="Calibri" w:hAnsi="Times New Roman"/>
          <w:szCs w:val="22"/>
        </w:rPr>
        <w:t>, pohľadávkami</w:t>
      </w:r>
      <w:r w:rsidR="00C272E3" w:rsidRPr="0085799C">
        <w:rPr>
          <w:rFonts w:ascii="Times New Roman" w:eastAsia="Calibri" w:hAnsi="Times New Roman"/>
          <w:szCs w:val="22"/>
        </w:rPr>
        <w:t xml:space="preserve"> </w:t>
      </w:r>
      <w:r w:rsidR="00F12FD7" w:rsidRPr="0085799C">
        <w:rPr>
          <w:rFonts w:ascii="Times New Roman" w:eastAsia="Calibri" w:hAnsi="Times New Roman"/>
          <w:szCs w:val="22"/>
        </w:rPr>
        <w:t>(</w:t>
      </w:r>
      <w:r w:rsidR="00DF7352" w:rsidRPr="0085799C">
        <w:rPr>
          <w:rFonts w:ascii="Times New Roman" w:eastAsia="Calibri" w:hAnsi="Times New Roman"/>
          <w:szCs w:val="22"/>
        </w:rPr>
        <w:t>14,7 %)</w:t>
      </w:r>
      <w:r w:rsidR="00B11117" w:rsidRPr="0085799C">
        <w:rPr>
          <w:rFonts w:ascii="Times New Roman" w:eastAsia="Calibri" w:hAnsi="Times New Roman"/>
          <w:szCs w:val="22"/>
        </w:rPr>
        <w:t xml:space="preserve">, dlhodobým finančným majetkom </w:t>
      </w:r>
      <w:r w:rsidR="005031BD" w:rsidRPr="0085799C">
        <w:rPr>
          <w:rFonts w:ascii="Times New Roman" w:eastAsia="Calibri" w:hAnsi="Times New Roman"/>
          <w:szCs w:val="22"/>
        </w:rPr>
        <w:t xml:space="preserve">(9,6 %) </w:t>
      </w:r>
      <w:r w:rsidR="00B11117" w:rsidRPr="0085799C">
        <w:rPr>
          <w:rFonts w:ascii="Times New Roman" w:eastAsia="Calibri" w:hAnsi="Times New Roman"/>
          <w:szCs w:val="22"/>
        </w:rPr>
        <w:t xml:space="preserve">a finančnými účtami vrátane </w:t>
      </w:r>
      <w:r w:rsidR="00266990" w:rsidRPr="0085799C">
        <w:rPr>
          <w:rFonts w:ascii="Times New Roman" w:eastAsia="Calibri" w:hAnsi="Times New Roman"/>
          <w:szCs w:val="22"/>
        </w:rPr>
        <w:t>krátkodobého</w:t>
      </w:r>
      <w:r w:rsidR="00B11117" w:rsidRPr="0085799C">
        <w:rPr>
          <w:rFonts w:ascii="Times New Roman" w:eastAsia="Calibri" w:hAnsi="Times New Roman"/>
          <w:szCs w:val="22"/>
        </w:rPr>
        <w:t xml:space="preserve"> majetku</w:t>
      </w:r>
      <w:r w:rsidR="005031BD" w:rsidRPr="0085799C">
        <w:rPr>
          <w:rFonts w:ascii="Times New Roman" w:eastAsia="Calibri" w:hAnsi="Times New Roman"/>
          <w:szCs w:val="22"/>
        </w:rPr>
        <w:t xml:space="preserve"> (5,3 %)</w:t>
      </w:r>
      <w:r w:rsidR="00B11117" w:rsidRPr="0085799C">
        <w:rPr>
          <w:rFonts w:ascii="Times New Roman" w:eastAsia="Calibri" w:hAnsi="Times New Roman"/>
          <w:szCs w:val="22"/>
        </w:rPr>
        <w:t xml:space="preserve">. </w:t>
      </w:r>
      <w:r w:rsidRPr="0085799C">
        <w:rPr>
          <w:rFonts w:ascii="Times New Roman" w:eastAsia="Calibri" w:hAnsi="Times New Roman"/>
          <w:szCs w:val="22"/>
        </w:rPr>
        <w:t xml:space="preserve">Hodnota </w:t>
      </w:r>
      <w:r w:rsidR="003D7D06" w:rsidRPr="0085799C">
        <w:rPr>
          <w:rFonts w:ascii="Times New Roman" w:eastAsia="Calibri" w:hAnsi="Times New Roman"/>
          <w:szCs w:val="22"/>
        </w:rPr>
        <w:t>dlhodobého</w:t>
      </w:r>
      <w:r w:rsidRPr="0085799C">
        <w:rPr>
          <w:rFonts w:ascii="Times New Roman" w:eastAsia="Calibri" w:hAnsi="Times New Roman"/>
          <w:szCs w:val="22"/>
        </w:rPr>
        <w:t xml:space="preserve"> majetku bola v</w:t>
      </w:r>
      <w:r w:rsidR="009D4619">
        <w:rPr>
          <w:rFonts w:ascii="Times New Roman" w:eastAsia="Calibri" w:hAnsi="Times New Roman"/>
          <w:szCs w:val="22"/>
        </w:rPr>
        <w:t> </w:t>
      </w:r>
      <w:r w:rsidRPr="0085799C">
        <w:rPr>
          <w:rFonts w:ascii="Times New Roman" w:eastAsia="Calibri" w:hAnsi="Times New Roman"/>
          <w:szCs w:val="22"/>
        </w:rPr>
        <w:t xml:space="preserve">hodnote </w:t>
      </w:r>
      <w:r w:rsidR="000B292B" w:rsidRPr="0085799C">
        <w:rPr>
          <w:rFonts w:ascii="Times New Roman" w:eastAsia="Calibri" w:hAnsi="Times New Roman"/>
          <w:szCs w:val="22"/>
        </w:rPr>
        <w:t>71</w:t>
      </w:r>
      <w:r w:rsidR="002B68D9" w:rsidRPr="0085799C">
        <w:rPr>
          <w:rFonts w:ascii="Times New Roman" w:eastAsia="Calibri" w:hAnsi="Times New Roman"/>
          <w:szCs w:val="22"/>
        </w:rPr>
        <w:t> 820 908</w:t>
      </w:r>
      <w:r w:rsidR="00856D5A">
        <w:rPr>
          <w:rFonts w:ascii="Times New Roman" w:eastAsia="Calibri" w:hAnsi="Times New Roman"/>
          <w:szCs w:val="22"/>
        </w:rPr>
        <w:t> </w:t>
      </w:r>
      <w:r w:rsidR="002B68D9" w:rsidRPr="0085799C">
        <w:rPr>
          <w:rFonts w:ascii="Times New Roman" w:eastAsia="Calibri" w:hAnsi="Times New Roman"/>
          <w:szCs w:val="22"/>
        </w:rPr>
        <w:t>tis.</w:t>
      </w:r>
      <w:r w:rsidR="00856D5A">
        <w:rPr>
          <w:rFonts w:ascii="Times New Roman" w:eastAsia="Calibri" w:hAnsi="Times New Roman"/>
          <w:szCs w:val="22"/>
        </w:rPr>
        <w:t> </w:t>
      </w:r>
      <w:r w:rsidRPr="0085799C">
        <w:rPr>
          <w:rFonts w:ascii="Times New Roman" w:eastAsia="Calibri" w:hAnsi="Times New Roman"/>
          <w:szCs w:val="22"/>
        </w:rPr>
        <w:t>eur s medziročným nárastom o 2</w:t>
      </w:r>
      <w:r w:rsidR="00307353" w:rsidRPr="0085799C">
        <w:rPr>
          <w:rFonts w:ascii="Times New Roman" w:eastAsia="Calibri" w:hAnsi="Times New Roman"/>
          <w:szCs w:val="22"/>
        </w:rPr>
        <w:t> 936 892</w:t>
      </w:r>
      <w:r w:rsidR="00856D5A">
        <w:rPr>
          <w:rFonts w:ascii="Times New Roman" w:eastAsia="Calibri" w:hAnsi="Times New Roman"/>
          <w:szCs w:val="22"/>
        </w:rPr>
        <w:t> </w:t>
      </w:r>
      <w:r w:rsidR="00307353" w:rsidRPr="0085799C">
        <w:rPr>
          <w:rFonts w:ascii="Times New Roman" w:eastAsia="Calibri" w:hAnsi="Times New Roman"/>
          <w:szCs w:val="22"/>
        </w:rPr>
        <w:t>tis.</w:t>
      </w:r>
      <w:r w:rsidR="00856D5A">
        <w:rPr>
          <w:rFonts w:ascii="Times New Roman" w:eastAsia="Calibri" w:hAnsi="Times New Roman"/>
          <w:szCs w:val="22"/>
        </w:rPr>
        <w:t> </w:t>
      </w:r>
      <w:r w:rsidR="00416328" w:rsidRPr="0085799C">
        <w:rPr>
          <w:rFonts w:ascii="Times New Roman" w:eastAsia="Calibri" w:hAnsi="Times New Roman"/>
          <w:szCs w:val="22"/>
        </w:rPr>
        <w:t>e</w:t>
      </w:r>
      <w:r w:rsidRPr="0085799C">
        <w:rPr>
          <w:rFonts w:ascii="Times New Roman" w:eastAsia="Calibri" w:hAnsi="Times New Roman"/>
          <w:szCs w:val="22"/>
        </w:rPr>
        <w:t>ur</w:t>
      </w:r>
      <w:r w:rsidR="00416328" w:rsidRPr="0085799C">
        <w:rPr>
          <w:rFonts w:ascii="Times New Roman" w:eastAsia="Calibri" w:hAnsi="Times New Roman"/>
          <w:szCs w:val="22"/>
        </w:rPr>
        <w:t xml:space="preserve">, </w:t>
      </w:r>
      <w:r w:rsidRPr="0085799C">
        <w:rPr>
          <w:rFonts w:ascii="Times New Roman" w:eastAsia="Calibri" w:hAnsi="Times New Roman"/>
          <w:szCs w:val="22"/>
        </w:rPr>
        <w:t xml:space="preserve">hodnota </w:t>
      </w:r>
      <w:r w:rsidR="00416328" w:rsidRPr="0085799C">
        <w:rPr>
          <w:rFonts w:ascii="Times New Roman" w:eastAsia="Calibri" w:hAnsi="Times New Roman"/>
          <w:szCs w:val="22"/>
        </w:rPr>
        <w:t>krátkodobého</w:t>
      </w:r>
      <w:r w:rsidRPr="0085799C">
        <w:rPr>
          <w:rFonts w:ascii="Times New Roman" w:eastAsia="Calibri" w:hAnsi="Times New Roman"/>
          <w:szCs w:val="22"/>
        </w:rPr>
        <w:t xml:space="preserve"> majetku bola v hodnote </w:t>
      </w:r>
      <w:r w:rsidR="00416328" w:rsidRPr="0085799C">
        <w:rPr>
          <w:rFonts w:ascii="Times New Roman" w:eastAsia="Calibri" w:hAnsi="Times New Roman"/>
          <w:szCs w:val="22"/>
        </w:rPr>
        <w:t>20</w:t>
      </w:r>
      <w:r w:rsidR="00971B73" w:rsidRPr="0085799C">
        <w:rPr>
          <w:rFonts w:ascii="Times New Roman" w:eastAsia="Calibri" w:hAnsi="Times New Roman"/>
          <w:szCs w:val="22"/>
        </w:rPr>
        <w:t> 984 264</w:t>
      </w:r>
      <w:r w:rsidR="00856D5A">
        <w:rPr>
          <w:rFonts w:ascii="Times New Roman" w:eastAsia="Calibri" w:hAnsi="Times New Roman"/>
          <w:szCs w:val="22"/>
        </w:rPr>
        <w:t> </w:t>
      </w:r>
      <w:r w:rsidR="00971B73" w:rsidRPr="0085799C">
        <w:rPr>
          <w:rFonts w:ascii="Times New Roman" w:eastAsia="Calibri" w:hAnsi="Times New Roman"/>
          <w:szCs w:val="22"/>
        </w:rPr>
        <w:t>tis.</w:t>
      </w:r>
      <w:r w:rsidR="00856D5A">
        <w:rPr>
          <w:rFonts w:ascii="Times New Roman" w:eastAsia="Calibri" w:hAnsi="Times New Roman"/>
          <w:szCs w:val="22"/>
        </w:rPr>
        <w:t> </w:t>
      </w:r>
      <w:r w:rsidRPr="0085799C">
        <w:rPr>
          <w:rFonts w:ascii="Times New Roman" w:eastAsia="Calibri" w:hAnsi="Times New Roman"/>
          <w:szCs w:val="22"/>
        </w:rPr>
        <w:t>eur, čo predstavuje medziročný nárast o</w:t>
      </w:r>
      <w:r w:rsidR="00971B73" w:rsidRPr="0085799C">
        <w:rPr>
          <w:rFonts w:ascii="Times New Roman" w:eastAsia="Calibri" w:hAnsi="Times New Roman"/>
          <w:szCs w:val="22"/>
        </w:rPr>
        <w:t> 1</w:t>
      </w:r>
      <w:r w:rsidR="00F12A17" w:rsidRPr="0085799C">
        <w:rPr>
          <w:rFonts w:ascii="Times New Roman" w:eastAsia="Calibri" w:hAnsi="Times New Roman"/>
          <w:szCs w:val="22"/>
        </w:rPr>
        <w:t> 296 723</w:t>
      </w:r>
      <w:r w:rsidR="00856D5A">
        <w:rPr>
          <w:rFonts w:ascii="Times New Roman" w:eastAsia="Calibri" w:hAnsi="Times New Roman"/>
          <w:szCs w:val="22"/>
        </w:rPr>
        <w:t> </w:t>
      </w:r>
      <w:r w:rsidR="00F12A17" w:rsidRPr="0085799C">
        <w:rPr>
          <w:rFonts w:ascii="Times New Roman" w:eastAsia="Calibri" w:hAnsi="Times New Roman"/>
          <w:szCs w:val="22"/>
        </w:rPr>
        <w:t>tis.</w:t>
      </w:r>
      <w:r w:rsidR="00856D5A">
        <w:rPr>
          <w:rFonts w:ascii="Times New Roman" w:eastAsia="Calibri" w:hAnsi="Times New Roman"/>
          <w:szCs w:val="22"/>
        </w:rPr>
        <w:t> </w:t>
      </w:r>
      <w:r w:rsidRPr="0085799C">
        <w:rPr>
          <w:rFonts w:ascii="Times New Roman" w:eastAsia="Calibri" w:hAnsi="Times New Roman"/>
          <w:szCs w:val="22"/>
        </w:rPr>
        <w:t>eur</w:t>
      </w:r>
      <w:r w:rsidR="00834AAD" w:rsidRPr="0085799C">
        <w:rPr>
          <w:rFonts w:ascii="Times New Roman" w:eastAsia="Calibri" w:hAnsi="Times New Roman"/>
          <w:szCs w:val="22"/>
        </w:rPr>
        <w:t xml:space="preserve"> a</w:t>
      </w:r>
      <w:r w:rsidR="00A02729">
        <w:rPr>
          <w:rFonts w:ascii="Times New Roman" w:eastAsia="Calibri" w:hAnsi="Times New Roman"/>
          <w:szCs w:val="22"/>
        </w:rPr>
        <w:t> časové rozlíšenie na strane aktív bolo</w:t>
      </w:r>
      <w:r w:rsidRPr="0085799C">
        <w:rPr>
          <w:rFonts w:ascii="Times New Roman" w:eastAsia="Calibri" w:hAnsi="Times New Roman"/>
          <w:szCs w:val="22"/>
        </w:rPr>
        <w:t xml:space="preserve"> v hodnote 1</w:t>
      </w:r>
      <w:r w:rsidR="005B44E4" w:rsidRPr="0085799C">
        <w:rPr>
          <w:rFonts w:ascii="Times New Roman" w:eastAsia="Calibri" w:hAnsi="Times New Roman"/>
          <w:szCs w:val="22"/>
        </w:rPr>
        <w:t> </w:t>
      </w:r>
      <w:r w:rsidR="00834AAD" w:rsidRPr="0085799C">
        <w:rPr>
          <w:rFonts w:ascii="Times New Roman" w:eastAsia="Calibri" w:hAnsi="Times New Roman"/>
          <w:szCs w:val="22"/>
        </w:rPr>
        <w:t>901</w:t>
      </w:r>
      <w:r w:rsidR="005B44E4" w:rsidRPr="0085799C">
        <w:rPr>
          <w:rFonts w:ascii="Times New Roman" w:eastAsia="Calibri" w:hAnsi="Times New Roman"/>
          <w:szCs w:val="22"/>
        </w:rPr>
        <w:t> 340</w:t>
      </w:r>
      <w:r w:rsidR="00856D5A">
        <w:rPr>
          <w:rFonts w:ascii="Times New Roman" w:eastAsia="Calibri" w:hAnsi="Times New Roman"/>
          <w:szCs w:val="22"/>
        </w:rPr>
        <w:t> </w:t>
      </w:r>
      <w:r w:rsidR="005B44E4" w:rsidRPr="0085799C">
        <w:rPr>
          <w:rFonts w:ascii="Times New Roman" w:eastAsia="Calibri" w:hAnsi="Times New Roman"/>
          <w:szCs w:val="22"/>
        </w:rPr>
        <w:t>tis.</w:t>
      </w:r>
      <w:r w:rsidR="00856D5A">
        <w:rPr>
          <w:rFonts w:ascii="Times New Roman" w:eastAsia="Calibri" w:hAnsi="Times New Roman"/>
          <w:szCs w:val="22"/>
        </w:rPr>
        <w:t> </w:t>
      </w:r>
      <w:r w:rsidRPr="0085799C">
        <w:rPr>
          <w:rFonts w:ascii="Times New Roman" w:eastAsia="Calibri" w:hAnsi="Times New Roman"/>
          <w:szCs w:val="22"/>
        </w:rPr>
        <w:t>eur s medziročným nárastom o 6</w:t>
      </w:r>
      <w:r w:rsidR="005B44E4" w:rsidRPr="0085799C">
        <w:rPr>
          <w:rFonts w:ascii="Times New Roman" w:eastAsia="Calibri" w:hAnsi="Times New Roman"/>
          <w:szCs w:val="22"/>
        </w:rPr>
        <w:t>41 639</w:t>
      </w:r>
      <w:r w:rsidR="00856D5A">
        <w:rPr>
          <w:rFonts w:ascii="Times New Roman" w:eastAsia="Calibri" w:hAnsi="Times New Roman"/>
          <w:szCs w:val="22"/>
        </w:rPr>
        <w:t> </w:t>
      </w:r>
      <w:r w:rsidR="005B44E4" w:rsidRPr="0085799C">
        <w:rPr>
          <w:rFonts w:ascii="Times New Roman" w:eastAsia="Calibri" w:hAnsi="Times New Roman"/>
          <w:szCs w:val="22"/>
        </w:rPr>
        <w:t>tis.</w:t>
      </w:r>
      <w:r w:rsidR="00856D5A">
        <w:rPr>
          <w:rFonts w:ascii="Times New Roman" w:eastAsia="Calibri" w:hAnsi="Times New Roman"/>
          <w:szCs w:val="22"/>
        </w:rPr>
        <w:t> </w:t>
      </w:r>
      <w:r w:rsidRPr="0085799C">
        <w:rPr>
          <w:rFonts w:ascii="Times New Roman" w:eastAsia="Calibri" w:hAnsi="Times New Roman"/>
          <w:szCs w:val="22"/>
        </w:rPr>
        <w:t>eur.</w:t>
      </w:r>
    </w:p>
    <w:p w14:paraId="52B42943" w14:textId="7FDCC1E6" w:rsidR="00647542" w:rsidRPr="0085799C" w:rsidRDefault="784630BC" w:rsidP="00647542">
      <w:pPr>
        <w:spacing w:after="120" w:line="240" w:lineRule="auto"/>
        <w:jc w:val="both"/>
        <w:rPr>
          <w:rFonts w:ascii="Times New Roman" w:hAnsi="Times New Roman"/>
          <w:szCs w:val="22"/>
          <w:lang w:eastAsia="sk-SK"/>
        </w:rPr>
      </w:pPr>
      <w:r w:rsidRPr="0085799C">
        <w:rPr>
          <w:rFonts w:ascii="Times New Roman" w:hAnsi="Times New Roman"/>
          <w:lang w:eastAsia="sk-SK"/>
        </w:rPr>
        <w:t>V medziročnom porovnaní vzrástol najmä dlhodobý hmotný majetok o </w:t>
      </w:r>
      <w:r w:rsidR="00222C30" w:rsidRPr="0085799C">
        <w:rPr>
          <w:rFonts w:ascii="Times New Roman" w:hAnsi="Times New Roman"/>
          <w:lang w:eastAsia="sk-SK"/>
        </w:rPr>
        <w:t>2</w:t>
      </w:r>
      <w:r w:rsidR="00150D57" w:rsidRPr="0085799C">
        <w:rPr>
          <w:rFonts w:ascii="Times New Roman" w:hAnsi="Times New Roman"/>
          <w:lang w:eastAsia="sk-SK"/>
        </w:rPr>
        <w:t> 393 903</w:t>
      </w:r>
      <w:r w:rsidR="00856D5A">
        <w:rPr>
          <w:rFonts w:ascii="Times New Roman" w:eastAsia="Calibri" w:hAnsi="Times New Roman"/>
          <w:szCs w:val="22"/>
        </w:rPr>
        <w:t> </w:t>
      </w:r>
      <w:r w:rsidR="00150D57" w:rsidRPr="0085799C">
        <w:rPr>
          <w:rFonts w:ascii="Times New Roman" w:hAnsi="Times New Roman"/>
          <w:lang w:eastAsia="sk-SK"/>
        </w:rPr>
        <w:t>tis</w:t>
      </w:r>
      <w:r w:rsidRPr="0085799C">
        <w:rPr>
          <w:rFonts w:ascii="Times New Roman" w:hAnsi="Times New Roman"/>
          <w:lang w:eastAsia="sk-SK"/>
        </w:rPr>
        <w:t>.</w:t>
      </w:r>
      <w:r w:rsidR="00856D5A">
        <w:rPr>
          <w:rFonts w:ascii="Times New Roman" w:eastAsia="Calibri" w:hAnsi="Times New Roman"/>
          <w:szCs w:val="22"/>
        </w:rPr>
        <w:t> </w:t>
      </w:r>
      <w:r w:rsidRPr="0085799C">
        <w:rPr>
          <w:rFonts w:ascii="Times New Roman" w:hAnsi="Times New Roman"/>
          <w:lang w:eastAsia="sk-SK"/>
        </w:rPr>
        <w:t>eur</w:t>
      </w:r>
      <w:r w:rsidR="00225A20" w:rsidRPr="0085799C">
        <w:rPr>
          <w:rFonts w:ascii="Times New Roman" w:hAnsi="Times New Roman"/>
          <w:lang w:eastAsia="sk-SK"/>
        </w:rPr>
        <w:t>,</w:t>
      </w:r>
      <w:r w:rsidRPr="0085799C">
        <w:rPr>
          <w:rFonts w:ascii="Times New Roman" w:hAnsi="Times New Roman"/>
          <w:lang w:eastAsia="sk-SK"/>
        </w:rPr>
        <w:t xml:space="preserve"> </w:t>
      </w:r>
      <w:r w:rsidR="00F01330" w:rsidRPr="0085799C">
        <w:rPr>
          <w:rFonts w:ascii="Times New Roman" w:hAnsi="Times New Roman"/>
          <w:lang w:eastAsia="sk-SK"/>
        </w:rPr>
        <w:t> krátkodobé pohľadá</w:t>
      </w:r>
      <w:r w:rsidR="00BA77F8" w:rsidRPr="0085799C">
        <w:rPr>
          <w:rFonts w:ascii="Times New Roman" w:hAnsi="Times New Roman"/>
          <w:lang w:eastAsia="sk-SK"/>
        </w:rPr>
        <w:t>v</w:t>
      </w:r>
      <w:r w:rsidR="00F01330" w:rsidRPr="0085799C">
        <w:rPr>
          <w:rFonts w:ascii="Times New Roman" w:hAnsi="Times New Roman"/>
          <w:lang w:eastAsia="sk-SK"/>
        </w:rPr>
        <w:t>ky o</w:t>
      </w:r>
      <w:r w:rsidR="00BA77F8" w:rsidRPr="0085799C">
        <w:rPr>
          <w:rFonts w:ascii="Times New Roman" w:hAnsi="Times New Roman"/>
          <w:lang w:eastAsia="sk-SK"/>
        </w:rPr>
        <w:t> 1 422 728</w:t>
      </w:r>
      <w:r w:rsidR="00856D5A">
        <w:rPr>
          <w:rFonts w:ascii="Times New Roman" w:eastAsia="Calibri" w:hAnsi="Times New Roman"/>
          <w:szCs w:val="22"/>
        </w:rPr>
        <w:t> </w:t>
      </w:r>
      <w:r w:rsidR="00BA77F8" w:rsidRPr="0085799C">
        <w:rPr>
          <w:rFonts w:ascii="Times New Roman" w:hAnsi="Times New Roman"/>
          <w:lang w:eastAsia="sk-SK"/>
        </w:rPr>
        <w:t>tis.</w:t>
      </w:r>
      <w:r w:rsidR="00856D5A">
        <w:rPr>
          <w:rFonts w:ascii="Times New Roman" w:eastAsia="Calibri" w:hAnsi="Times New Roman"/>
          <w:szCs w:val="22"/>
        </w:rPr>
        <w:t> </w:t>
      </w:r>
      <w:r w:rsidR="00BA77F8" w:rsidRPr="0085799C">
        <w:rPr>
          <w:rFonts w:ascii="Times New Roman" w:hAnsi="Times New Roman"/>
          <w:lang w:eastAsia="sk-SK"/>
        </w:rPr>
        <w:t>eur</w:t>
      </w:r>
      <w:r w:rsidR="00225A20" w:rsidRPr="0085799C">
        <w:rPr>
          <w:rFonts w:ascii="Times New Roman" w:hAnsi="Times New Roman"/>
          <w:lang w:eastAsia="sk-SK"/>
        </w:rPr>
        <w:t>, časové rozlíšenie o 641 639</w:t>
      </w:r>
      <w:r w:rsidR="00856D5A">
        <w:rPr>
          <w:rFonts w:ascii="Times New Roman" w:eastAsia="Calibri" w:hAnsi="Times New Roman"/>
          <w:szCs w:val="22"/>
        </w:rPr>
        <w:t> </w:t>
      </w:r>
      <w:r w:rsidR="00225A20" w:rsidRPr="0085799C">
        <w:rPr>
          <w:rFonts w:ascii="Times New Roman" w:hAnsi="Times New Roman"/>
          <w:lang w:eastAsia="sk-SK"/>
        </w:rPr>
        <w:t>tis.</w:t>
      </w:r>
      <w:r w:rsidR="00856D5A">
        <w:rPr>
          <w:rFonts w:ascii="Times New Roman" w:eastAsia="Calibri" w:hAnsi="Times New Roman"/>
          <w:szCs w:val="22"/>
        </w:rPr>
        <w:t> </w:t>
      </w:r>
      <w:r w:rsidR="00225A20" w:rsidRPr="0085799C">
        <w:rPr>
          <w:rFonts w:ascii="Times New Roman" w:hAnsi="Times New Roman"/>
          <w:lang w:eastAsia="sk-SK"/>
        </w:rPr>
        <w:t>eur a</w:t>
      </w:r>
      <w:r w:rsidR="00F01330" w:rsidRPr="0085799C">
        <w:rPr>
          <w:rFonts w:ascii="Times New Roman" w:hAnsi="Times New Roman"/>
          <w:lang w:eastAsia="sk-SK"/>
        </w:rPr>
        <w:t xml:space="preserve"> </w:t>
      </w:r>
      <w:r w:rsidRPr="0085799C">
        <w:rPr>
          <w:rFonts w:ascii="Times New Roman" w:hAnsi="Times New Roman"/>
          <w:lang w:eastAsia="sk-SK"/>
        </w:rPr>
        <w:t>dlhodobý finančný majetok o</w:t>
      </w:r>
      <w:r w:rsidR="009D4619">
        <w:rPr>
          <w:rFonts w:ascii="Times New Roman" w:hAnsi="Times New Roman"/>
          <w:lang w:eastAsia="sk-SK"/>
        </w:rPr>
        <w:t> </w:t>
      </w:r>
      <w:r w:rsidR="00755278" w:rsidRPr="0085799C">
        <w:rPr>
          <w:rFonts w:ascii="Times New Roman" w:hAnsi="Times New Roman"/>
          <w:lang w:eastAsia="sk-SK"/>
        </w:rPr>
        <w:t>420</w:t>
      </w:r>
      <w:r w:rsidR="009D4619">
        <w:rPr>
          <w:rFonts w:ascii="Times New Roman" w:hAnsi="Times New Roman"/>
          <w:lang w:eastAsia="sk-SK"/>
        </w:rPr>
        <w:t> </w:t>
      </w:r>
      <w:r w:rsidR="00F01330" w:rsidRPr="0085799C">
        <w:rPr>
          <w:rFonts w:ascii="Times New Roman" w:hAnsi="Times New Roman"/>
          <w:lang w:eastAsia="sk-SK"/>
        </w:rPr>
        <w:t>797</w:t>
      </w:r>
      <w:r w:rsidRPr="0085799C">
        <w:rPr>
          <w:rFonts w:ascii="Times New Roman" w:hAnsi="Times New Roman"/>
          <w:lang w:eastAsia="sk-SK"/>
        </w:rPr>
        <w:t> tis.</w:t>
      </w:r>
      <w:r w:rsidR="00856D5A">
        <w:rPr>
          <w:rFonts w:ascii="Times New Roman" w:eastAsia="Calibri" w:hAnsi="Times New Roman"/>
          <w:szCs w:val="22"/>
        </w:rPr>
        <w:t> </w:t>
      </w:r>
      <w:r w:rsidRPr="0085799C">
        <w:rPr>
          <w:rFonts w:ascii="Times New Roman" w:hAnsi="Times New Roman"/>
          <w:lang w:eastAsia="sk-SK"/>
        </w:rPr>
        <w:t>eur. Naopak, k medziročnému poklesu došlo najmä na </w:t>
      </w:r>
      <w:r w:rsidR="00A91649" w:rsidRPr="0085799C">
        <w:rPr>
          <w:rFonts w:ascii="Times New Roman" w:hAnsi="Times New Roman"/>
          <w:lang w:eastAsia="sk-SK"/>
        </w:rPr>
        <w:t>položke dlhodobého nehmotného majetku o</w:t>
      </w:r>
      <w:r w:rsidR="00856D5A">
        <w:rPr>
          <w:rFonts w:ascii="Times New Roman" w:hAnsi="Times New Roman"/>
          <w:lang w:eastAsia="sk-SK"/>
        </w:rPr>
        <w:t xml:space="preserve"> </w:t>
      </w:r>
      <w:r w:rsidR="000F27FF" w:rsidRPr="0085799C">
        <w:rPr>
          <w:rFonts w:ascii="Times New Roman" w:hAnsi="Times New Roman"/>
          <w:lang w:eastAsia="sk-SK"/>
        </w:rPr>
        <w:t>10 192 tis.</w:t>
      </w:r>
      <w:r w:rsidR="00856D5A">
        <w:rPr>
          <w:rFonts w:ascii="Times New Roman" w:eastAsia="Calibri" w:hAnsi="Times New Roman"/>
          <w:szCs w:val="22"/>
        </w:rPr>
        <w:t> </w:t>
      </w:r>
      <w:r w:rsidR="000F27FF" w:rsidRPr="0085799C">
        <w:rPr>
          <w:rFonts w:ascii="Times New Roman" w:hAnsi="Times New Roman"/>
          <w:lang w:eastAsia="sk-SK"/>
        </w:rPr>
        <w:t xml:space="preserve">eur a </w:t>
      </w:r>
      <w:r w:rsidRPr="0085799C">
        <w:rPr>
          <w:rFonts w:ascii="Times New Roman" w:hAnsi="Times New Roman"/>
          <w:lang w:eastAsia="sk-SK"/>
        </w:rPr>
        <w:t>zásob o </w:t>
      </w:r>
      <w:r w:rsidR="00225A20" w:rsidRPr="0085799C">
        <w:rPr>
          <w:rFonts w:ascii="Times New Roman" w:hAnsi="Times New Roman"/>
          <w:lang w:eastAsia="sk-SK"/>
        </w:rPr>
        <w:t>136 798</w:t>
      </w:r>
      <w:r w:rsidRPr="0085799C">
        <w:rPr>
          <w:rFonts w:ascii="Times New Roman" w:hAnsi="Times New Roman"/>
          <w:lang w:eastAsia="sk-SK"/>
        </w:rPr>
        <w:t> tis. eur.</w:t>
      </w:r>
    </w:p>
    <w:p w14:paraId="7A843016" w14:textId="77777777" w:rsidR="00647542" w:rsidRDefault="00647542" w:rsidP="005924C1">
      <w:pPr>
        <w:spacing w:after="120" w:line="240" w:lineRule="auto"/>
        <w:jc w:val="both"/>
        <w:rPr>
          <w:rFonts w:ascii="Times New Roman" w:hAnsi="Times New Roman"/>
          <w:b/>
          <w:szCs w:val="22"/>
          <w:lang w:eastAsia="sk-SK"/>
        </w:rPr>
      </w:pPr>
      <w:r w:rsidRPr="00907622">
        <w:rPr>
          <w:rFonts w:ascii="Times New Roman" w:hAnsi="Times New Roman"/>
          <w:b/>
          <w:szCs w:val="22"/>
          <w:lang w:eastAsia="sk-SK"/>
        </w:rPr>
        <w:t xml:space="preserve">Pri nasledovnom podrobnejšom opise jednotlivých položiek majetku je dôležité vnímať prírastky a úbytky ako celkovú zmenu medzi dvomi obdobiami. Celkový prírastok však môže obsahovať aj zníženie hodnoty danej položky majetku, pričom pri opise konkrétnych jednotiek súhrnného celku je tento prístup v texte použitý primerane na </w:t>
      </w:r>
      <w:r w:rsidRPr="00C16710">
        <w:rPr>
          <w:rFonts w:ascii="Times New Roman" w:hAnsi="Times New Roman"/>
          <w:b/>
          <w:szCs w:val="22"/>
          <w:lang w:eastAsia="sk-SK"/>
        </w:rPr>
        <w:t>základe dostupnosti údajov.</w:t>
      </w:r>
      <w:r w:rsidRPr="0085799C">
        <w:rPr>
          <w:rFonts w:ascii="Times New Roman" w:hAnsi="Times New Roman"/>
          <w:b/>
          <w:szCs w:val="22"/>
          <w:lang w:eastAsia="sk-SK"/>
        </w:rPr>
        <w:t xml:space="preserve"> Prípadné číselné rozdiely v tabuľkách sú spôsobené zaokrúhľovaním.</w:t>
      </w:r>
    </w:p>
    <w:p w14:paraId="21FBF5A1" w14:textId="327E6002" w:rsidR="009872A1" w:rsidRDefault="009872A1" w:rsidP="0085799C">
      <w:pPr>
        <w:spacing w:after="120" w:line="240" w:lineRule="auto"/>
        <w:rPr>
          <w:rFonts w:ascii="Times New Roman" w:eastAsiaTheme="majorEastAsia" w:hAnsi="Times New Roman" w:cstheme="majorBidi"/>
          <w:b/>
          <w:szCs w:val="28"/>
        </w:rPr>
      </w:pPr>
      <w:bookmarkStart w:id="2" w:name="_Ref180529280"/>
    </w:p>
    <w:p w14:paraId="3C35C017" w14:textId="0F0DDDA0" w:rsidR="00647542" w:rsidRPr="00DE3059" w:rsidRDefault="00647542" w:rsidP="00647542">
      <w:pPr>
        <w:pStyle w:val="Nadpis3"/>
      </w:pPr>
      <w:r w:rsidRPr="00DE3059">
        <w:t>A. Dlhodobý majetok</w:t>
      </w:r>
      <w:bookmarkEnd w:id="2"/>
    </w:p>
    <w:p w14:paraId="7517152F" w14:textId="77777777" w:rsidR="00647542" w:rsidRPr="00EA7933" w:rsidRDefault="00647542" w:rsidP="0085799C">
      <w:pPr>
        <w:pStyle w:val="Nadpis3"/>
      </w:pPr>
      <w:r w:rsidRPr="00EA7933">
        <w:t>A.I. Nehmotný majetok</w:t>
      </w:r>
    </w:p>
    <w:p w14:paraId="6E71186B" w14:textId="3D83CB15" w:rsidR="00647542" w:rsidRPr="0085799C" w:rsidRDefault="09F547BA" w:rsidP="40D3B8AC">
      <w:pPr>
        <w:tabs>
          <w:tab w:val="left" w:pos="0"/>
          <w:tab w:val="left" w:pos="0"/>
        </w:tabs>
        <w:spacing w:after="120"/>
        <w:jc w:val="both"/>
        <w:rPr>
          <w:rFonts w:ascii="Times New Roman" w:eastAsia="Calibri" w:hAnsi="Times New Roman"/>
          <w:szCs w:val="22"/>
        </w:rPr>
      </w:pPr>
      <w:r w:rsidRPr="0085799C">
        <w:rPr>
          <w:rFonts w:ascii="Times New Roman" w:eastAsia="Calibri" w:hAnsi="Times New Roman"/>
          <w:szCs w:val="22"/>
          <w:u w:val="single"/>
        </w:rPr>
        <w:t>Dlhodobý nehmotný majetok</w:t>
      </w:r>
      <w:r w:rsidRPr="0085799C">
        <w:rPr>
          <w:rFonts w:ascii="Times New Roman" w:eastAsia="Calibri" w:hAnsi="Times New Roman"/>
          <w:szCs w:val="22"/>
        </w:rPr>
        <w:t xml:space="preserve"> </w:t>
      </w:r>
      <w:r w:rsidR="001F22AC" w:rsidRPr="0085799C">
        <w:rPr>
          <w:rFonts w:ascii="Times New Roman" w:eastAsia="Calibri" w:hAnsi="Times New Roman"/>
          <w:szCs w:val="22"/>
        </w:rPr>
        <w:t>súhrnného</w:t>
      </w:r>
      <w:r w:rsidRPr="0085799C">
        <w:rPr>
          <w:rFonts w:ascii="Times New Roman" w:eastAsia="Calibri" w:hAnsi="Times New Roman"/>
          <w:szCs w:val="22"/>
        </w:rPr>
        <w:t xml:space="preserve"> celku dosiahol k 31. decembru 2024 netto hodnotu </w:t>
      </w:r>
      <w:r w:rsidR="00CC7BB9" w:rsidRPr="0085799C">
        <w:rPr>
          <w:rFonts w:ascii="Times New Roman" w:eastAsia="Calibri" w:hAnsi="Times New Roman"/>
          <w:szCs w:val="22"/>
        </w:rPr>
        <w:t>761 899</w:t>
      </w:r>
      <w:r w:rsidR="001F22AC" w:rsidRPr="0085799C">
        <w:rPr>
          <w:rFonts w:ascii="Times New Roman" w:eastAsia="Calibri" w:hAnsi="Times New Roman"/>
          <w:szCs w:val="22"/>
        </w:rPr>
        <w:t xml:space="preserve"> tis.</w:t>
      </w:r>
      <w:r w:rsidRPr="0085799C">
        <w:rPr>
          <w:rFonts w:ascii="Times New Roman" w:eastAsia="Calibri" w:hAnsi="Times New Roman"/>
          <w:szCs w:val="22"/>
        </w:rPr>
        <w:t xml:space="preserve"> eur (2023: </w:t>
      </w:r>
      <w:r w:rsidR="00CC7BB9" w:rsidRPr="0085799C">
        <w:rPr>
          <w:rFonts w:ascii="Times New Roman" w:eastAsia="Calibri" w:hAnsi="Times New Roman"/>
          <w:szCs w:val="22"/>
        </w:rPr>
        <w:t xml:space="preserve">772 </w:t>
      </w:r>
      <w:r w:rsidR="001A051C" w:rsidRPr="0085799C">
        <w:rPr>
          <w:rFonts w:ascii="Times New Roman" w:eastAsia="Calibri" w:hAnsi="Times New Roman"/>
          <w:szCs w:val="22"/>
        </w:rPr>
        <w:t>091</w:t>
      </w:r>
      <w:r w:rsidR="001F22AC" w:rsidRPr="0085799C">
        <w:rPr>
          <w:rFonts w:ascii="Times New Roman" w:eastAsia="Calibri" w:hAnsi="Times New Roman"/>
          <w:szCs w:val="22"/>
        </w:rPr>
        <w:t xml:space="preserve"> tis.</w:t>
      </w:r>
      <w:r w:rsidRPr="0085799C">
        <w:rPr>
          <w:rFonts w:ascii="Times New Roman" w:eastAsia="Calibri" w:hAnsi="Times New Roman"/>
          <w:szCs w:val="22"/>
        </w:rPr>
        <w:t xml:space="preserve"> eur). Najväčší podiel tvoril softvér (</w:t>
      </w:r>
      <w:r w:rsidR="001A051C" w:rsidRPr="0085799C">
        <w:rPr>
          <w:rFonts w:ascii="Times New Roman" w:eastAsia="Calibri" w:hAnsi="Times New Roman"/>
          <w:szCs w:val="22"/>
        </w:rPr>
        <w:t>570 281</w:t>
      </w:r>
      <w:r w:rsidR="00CC7BB9" w:rsidRPr="0085799C">
        <w:rPr>
          <w:rFonts w:ascii="Times New Roman" w:eastAsia="Calibri" w:hAnsi="Times New Roman"/>
          <w:szCs w:val="22"/>
        </w:rPr>
        <w:t xml:space="preserve"> tis.</w:t>
      </w:r>
      <w:r w:rsidRPr="0085799C">
        <w:rPr>
          <w:rFonts w:ascii="Times New Roman" w:eastAsia="Calibri" w:hAnsi="Times New Roman"/>
          <w:szCs w:val="22"/>
        </w:rPr>
        <w:t xml:space="preserve"> eur), obstaranie dlhodobého nehmotného majetku (</w:t>
      </w:r>
      <w:r w:rsidR="001A051C" w:rsidRPr="0085799C">
        <w:rPr>
          <w:rFonts w:ascii="Times New Roman" w:eastAsia="Calibri" w:hAnsi="Times New Roman"/>
          <w:szCs w:val="22"/>
        </w:rPr>
        <w:t>106</w:t>
      </w:r>
      <w:r w:rsidR="00740FAB" w:rsidRPr="0085799C">
        <w:rPr>
          <w:rFonts w:ascii="Times New Roman" w:eastAsia="Calibri" w:hAnsi="Times New Roman"/>
          <w:szCs w:val="22"/>
        </w:rPr>
        <w:t> 556 tis.</w:t>
      </w:r>
      <w:r w:rsidRPr="0085799C">
        <w:rPr>
          <w:rFonts w:ascii="Times New Roman" w:eastAsia="Calibri" w:hAnsi="Times New Roman"/>
          <w:szCs w:val="22"/>
        </w:rPr>
        <w:t xml:space="preserve"> eur), ktorý bol tvorený najmä z budúceho softvérového vybavenia rozpočtových organizácií</w:t>
      </w:r>
      <w:r w:rsidR="005316CB" w:rsidRPr="0085799C">
        <w:rPr>
          <w:rFonts w:ascii="Times New Roman" w:eastAsia="Calibri" w:hAnsi="Times New Roman"/>
          <w:szCs w:val="22"/>
        </w:rPr>
        <w:t xml:space="preserve"> štátu</w:t>
      </w:r>
      <w:r w:rsidR="000158DD" w:rsidRPr="0085799C">
        <w:rPr>
          <w:rFonts w:ascii="Times New Roman" w:eastAsia="Calibri" w:hAnsi="Times New Roman"/>
          <w:szCs w:val="22"/>
        </w:rPr>
        <w:t>, ostatný dlhodobý nehmotný majetok (</w:t>
      </w:r>
      <w:r w:rsidR="00C022FA" w:rsidRPr="0085799C">
        <w:rPr>
          <w:rFonts w:ascii="Times New Roman" w:eastAsia="Calibri" w:hAnsi="Times New Roman"/>
          <w:szCs w:val="22"/>
        </w:rPr>
        <w:t>50 057 tis. eur)</w:t>
      </w:r>
      <w:r w:rsidRPr="0085799C">
        <w:rPr>
          <w:rFonts w:ascii="Times New Roman" w:eastAsia="Calibri" w:hAnsi="Times New Roman"/>
          <w:szCs w:val="22"/>
        </w:rPr>
        <w:t xml:space="preserve"> a oceniteľné práva (</w:t>
      </w:r>
      <w:r w:rsidR="007F1F6E" w:rsidRPr="0085799C">
        <w:rPr>
          <w:rFonts w:ascii="Times New Roman" w:eastAsia="Calibri" w:hAnsi="Times New Roman"/>
          <w:szCs w:val="22"/>
        </w:rPr>
        <w:t>35 005 tis.</w:t>
      </w:r>
      <w:r w:rsidRPr="0085799C">
        <w:rPr>
          <w:rFonts w:ascii="Times New Roman" w:eastAsia="Calibri" w:hAnsi="Times New Roman"/>
          <w:szCs w:val="22"/>
        </w:rPr>
        <w:t xml:space="preserve"> eur).</w:t>
      </w:r>
    </w:p>
    <w:p w14:paraId="48EA320B" w14:textId="55C45165" w:rsidR="09F547BA" w:rsidRPr="0085799C" w:rsidRDefault="09F547BA" w:rsidP="0085799C">
      <w:pPr>
        <w:tabs>
          <w:tab w:val="left" w:pos="0"/>
          <w:tab w:val="left" w:pos="0"/>
        </w:tabs>
        <w:spacing w:after="120"/>
        <w:jc w:val="both"/>
        <w:rPr>
          <w:rFonts w:ascii="Times New Roman" w:eastAsia="Calibri" w:hAnsi="Times New Roman"/>
          <w:szCs w:val="22"/>
        </w:rPr>
      </w:pPr>
      <w:r w:rsidRPr="0085799C">
        <w:rPr>
          <w:rFonts w:ascii="Times New Roman" w:eastAsia="Calibri" w:hAnsi="Times New Roman"/>
          <w:szCs w:val="22"/>
        </w:rPr>
        <w:t>Oproti roku 2023 sa znížila celková hodnota dlhodobého nehmotného majetku o</w:t>
      </w:r>
      <w:r w:rsidR="00C022FA" w:rsidRPr="0085799C">
        <w:rPr>
          <w:rFonts w:ascii="Times New Roman" w:eastAsia="Calibri" w:hAnsi="Times New Roman"/>
          <w:szCs w:val="22"/>
        </w:rPr>
        <w:t> 10 192 tis.</w:t>
      </w:r>
      <w:r w:rsidRPr="0085799C">
        <w:rPr>
          <w:rFonts w:ascii="Times New Roman" w:eastAsia="Calibri" w:hAnsi="Times New Roman"/>
          <w:szCs w:val="22"/>
        </w:rPr>
        <w:t xml:space="preserve"> eur, avšak zvýšila sa hodnota softvéru o 4</w:t>
      </w:r>
      <w:r w:rsidR="00847647" w:rsidRPr="0085799C">
        <w:rPr>
          <w:rFonts w:ascii="Times New Roman" w:eastAsia="Calibri" w:hAnsi="Times New Roman"/>
          <w:szCs w:val="22"/>
        </w:rPr>
        <w:t>4</w:t>
      </w:r>
      <w:r w:rsidR="00C022FA" w:rsidRPr="0085799C">
        <w:rPr>
          <w:rFonts w:ascii="Times New Roman" w:eastAsia="Calibri" w:hAnsi="Times New Roman"/>
          <w:szCs w:val="22"/>
        </w:rPr>
        <w:t> 797 tis.</w:t>
      </w:r>
      <w:r w:rsidRPr="0085799C">
        <w:rPr>
          <w:rFonts w:ascii="Times New Roman" w:eastAsia="Calibri" w:hAnsi="Times New Roman"/>
          <w:szCs w:val="22"/>
        </w:rPr>
        <w:t xml:space="preserve"> eur</w:t>
      </w:r>
      <w:r w:rsidR="00596303" w:rsidRPr="0085799C">
        <w:rPr>
          <w:rFonts w:ascii="Times New Roman" w:eastAsia="Calibri" w:hAnsi="Times New Roman"/>
          <w:szCs w:val="22"/>
        </w:rPr>
        <w:t xml:space="preserve"> a oceniteľn</w:t>
      </w:r>
      <w:r w:rsidR="00257495" w:rsidRPr="0085799C">
        <w:rPr>
          <w:rFonts w:ascii="Times New Roman" w:eastAsia="Calibri" w:hAnsi="Times New Roman"/>
          <w:szCs w:val="22"/>
        </w:rPr>
        <w:t>ých</w:t>
      </w:r>
      <w:r w:rsidR="00596303" w:rsidRPr="0085799C">
        <w:rPr>
          <w:rFonts w:ascii="Times New Roman" w:eastAsia="Calibri" w:hAnsi="Times New Roman"/>
          <w:szCs w:val="22"/>
        </w:rPr>
        <w:t xml:space="preserve"> práv o 519 tis. eur</w:t>
      </w:r>
      <w:r w:rsidRPr="0085799C">
        <w:rPr>
          <w:rFonts w:ascii="Times New Roman" w:eastAsia="Calibri" w:hAnsi="Times New Roman"/>
          <w:szCs w:val="22"/>
        </w:rPr>
        <w:t xml:space="preserve">. Pokles nastal v položkách obstaranie dlhodobého </w:t>
      </w:r>
      <w:r w:rsidR="000E0CCA" w:rsidRPr="0085799C">
        <w:rPr>
          <w:rFonts w:ascii="Times New Roman" w:eastAsia="Calibri" w:hAnsi="Times New Roman"/>
          <w:szCs w:val="22"/>
        </w:rPr>
        <w:t xml:space="preserve">nehmotného </w:t>
      </w:r>
      <w:r w:rsidRPr="0085799C">
        <w:rPr>
          <w:rFonts w:ascii="Times New Roman" w:eastAsia="Calibri" w:hAnsi="Times New Roman"/>
          <w:szCs w:val="22"/>
        </w:rPr>
        <w:t xml:space="preserve">majetku o hodnotu </w:t>
      </w:r>
      <w:r w:rsidR="000E0CCA" w:rsidRPr="0085799C">
        <w:rPr>
          <w:rFonts w:ascii="Times New Roman" w:eastAsia="Calibri" w:hAnsi="Times New Roman"/>
          <w:szCs w:val="22"/>
        </w:rPr>
        <w:t>53 027 tis.</w:t>
      </w:r>
      <w:r w:rsidRPr="0085799C">
        <w:rPr>
          <w:rFonts w:ascii="Times New Roman" w:eastAsia="Calibri" w:hAnsi="Times New Roman"/>
          <w:szCs w:val="22"/>
        </w:rPr>
        <w:t xml:space="preserve"> eur</w:t>
      </w:r>
      <w:r w:rsidR="000E6BA3" w:rsidRPr="0085799C">
        <w:rPr>
          <w:rFonts w:ascii="Times New Roman" w:eastAsia="Calibri" w:hAnsi="Times New Roman"/>
          <w:szCs w:val="22"/>
        </w:rPr>
        <w:t xml:space="preserve"> a v</w:t>
      </w:r>
      <w:r w:rsidRPr="0085799C">
        <w:rPr>
          <w:rFonts w:ascii="Times New Roman" w:eastAsia="Calibri" w:hAnsi="Times New Roman"/>
          <w:szCs w:val="22"/>
        </w:rPr>
        <w:t xml:space="preserve"> položk</w:t>
      </w:r>
      <w:r w:rsidR="005568F4" w:rsidRPr="0085799C">
        <w:rPr>
          <w:rFonts w:ascii="Times New Roman" w:eastAsia="Calibri" w:hAnsi="Times New Roman"/>
          <w:szCs w:val="22"/>
        </w:rPr>
        <w:t>e</w:t>
      </w:r>
      <w:r w:rsidRPr="0085799C">
        <w:rPr>
          <w:rFonts w:ascii="Times New Roman" w:eastAsia="Calibri" w:hAnsi="Times New Roman"/>
          <w:szCs w:val="22"/>
        </w:rPr>
        <w:t xml:space="preserve"> ostatného dlhodobého nehmotného majetku o sumu </w:t>
      </w:r>
      <w:r w:rsidR="005568F4" w:rsidRPr="0085799C">
        <w:rPr>
          <w:rFonts w:ascii="Times New Roman" w:eastAsia="Calibri" w:hAnsi="Times New Roman"/>
          <w:szCs w:val="22"/>
        </w:rPr>
        <w:t>2</w:t>
      </w:r>
      <w:r w:rsidR="00847647" w:rsidRPr="0085799C">
        <w:rPr>
          <w:rFonts w:ascii="Times New Roman" w:eastAsia="Calibri" w:hAnsi="Times New Roman"/>
          <w:szCs w:val="22"/>
        </w:rPr>
        <w:t> </w:t>
      </w:r>
      <w:r w:rsidR="005568F4" w:rsidRPr="0085799C">
        <w:rPr>
          <w:rFonts w:ascii="Times New Roman" w:eastAsia="Calibri" w:hAnsi="Times New Roman"/>
          <w:szCs w:val="22"/>
        </w:rPr>
        <w:t>48</w:t>
      </w:r>
      <w:r w:rsidR="00847647" w:rsidRPr="0085799C">
        <w:rPr>
          <w:rFonts w:ascii="Times New Roman" w:eastAsia="Calibri" w:hAnsi="Times New Roman"/>
          <w:szCs w:val="22"/>
        </w:rPr>
        <w:t>1 tis.</w:t>
      </w:r>
      <w:r w:rsidRPr="0085799C">
        <w:rPr>
          <w:rFonts w:ascii="Times New Roman" w:eastAsia="Calibri" w:hAnsi="Times New Roman"/>
          <w:szCs w:val="22"/>
        </w:rPr>
        <w:t xml:space="preserve"> eur.</w:t>
      </w:r>
    </w:p>
    <w:p w14:paraId="65DE4589" w14:textId="5BE2ED21" w:rsidR="009B749D" w:rsidRPr="0085799C" w:rsidRDefault="009B749D" w:rsidP="0085799C">
      <w:pPr>
        <w:spacing w:after="120" w:line="240" w:lineRule="auto"/>
        <w:rPr>
          <w:rFonts w:ascii="Times New Roman" w:eastAsiaTheme="majorEastAsia" w:hAnsi="Times New Roman"/>
          <w:b/>
          <w:sz w:val="18"/>
          <w:szCs w:val="18"/>
        </w:rPr>
      </w:pPr>
      <w:r w:rsidRPr="0085799C">
        <w:rPr>
          <w:rFonts w:ascii="Times New Roman" w:eastAsiaTheme="majorEastAsia" w:hAnsi="Times New Roman"/>
          <w:b/>
          <w:sz w:val="18"/>
          <w:szCs w:val="18"/>
        </w:rPr>
        <w:t>Tabuľka 3</w:t>
      </w:r>
    </w:p>
    <w:tbl>
      <w:tblPr>
        <w:tblW w:w="5000" w:type="pct"/>
        <w:jc w:val="center"/>
        <w:tblCellMar>
          <w:left w:w="70" w:type="dxa"/>
          <w:right w:w="70" w:type="dxa"/>
        </w:tblCellMar>
        <w:tblLook w:val="04A0" w:firstRow="1" w:lastRow="0" w:firstColumn="1" w:lastColumn="0" w:noHBand="0" w:noVBand="1"/>
      </w:tblPr>
      <w:tblGrid>
        <w:gridCol w:w="4379"/>
        <w:gridCol w:w="1564"/>
        <w:gridCol w:w="1564"/>
        <w:gridCol w:w="1564"/>
      </w:tblGrid>
      <w:tr w:rsidR="00611176" w:rsidRPr="00611176" w14:paraId="6A33713C" w14:textId="77777777" w:rsidTr="0085799C">
        <w:trPr>
          <w:trHeight w:val="227"/>
          <w:jc w:val="center"/>
        </w:trPr>
        <w:tc>
          <w:tcPr>
            <w:tcW w:w="2414" w:type="pct"/>
            <w:tcBorders>
              <w:top w:val="single" w:sz="4" w:space="0" w:color="auto"/>
              <w:left w:val="nil"/>
              <w:bottom w:val="single" w:sz="4" w:space="0" w:color="auto"/>
              <w:right w:val="nil"/>
            </w:tcBorders>
            <w:shd w:val="clear" w:color="000000" w:fill="F4B084"/>
            <w:noWrap/>
            <w:vAlign w:val="center"/>
            <w:hideMark/>
          </w:tcPr>
          <w:p w14:paraId="7FF95AE4" w14:textId="77777777" w:rsidR="00611176" w:rsidRPr="00611176" w:rsidRDefault="00611176" w:rsidP="00611176">
            <w:pPr>
              <w:spacing w:after="0" w:line="240" w:lineRule="auto"/>
              <w:rPr>
                <w:rFonts w:ascii="Times New Roman" w:hAnsi="Times New Roman"/>
                <w:b/>
                <w:bCs/>
                <w:color w:val="000000"/>
                <w:sz w:val="18"/>
                <w:szCs w:val="18"/>
                <w:lang w:eastAsia="sk-SK"/>
              </w:rPr>
            </w:pPr>
            <w:r w:rsidRPr="00611176">
              <w:rPr>
                <w:rFonts w:ascii="Times New Roman" w:hAnsi="Times New Roman"/>
                <w:b/>
                <w:bCs/>
                <w:color w:val="000000"/>
                <w:sz w:val="18"/>
                <w:szCs w:val="18"/>
                <w:lang w:eastAsia="sk-SK"/>
              </w:rPr>
              <w:t>Dlhodobý nehmotný majetok súhrnného celku</w:t>
            </w:r>
          </w:p>
        </w:tc>
        <w:tc>
          <w:tcPr>
            <w:tcW w:w="862" w:type="pct"/>
            <w:tcBorders>
              <w:top w:val="single" w:sz="4" w:space="0" w:color="auto"/>
              <w:left w:val="nil"/>
              <w:bottom w:val="single" w:sz="4" w:space="0" w:color="auto"/>
              <w:right w:val="nil"/>
            </w:tcBorders>
            <w:shd w:val="clear" w:color="000000" w:fill="F4B084"/>
            <w:noWrap/>
            <w:vAlign w:val="center"/>
            <w:hideMark/>
          </w:tcPr>
          <w:p w14:paraId="1C20E49A" w14:textId="77777777" w:rsidR="00611176" w:rsidRPr="00611176" w:rsidRDefault="00611176" w:rsidP="00611176">
            <w:pPr>
              <w:spacing w:after="0" w:line="240" w:lineRule="auto"/>
              <w:rPr>
                <w:rFonts w:ascii="Times New Roman" w:hAnsi="Times New Roman"/>
                <w:b/>
                <w:bCs/>
                <w:color w:val="000000"/>
                <w:sz w:val="18"/>
                <w:szCs w:val="18"/>
                <w:lang w:eastAsia="sk-SK"/>
              </w:rPr>
            </w:pPr>
            <w:r w:rsidRPr="00611176">
              <w:rPr>
                <w:rFonts w:ascii="Times New Roman" w:hAnsi="Times New Roman"/>
                <w:b/>
                <w:bCs/>
                <w:color w:val="000000"/>
                <w:sz w:val="18"/>
                <w:szCs w:val="18"/>
                <w:lang w:eastAsia="sk-SK"/>
              </w:rPr>
              <w:t> </w:t>
            </w:r>
          </w:p>
        </w:tc>
        <w:tc>
          <w:tcPr>
            <w:tcW w:w="862" w:type="pct"/>
            <w:tcBorders>
              <w:top w:val="single" w:sz="4" w:space="0" w:color="auto"/>
              <w:left w:val="nil"/>
              <w:bottom w:val="single" w:sz="4" w:space="0" w:color="auto"/>
              <w:right w:val="nil"/>
            </w:tcBorders>
            <w:shd w:val="clear" w:color="000000" w:fill="F4B084"/>
            <w:noWrap/>
            <w:vAlign w:val="center"/>
            <w:hideMark/>
          </w:tcPr>
          <w:p w14:paraId="34EEA084" w14:textId="77777777" w:rsidR="00611176" w:rsidRPr="00611176" w:rsidRDefault="00611176" w:rsidP="00611176">
            <w:pPr>
              <w:spacing w:after="0" w:line="240" w:lineRule="auto"/>
              <w:jc w:val="center"/>
              <w:rPr>
                <w:rFonts w:ascii="Times New Roman" w:hAnsi="Times New Roman"/>
                <w:b/>
                <w:bCs/>
                <w:color w:val="000000"/>
                <w:sz w:val="18"/>
                <w:szCs w:val="18"/>
                <w:lang w:eastAsia="sk-SK"/>
              </w:rPr>
            </w:pPr>
            <w:r w:rsidRPr="00611176">
              <w:rPr>
                <w:rFonts w:ascii="Times New Roman" w:hAnsi="Times New Roman"/>
                <w:b/>
                <w:bCs/>
                <w:color w:val="000000"/>
                <w:sz w:val="18"/>
                <w:szCs w:val="18"/>
                <w:lang w:eastAsia="sk-SK"/>
              </w:rPr>
              <w:t>(v tis. eur)</w:t>
            </w:r>
          </w:p>
        </w:tc>
        <w:tc>
          <w:tcPr>
            <w:tcW w:w="862" w:type="pct"/>
            <w:tcBorders>
              <w:top w:val="single" w:sz="4" w:space="0" w:color="auto"/>
              <w:left w:val="nil"/>
              <w:bottom w:val="single" w:sz="4" w:space="0" w:color="auto"/>
              <w:right w:val="nil"/>
            </w:tcBorders>
            <w:shd w:val="clear" w:color="000000" w:fill="F4B084"/>
            <w:noWrap/>
            <w:vAlign w:val="center"/>
            <w:hideMark/>
          </w:tcPr>
          <w:p w14:paraId="4190C71D" w14:textId="77777777" w:rsidR="00611176" w:rsidRPr="00611176" w:rsidRDefault="00611176" w:rsidP="00611176">
            <w:pPr>
              <w:spacing w:after="0" w:line="240" w:lineRule="auto"/>
              <w:rPr>
                <w:rFonts w:ascii="Times New Roman" w:hAnsi="Times New Roman"/>
                <w:b/>
                <w:bCs/>
                <w:color w:val="000000"/>
                <w:sz w:val="18"/>
                <w:szCs w:val="18"/>
                <w:lang w:eastAsia="sk-SK"/>
              </w:rPr>
            </w:pPr>
            <w:r w:rsidRPr="00611176">
              <w:rPr>
                <w:rFonts w:ascii="Times New Roman" w:hAnsi="Times New Roman"/>
                <w:b/>
                <w:bCs/>
                <w:color w:val="000000"/>
                <w:sz w:val="18"/>
                <w:szCs w:val="18"/>
                <w:lang w:eastAsia="sk-SK"/>
              </w:rPr>
              <w:t> </w:t>
            </w:r>
          </w:p>
        </w:tc>
      </w:tr>
      <w:tr w:rsidR="00611176" w:rsidRPr="00611176" w14:paraId="45A33009" w14:textId="77777777" w:rsidTr="0085799C">
        <w:trPr>
          <w:trHeight w:val="227"/>
          <w:jc w:val="center"/>
        </w:trPr>
        <w:tc>
          <w:tcPr>
            <w:tcW w:w="2414" w:type="pct"/>
            <w:tcBorders>
              <w:top w:val="nil"/>
              <w:left w:val="nil"/>
              <w:bottom w:val="single" w:sz="4" w:space="0" w:color="auto"/>
              <w:right w:val="nil"/>
            </w:tcBorders>
            <w:shd w:val="clear" w:color="000000" w:fill="BDD7EE"/>
            <w:noWrap/>
            <w:vAlign w:val="center"/>
            <w:hideMark/>
          </w:tcPr>
          <w:p w14:paraId="528BF27F" w14:textId="77777777" w:rsidR="00611176" w:rsidRPr="00611176" w:rsidRDefault="00611176" w:rsidP="00611176">
            <w:pPr>
              <w:spacing w:after="0" w:line="240" w:lineRule="auto"/>
              <w:rPr>
                <w:rFonts w:ascii="Times New Roman" w:hAnsi="Times New Roman"/>
                <w:b/>
                <w:bCs/>
                <w:color w:val="000000"/>
                <w:sz w:val="18"/>
                <w:szCs w:val="18"/>
                <w:lang w:eastAsia="sk-SK"/>
              </w:rPr>
            </w:pPr>
            <w:r w:rsidRPr="00611176">
              <w:rPr>
                <w:rFonts w:ascii="Times New Roman" w:hAnsi="Times New Roman"/>
                <w:b/>
                <w:bCs/>
                <w:color w:val="000000"/>
                <w:sz w:val="18"/>
                <w:szCs w:val="18"/>
                <w:lang w:eastAsia="sk-SK"/>
              </w:rPr>
              <w:t>Druh nehmotného majetku</w:t>
            </w:r>
          </w:p>
        </w:tc>
        <w:tc>
          <w:tcPr>
            <w:tcW w:w="862" w:type="pct"/>
            <w:tcBorders>
              <w:top w:val="nil"/>
              <w:left w:val="nil"/>
              <w:bottom w:val="single" w:sz="4" w:space="0" w:color="auto"/>
              <w:right w:val="nil"/>
            </w:tcBorders>
            <w:shd w:val="clear" w:color="000000" w:fill="BDD7EE"/>
            <w:noWrap/>
            <w:vAlign w:val="center"/>
            <w:hideMark/>
          </w:tcPr>
          <w:p w14:paraId="5DE2DAF6" w14:textId="77777777" w:rsidR="00611176" w:rsidRPr="00611176" w:rsidRDefault="00611176" w:rsidP="00611176">
            <w:pPr>
              <w:spacing w:after="0" w:line="240" w:lineRule="auto"/>
              <w:jc w:val="center"/>
              <w:rPr>
                <w:rFonts w:ascii="Times New Roman" w:hAnsi="Times New Roman"/>
                <w:b/>
                <w:bCs/>
                <w:color w:val="000000"/>
                <w:sz w:val="18"/>
                <w:szCs w:val="18"/>
                <w:lang w:eastAsia="sk-SK"/>
              </w:rPr>
            </w:pPr>
            <w:r w:rsidRPr="00611176">
              <w:rPr>
                <w:rFonts w:ascii="Times New Roman" w:hAnsi="Times New Roman"/>
                <w:b/>
                <w:bCs/>
                <w:color w:val="000000"/>
                <w:sz w:val="18"/>
                <w:szCs w:val="18"/>
                <w:lang w:eastAsia="sk-SK"/>
              </w:rPr>
              <w:t>2024</w:t>
            </w:r>
          </w:p>
        </w:tc>
        <w:tc>
          <w:tcPr>
            <w:tcW w:w="862" w:type="pct"/>
            <w:tcBorders>
              <w:top w:val="nil"/>
              <w:left w:val="nil"/>
              <w:bottom w:val="single" w:sz="4" w:space="0" w:color="auto"/>
              <w:right w:val="nil"/>
            </w:tcBorders>
            <w:shd w:val="clear" w:color="000000" w:fill="BDD7EE"/>
            <w:noWrap/>
            <w:vAlign w:val="center"/>
            <w:hideMark/>
          </w:tcPr>
          <w:p w14:paraId="62F6EDA0" w14:textId="77777777" w:rsidR="00611176" w:rsidRPr="00611176" w:rsidRDefault="00611176" w:rsidP="00611176">
            <w:pPr>
              <w:spacing w:after="0" w:line="240" w:lineRule="auto"/>
              <w:jc w:val="center"/>
              <w:rPr>
                <w:rFonts w:ascii="Times New Roman" w:hAnsi="Times New Roman"/>
                <w:b/>
                <w:bCs/>
                <w:color w:val="000000"/>
                <w:sz w:val="18"/>
                <w:szCs w:val="18"/>
                <w:lang w:eastAsia="sk-SK"/>
              </w:rPr>
            </w:pPr>
            <w:r w:rsidRPr="00611176">
              <w:rPr>
                <w:rFonts w:ascii="Times New Roman" w:hAnsi="Times New Roman"/>
                <w:b/>
                <w:bCs/>
                <w:color w:val="000000"/>
                <w:sz w:val="18"/>
                <w:szCs w:val="18"/>
                <w:lang w:eastAsia="sk-SK"/>
              </w:rPr>
              <w:t>2023</w:t>
            </w:r>
          </w:p>
        </w:tc>
        <w:tc>
          <w:tcPr>
            <w:tcW w:w="862" w:type="pct"/>
            <w:tcBorders>
              <w:top w:val="nil"/>
              <w:left w:val="nil"/>
              <w:bottom w:val="single" w:sz="4" w:space="0" w:color="auto"/>
              <w:right w:val="nil"/>
            </w:tcBorders>
            <w:shd w:val="clear" w:color="000000" w:fill="BDD7EE"/>
            <w:vAlign w:val="center"/>
            <w:hideMark/>
          </w:tcPr>
          <w:p w14:paraId="3607004C" w14:textId="77777777" w:rsidR="00611176" w:rsidRPr="00611176" w:rsidRDefault="00611176" w:rsidP="00611176">
            <w:pPr>
              <w:spacing w:after="0" w:line="240" w:lineRule="auto"/>
              <w:jc w:val="center"/>
              <w:rPr>
                <w:rFonts w:ascii="Times New Roman" w:hAnsi="Times New Roman"/>
                <w:b/>
                <w:bCs/>
                <w:color w:val="000000"/>
                <w:sz w:val="18"/>
                <w:szCs w:val="18"/>
                <w:lang w:eastAsia="sk-SK"/>
              </w:rPr>
            </w:pPr>
            <w:r w:rsidRPr="00611176">
              <w:rPr>
                <w:rFonts w:ascii="Times New Roman" w:hAnsi="Times New Roman"/>
                <w:b/>
                <w:bCs/>
                <w:color w:val="000000"/>
                <w:sz w:val="18"/>
                <w:szCs w:val="18"/>
                <w:lang w:eastAsia="sk-SK"/>
              </w:rPr>
              <w:t>Δ 2024-2023</w:t>
            </w:r>
          </w:p>
        </w:tc>
      </w:tr>
      <w:tr w:rsidR="00611176" w:rsidRPr="00611176" w14:paraId="0E458438" w14:textId="77777777" w:rsidTr="0085799C">
        <w:trPr>
          <w:trHeight w:val="227"/>
          <w:jc w:val="center"/>
        </w:trPr>
        <w:tc>
          <w:tcPr>
            <w:tcW w:w="2414" w:type="pct"/>
            <w:tcBorders>
              <w:top w:val="nil"/>
              <w:left w:val="nil"/>
              <w:bottom w:val="nil"/>
              <w:right w:val="nil"/>
            </w:tcBorders>
            <w:vAlign w:val="center"/>
            <w:hideMark/>
          </w:tcPr>
          <w:p w14:paraId="2076AD9A" w14:textId="77777777" w:rsidR="00611176" w:rsidRPr="00611176" w:rsidRDefault="00611176" w:rsidP="00611176">
            <w:pPr>
              <w:spacing w:after="0" w:line="240" w:lineRule="auto"/>
              <w:rPr>
                <w:rFonts w:ascii="Times New Roman" w:hAnsi="Times New Roman"/>
                <w:color w:val="000000"/>
                <w:sz w:val="18"/>
                <w:szCs w:val="18"/>
                <w:lang w:eastAsia="sk-SK"/>
              </w:rPr>
            </w:pPr>
            <w:r w:rsidRPr="00611176">
              <w:rPr>
                <w:rFonts w:ascii="Times New Roman" w:hAnsi="Times New Roman"/>
                <w:color w:val="000000"/>
                <w:sz w:val="18"/>
                <w:szCs w:val="18"/>
                <w:lang w:eastAsia="sk-SK"/>
              </w:rPr>
              <w:t>Softvér</w:t>
            </w:r>
          </w:p>
        </w:tc>
        <w:tc>
          <w:tcPr>
            <w:tcW w:w="862" w:type="pct"/>
            <w:tcBorders>
              <w:top w:val="nil"/>
              <w:left w:val="nil"/>
              <w:bottom w:val="nil"/>
              <w:right w:val="nil"/>
            </w:tcBorders>
            <w:vAlign w:val="center"/>
            <w:hideMark/>
          </w:tcPr>
          <w:p w14:paraId="03EEA8BE" w14:textId="77777777" w:rsidR="00611176" w:rsidRPr="00611176" w:rsidRDefault="00611176" w:rsidP="00611176">
            <w:pPr>
              <w:spacing w:after="0" w:line="240" w:lineRule="auto"/>
              <w:jc w:val="right"/>
              <w:rPr>
                <w:rFonts w:ascii="Times New Roman" w:hAnsi="Times New Roman"/>
                <w:color w:val="000000"/>
                <w:sz w:val="18"/>
                <w:szCs w:val="18"/>
                <w:lang w:eastAsia="sk-SK"/>
              </w:rPr>
            </w:pPr>
            <w:r w:rsidRPr="00611176">
              <w:rPr>
                <w:rFonts w:ascii="Times New Roman" w:hAnsi="Times New Roman"/>
                <w:color w:val="000000"/>
                <w:sz w:val="18"/>
                <w:szCs w:val="18"/>
                <w:lang w:eastAsia="sk-SK"/>
              </w:rPr>
              <w:t>570 281</w:t>
            </w:r>
          </w:p>
        </w:tc>
        <w:tc>
          <w:tcPr>
            <w:tcW w:w="862" w:type="pct"/>
            <w:tcBorders>
              <w:top w:val="nil"/>
              <w:left w:val="nil"/>
              <w:bottom w:val="nil"/>
              <w:right w:val="nil"/>
            </w:tcBorders>
            <w:vAlign w:val="center"/>
            <w:hideMark/>
          </w:tcPr>
          <w:p w14:paraId="75CC328C" w14:textId="77777777" w:rsidR="00611176" w:rsidRPr="00611176" w:rsidRDefault="00611176" w:rsidP="00611176">
            <w:pPr>
              <w:spacing w:after="0" w:line="240" w:lineRule="auto"/>
              <w:jc w:val="right"/>
              <w:rPr>
                <w:rFonts w:ascii="Times New Roman" w:hAnsi="Times New Roman"/>
                <w:color w:val="000000"/>
                <w:sz w:val="18"/>
                <w:szCs w:val="18"/>
                <w:lang w:eastAsia="sk-SK"/>
              </w:rPr>
            </w:pPr>
            <w:r w:rsidRPr="00611176">
              <w:rPr>
                <w:rFonts w:ascii="Times New Roman" w:hAnsi="Times New Roman"/>
                <w:color w:val="000000"/>
                <w:sz w:val="18"/>
                <w:szCs w:val="18"/>
                <w:lang w:eastAsia="sk-SK"/>
              </w:rPr>
              <w:t>525 484</w:t>
            </w:r>
          </w:p>
        </w:tc>
        <w:tc>
          <w:tcPr>
            <w:tcW w:w="862" w:type="pct"/>
            <w:tcBorders>
              <w:top w:val="nil"/>
              <w:left w:val="nil"/>
              <w:bottom w:val="nil"/>
              <w:right w:val="nil"/>
            </w:tcBorders>
            <w:vAlign w:val="center"/>
            <w:hideMark/>
          </w:tcPr>
          <w:p w14:paraId="35BC2789" w14:textId="77777777" w:rsidR="00611176" w:rsidRPr="00611176" w:rsidRDefault="00611176" w:rsidP="00611176">
            <w:pPr>
              <w:spacing w:after="0" w:line="240" w:lineRule="auto"/>
              <w:jc w:val="right"/>
              <w:rPr>
                <w:rFonts w:ascii="Times New Roman" w:hAnsi="Times New Roman"/>
                <w:color w:val="000000"/>
                <w:sz w:val="18"/>
                <w:szCs w:val="18"/>
                <w:lang w:eastAsia="sk-SK"/>
              </w:rPr>
            </w:pPr>
            <w:r w:rsidRPr="00611176">
              <w:rPr>
                <w:rFonts w:ascii="Times New Roman" w:hAnsi="Times New Roman"/>
                <w:color w:val="000000"/>
                <w:sz w:val="18"/>
                <w:szCs w:val="18"/>
                <w:lang w:eastAsia="sk-SK"/>
              </w:rPr>
              <w:t>44 797</w:t>
            </w:r>
          </w:p>
        </w:tc>
      </w:tr>
      <w:tr w:rsidR="00611176" w:rsidRPr="00611176" w14:paraId="284C6BE8" w14:textId="77777777" w:rsidTr="0085799C">
        <w:trPr>
          <w:trHeight w:val="227"/>
          <w:jc w:val="center"/>
        </w:trPr>
        <w:tc>
          <w:tcPr>
            <w:tcW w:w="2414" w:type="pct"/>
            <w:tcBorders>
              <w:top w:val="nil"/>
              <w:left w:val="nil"/>
              <w:bottom w:val="nil"/>
              <w:right w:val="nil"/>
            </w:tcBorders>
            <w:vAlign w:val="center"/>
            <w:hideMark/>
          </w:tcPr>
          <w:p w14:paraId="1BEE1CD5" w14:textId="77777777" w:rsidR="00611176" w:rsidRPr="00611176" w:rsidRDefault="00611176" w:rsidP="00611176">
            <w:pPr>
              <w:spacing w:after="0" w:line="240" w:lineRule="auto"/>
              <w:rPr>
                <w:rFonts w:ascii="Times New Roman" w:hAnsi="Times New Roman"/>
                <w:color w:val="000000"/>
                <w:sz w:val="18"/>
                <w:szCs w:val="18"/>
                <w:lang w:eastAsia="sk-SK"/>
              </w:rPr>
            </w:pPr>
            <w:r w:rsidRPr="00611176">
              <w:rPr>
                <w:rFonts w:ascii="Times New Roman" w:hAnsi="Times New Roman"/>
                <w:color w:val="000000"/>
                <w:sz w:val="18"/>
                <w:szCs w:val="18"/>
                <w:lang w:eastAsia="sk-SK"/>
              </w:rPr>
              <w:t>Oceniteľné práva</w:t>
            </w:r>
          </w:p>
        </w:tc>
        <w:tc>
          <w:tcPr>
            <w:tcW w:w="862" w:type="pct"/>
            <w:tcBorders>
              <w:top w:val="nil"/>
              <w:left w:val="nil"/>
              <w:bottom w:val="nil"/>
              <w:right w:val="nil"/>
            </w:tcBorders>
            <w:vAlign w:val="center"/>
            <w:hideMark/>
          </w:tcPr>
          <w:p w14:paraId="18D4CB9B" w14:textId="77777777" w:rsidR="00611176" w:rsidRPr="00611176" w:rsidRDefault="00611176" w:rsidP="00611176">
            <w:pPr>
              <w:spacing w:after="0" w:line="240" w:lineRule="auto"/>
              <w:jc w:val="right"/>
              <w:rPr>
                <w:rFonts w:ascii="Times New Roman" w:hAnsi="Times New Roman"/>
                <w:color w:val="000000"/>
                <w:sz w:val="18"/>
                <w:szCs w:val="18"/>
                <w:lang w:eastAsia="sk-SK"/>
              </w:rPr>
            </w:pPr>
            <w:r w:rsidRPr="00611176">
              <w:rPr>
                <w:rFonts w:ascii="Times New Roman" w:hAnsi="Times New Roman"/>
                <w:color w:val="000000"/>
                <w:sz w:val="18"/>
                <w:szCs w:val="18"/>
                <w:lang w:eastAsia="sk-SK"/>
              </w:rPr>
              <w:t>35 005</w:t>
            </w:r>
          </w:p>
        </w:tc>
        <w:tc>
          <w:tcPr>
            <w:tcW w:w="862" w:type="pct"/>
            <w:tcBorders>
              <w:top w:val="nil"/>
              <w:left w:val="nil"/>
              <w:bottom w:val="nil"/>
              <w:right w:val="nil"/>
            </w:tcBorders>
            <w:vAlign w:val="center"/>
            <w:hideMark/>
          </w:tcPr>
          <w:p w14:paraId="3693C3F0" w14:textId="77777777" w:rsidR="00611176" w:rsidRPr="00611176" w:rsidRDefault="00611176" w:rsidP="00611176">
            <w:pPr>
              <w:spacing w:after="0" w:line="240" w:lineRule="auto"/>
              <w:jc w:val="right"/>
              <w:rPr>
                <w:rFonts w:ascii="Times New Roman" w:hAnsi="Times New Roman"/>
                <w:color w:val="000000"/>
                <w:sz w:val="18"/>
                <w:szCs w:val="18"/>
                <w:lang w:eastAsia="sk-SK"/>
              </w:rPr>
            </w:pPr>
            <w:r w:rsidRPr="00611176">
              <w:rPr>
                <w:rFonts w:ascii="Times New Roman" w:hAnsi="Times New Roman"/>
                <w:color w:val="000000"/>
                <w:sz w:val="18"/>
                <w:szCs w:val="18"/>
                <w:lang w:eastAsia="sk-SK"/>
              </w:rPr>
              <w:t>34 486</w:t>
            </w:r>
          </w:p>
        </w:tc>
        <w:tc>
          <w:tcPr>
            <w:tcW w:w="862" w:type="pct"/>
            <w:tcBorders>
              <w:top w:val="nil"/>
              <w:left w:val="nil"/>
              <w:bottom w:val="nil"/>
              <w:right w:val="nil"/>
            </w:tcBorders>
            <w:vAlign w:val="center"/>
            <w:hideMark/>
          </w:tcPr>
          <w:p w14:paraId="5DD0A4BA" w14:textId="77777777" w:rsidR="00611176" w:rsidRPr="00611176" w:rsidRDefault="00611176" w:rsidP="00611176">
            <w:pPr>
              <w:spacing w:after="0" w:line="240" w:lineRule="auto"/>
              <w:jc w:val="right"/>
              <w:rPr>
                <w:rFonts w:ascii="Times New Roman" w:hAnsi="Times New Roman"/>
                <w:color w:val="000000"/>
                <w:sz w:val="18"/>
                <w:szCs w:val="18"/>
                <w:lang w:eastAsia="sk-SK"/>
              </w:rPr>
            </w:pPr>
            <w:r w:rsidRPr="00611176">
              <w:rPr>
                <w:rFonts w:ascii="Times New Roman" w:hAnsi="Times New Roman"/>
                <w:color w:val="000000"/>
                <w:sz w:val="18"/>
                <w:szCs w:val="18"/>
                <w:lang w:eastAsia="sk-SK"/>
              </w:rPr>
              <w:t>519</w:t>
            </w:r>
          </w:p>
        </w:tc>
      </w:tr>
      <w:tr w:rsidR="00611176" w:rsidRPr="00611176" w14:paraId="15CDFA02" w14:textId="77777777" w:rsidTr="0085799C">
        <w:trPr>
          <w:trHeight w:val="227"/>
          <w:jc w:val="center"/>
        </w:trPr>
        <w:tc>
          <w:tcPr>
            <w:tcW w:w="2414" w:type="pct"/>
            <w:tcBorders>
              <w:top w:val="nil"/>
              <w:left w:val="nil"/>
              <w:bottom w:val="nil"/>
              <w:right w:val="nil"/>
            </w:tcBorders>
            <w:vAlign w:val="center"/>
            <w:hideMark/>
          </w:tcPr>
          <w:p w14:paraId="16D4722F" w14:textId="77777777" w:rsidR="00611176" w:rsidRPr="00611176" w:rsidRDefault="00611176" w:rsidP="00611176">
            <w:pPr>
              <w:spacing w:after="0" w:line="240" w:lineRule="auto"/>
              <w:rPr>
                <w:rFonts w:ascii="Times New Roman" w:hAnsi="Times New Roman"/>
                <w:color w:val="000000"/>
                <w:sz w:val="18"/>
                <w:szCs w:val="18"/>
                <w:lang w:eastAsia="sk-SK"/>
              </w:rPr>
            </w:pPr>
            <w:r w:rsidRPr="00611176">
              <w:rPr>
                <w:rFonts w:ascii="Times New Roman" w:hAnsi="Times New Roman"/>
                <w:color w:val="000000"/>
                <w:sz w:val="18"/>
                <w:szCs w:val="18"/>
                <w:lang w:eastAsia="sk-SK"/>
              </w:rPr>
              <w:t>Obstaranie nehmotného majetku</w:t>
            </w:r>
          </w:p>
        </w:tc>
        <w:tc>
          <w:tcPr>
            <w:tcW w:w="862" w:type="pct"/>
            <w:tcBorders>
              <w:top w:val="nil"/>
              <w:left w:val="nil"/>
              <w:bottom w:val="nil"/>
              <w:right w:val="nil"/>
            </w:tcBorders>
            <w:vAlign w:val="center"/>
            <w:hideMark/>
          </w:tcPr>
          <w:p w14:paraId="6F2D32D0" w14:textId="77777777" w:rsidR="00611176" w:rsidRPr="00611176" w:rsidRDefault="00611176" w:rsidP="00611176">
            <w:pPr>
              <w:spacing w:after="0" w:line="240" w:lineRule="auto"/>
              <w:jc w:val="right"/>
              <w:rPr>
                <w:rFonts w:ascii="Times New Roman" w:hAnsi="Times New Roman"/>
                <w:color w:val="000000"/>
                <w:sz w:val="18"/>
                <w:szCs w:val="18"/>
                <w:lang w:eastAsia="sk-SK"/>
              </w:rPr>
            </w:pPr>
            <w:r w:rsidRPr="00611176">
              <w:rPr>
                <w:rFonts w:ascii="Times New Roman" w:hAnsi="Times New Roman"/>
                <w:color w:val="000000"/>
                <w:sz w:val="18"/>
                <w:szCs w:val="18"/>
                <w:lang w:eastAsia="sk-SK"/>
              </w:rPr>
              <w:t>106 556</w:t>
            </w:r>
          </w:p>
        </w:tc>
        <w:tc>
          <w:tcPr>
            <w:tcW w:w="862" w:type="pct"/>
            <w:tcBorders>
              <w:top w:val="nil"/>
              <w:left w:val="nil"/>
              <w:bottom w:val="nil"/>
              <w:right w:val="nil"/>
            </w:tcBorders>
            <w:vAlign w:val="center"/>
            <w:hideMark/>
          </w:tcPr>
          <w:p w14:paraId="3403492E" w14:textId="77777777" w:rsidR="00611176" w:rsidRPr="00611176" w:rsidRDefault="00611176" w:rsidP="00611176">
            <w:pPr>
              <w:spacing w:after="0" w:line="240" w:lineRule="auto"/>
              <w:jc w:val="right"/>
              <w:rPr>
                <w:rFonts w:ascii="Times New Roman" w:hAnsi="Times New Roman"/>
                <w:color w:val="000000"/>
                <w:sz w:val="18"/>
                <w:szCs w:val="18"/>
                <w:lang w:eastAsia="sk-SK"/>
              </w:rPr>
            </w:pPr>
            <w:r w:rsidRPr="00611176">
              <w:rPr>
                <w:rFonts w:ascii="Times New Roman" w:hAnsi="Times New Roman"/>
                <w:color w:val="000000"/>
                <w:sz w:val="18"/>
                <w:szCs w:val="18"/>
                <w:lang w:eastAsia="sk-SK"/>
              </w:rPr>
              <w:t>159 583</w:t>
            </w:r>
          </w:p>
        </w:tc>
        <w:tc>
          <w:tcPr>
            <w:tcW w:w="862" w:type="pct"/>
            <w:tcBorders>
              <w:top w:val="nil"/>
              <w:left w:val="nil"/>
              <w:bottom w:val="nil"/>
              <w:right w:val="nil"/>
            </w:tcBorders>
            <w:vAlign w:val="center"/>
            <w:hideMark/>
          </w:tcPr>
          <w:p w14:paraId="7D1B27AC" w14:textId="77777777" w:rsidR="00611176" w:rsidRPr="00611176" w:rsidRDefault="00611176" w:rsidP="00611176">
            <w:pPr>
              <w:spacing w:after="0" w:line="240" w:lineRule="auto"/>
              <w:jc w:val="right"/>
              <w:rPr>
                <w:rFonts w:ascii="Times New Roman" w:hAnsi="Times New Roman"/>
                <w:color w:val="000000"/>
                <w:sz w:val="18"/>
                <w:szCs w:val="18"/>
                <w:lang w:eastAsia="sk-SK"/>
              </w:rPr>
            </w:pPr>
            <w:r w:rsidRPr="00611176">
              <w:rPr>
                <w:rFonts w:ascii="Times New Roman" w:hAnsi="Times New Roman"/>
                <w:color w:val="000000"/>
                <w:sz w:val="18"/>
                <w:szCs w:val="18"/>
                <w:lang w:eastAsia="sk-SK"/>
              </w:rPr>
              <w:t>-53 027</w:t>
            </w:r>
          </w:p>
        </w:tc>
      </w:tr>
      <w:tr w:rsidR="00611176" w:rsidRPr="00611176" w14:paraId="31BAA64C" w14:textId="77777777" w:rsidTr="0085799C">
        <w:trPr>
          <w:trHeight w:val="227"/>
          <w:jc w:val="center"/>
        </w:trPr>
        <w:tc>
          <w:tcPr>
            <w:tcW w:w="2414" w:type="pct"/>
            <w:tcBorders>
              <w:top w:val="nil"/>
              <w:left w:val="nil"/>
              <w:bottom w:val="single" w:sz="4" w:space="0" w:color="auto"/>
              <w:right w:val="nil"/>
            </w:tcBorders>
            <w:vAlign w:val="center"/>
            <w:hideMark/>
          </w:tcPr>
          <w:p w14:paraId="19FCD068" w14:textId="77777777" w:rsidR="00611176" w:rsidRPr="00611176" w:rsidRDefault="00611176" w:rsidP="00611176">
            <w:pPr>
              <w:spacing w:after="0" w:line="240" w:lineRule="auto"/>
              <w:rPr>
                <w:rFonts w:ascii="Times New Roman" w:hAnsi="Times New Roman"/>
                <w:color w:val="000000"/>
                <w:sz w:val="18"/>
                <w:szCs w:val="18"/>
                <w:lang w:eastAsia="sk-SK"/>
              </w:rPr>
            </w:pPr>
            <w:r w:rsidRPr="00611176">
              <w:rPr>
                <w:rFonts w:ascii="Times New Roman" w:hAnsi="Times New Roman"/>
                <w:color w:val="000000"/>
                <w:sz w:val="18"/>
                <w:szCs w:val="18"/>
                <w:lang w:eastAsia="sk-SK"/>
              </w:rPr>
              <w:t>Ostatný nehmotný majetok</w:t>
            </w:r>
          </w:p>
        </w:tc>
        <w:tc>
          <w:tcPr>
            <w:tcW w:w="862" w:type="pct"/>
            <w:tcBorders>
              <w:top w:val="nil"/>
              <w:left w:val="nil"/>
              <w:bottom w:val="single" w:sz="4" w:space="0" w:color="auto"/>
              <w:right w:val="nil"/>
            </w:tcBorders>
            <w:vAlign w:val="center"/>
            <w:hideMark/>
          </w:tcPr>
          <w:p w14:paraId="12D3E9AB" w14:textId="77777777" w:rsidR="00611176" w:rsidRPr="00611176" w:rsidRDefault="00611176" w:rsidP="00611176">
            <w:pPr>
              <w:spacing w:after="0" w:line="240" w:lineRule="auto"/>
              <w:jc w:val="right"/>
              <w:rPr>
                <w:rFonts w:ascii="Times New Roman" w:hAnsi="Times New Roman"/>
                <w:color w:val="000000"/>
                <w:sz w:val="18"/>
                <w:szCs w:val="18"/>
                <w:lang w:eastAsia="sk-SK"/>
              </w:rPr>
            </w:pPr>
            <w:r w:rsidRPr="00611176">
              <w:rPr>
                <w:rFonts w:ascii="Times New Roman" w:hAnsi="Times New Roman"/>
                <w:color w:val="000000"/>
                <w:sz w:val="18"/>
                <w:szCs w:val="18"/>
                <w:lang w:eastAsia="sk-SK"/>
              </w:rPr>
              <w:t>50 057</w:t>
            </w:r>
          </w:p>
        </w:tc>
        <w:tc>
          <w:tcPr>
            <w:tcW w:w="862" w:type="pct"/>
            <w:tcBorders>
              <w:top w:val="nil"/>
              <w:left w:val="nil"/>
              <w:bottom w:val="single" w:sz="4" w:space="0" w:color="auto"/>
              <w:right w:val="nil"/>
            </w:tcBorders>
            <w:vAlign w:val="center"/>
            <w:hideMark/>
          </w:tcPr>
          <w:p w14:paraId="66B80E53" w14:textId="77777777" w:rsidR="00611176" w:rsidRPr="00611176" w:rsidRDefault="00611176" w:rsidP="00611176">
            <w:pPr>
              <w:spacing w:after="0" w:line="240" w:lineRule="auto"/>
              <w:jc w:val="right"/>
              <w:rPr>
                <w:rFonts w:ascii="Times New Roman" w:hAnsi="Times New Roman"/>
                <w:color w:val="000000"/>
                <w:sz w:val="18"/>
                <w:szCs w:val="18"/>
                <w:lang w:eastAsia="sk-SK"/>
              </w:rPr>
            </w:pPr>
            <w:r w:rsidRPr="00611176">
              <w:rPr>
                <w:rFonts w:ascii="Times New Roman" w:hAnsi="Times New Roman"/>
                <w:color w:val="000000"/>
                <w:sz w:val="18"/>
                <w:szCs w:val="18"/>
                <w:lang w:eastAsia="sk-SK"/>
              </w:rPr>
              <w:t>52 538</w:t>
            </w:r>
          </w:p>
        </w:tc>
        <w:tc>
          <w:tcPr>
            <w:tcW w:w="862" w:type="pct"/>
            <w:tcBorders>
              <w:top w:val="nil"/>
              <w:left w:val="nil"/>
              <w:bottom w:val="single" w:sz="4" w:space="0" w:color="auto"/>
              <w:right w:val="nil"/>
            </w:tcBorders>
            <w:vAlign w:val="center"/>
            <w:hideMark/>
          </w:tcPr>
          <w:p w14:paraId="3E0A71C0" w14:textId="77777777" w:rsidR="00611176" w:rsidRPr="00611176" w:rsidRDefault="00611176" w:rsidP="00611176">
            <w:pPr>
              <w:spacing w:after="0" w:line="240" w:lineRule="auto"/>
              <w:jc w:val="right"/>
              <w:rPr>
                <w:rFonts w:ascii="Times New Roman" w:hAnsi="Times New Roman"/>
                <w:color w:val="000000"/>
                <w:sz w:val="18"/>
                <w:szCs w:val="18"/>
                <w:lang w:eastAsia="sk-SK"/>
              </w:rPr>
            </w:pPr>
            <w:r w:rsidRPr="00611176">
              <w:rPr>
                <w:rFonts w:ascii="Times New Roman" w:hAnsi="Times New Roman"/>
                <w:color w:val="000000"/>
                <w:sz w:val="18"/>
                <w:szCs w:val="18"/>
                <w:lang w:eastAsia="sk-SK"/>
              </w:rPr>
              <w:t>-2 481</w:t>
            </w:r>
          </w:p>
        </w:tc>
      </w:tr>
      <w:tr w:rsidR="00611176" w:rsidRPr="00611176" w14:paraId="6200ACA8" w14:textId="77777777" w:rsidTr="0085799C">
        <w:trPr>
          <w:trHeight w:val="227"/>
          <w:jc w:val="center"/>
        </w:trPr>
        <w:tc>
          <w:tcPr>
            <w:tcW w:w="2414" w:type="pct"/>
            <w:tcBorders>
              <w:top w:val="nil"/>
              <w:left w:val="nil"/>
              <w:bottom w:val="single" w:sz="4" w:space="0" w:color="auto"/>
              <w:right w:val="nil"/>
            </w:tcBorders>
            <w:vAlign w:val="center"/>
            <w:hideMark/>
          </w:tcPr>
          <w:p w14:paraId="608A7964" w14:textId="77777777" w:rsidR="00611176" w:rsidRPr="00611176" w:rsidRDefault="00611176" w:rsidP="00611176">
            <w:pPr>
              <w:spacing w:after="0" w:line="240" w:lineRule="auto"/>
              <w:rPr>
                <w:rFonts w:ascii="Times New Roman" w:hAnsi="Times New Roman"/>
                <w:b/>
                <w:bCs/>
                <w:color w:val="000000"/>
                <w:sz w:val="18"/>
                <w:szCs w:val="18"/>
                <w:lang w:eastAsia="sk-SK"/>
              </w:rPr>
            </w:pPr>
            <w:r w:rsidRPr="00611176">
              <w:rPr>
                <w:rFonts w:ascii="Times New Roman" w:hAnsi="Times New Roman"/>
                <w:b/>
                <w:bCs/>
                <w:color w:val="000000"/>
                <w:sz w:val="18"/>
                <w:szCs w:val="18"/>
                <w:lang w:eastAsia="sk-SK"/>
              </w:rPr>
              <w:t>Spolu</w:t>
            </w:r>
          </w:p>
        </w:tc>
        <w:tc>
          <w:tcPr>
            <w:tcW w:w="862" w:type="pct"/>
            <w:tcBorders>
              <w:top w:val="nil"/>
              <w:left w:val="nil"/>
              <w:bottom w:val="single" w:sz="4" w:space="0" w:color="auto"/>
              <w:right w:val="nil"/>
            </w:tcBorders>
            <w:vAlign w:val="center"/>
            <w:hideMark/>
          </w:tcPr>
          <w:p w14:paraId="3B5FCB9E" w14:textId="77777777" w:rsidR="00611176" w:rsidRPr="00611176" w:rsidRDefault="00611176" w:rsidP="00611176">
            <w:pPr>
              <w:spacing w:after="0" w:line="240" w:lineRule="auto"/>
              <w:jc w:val="right"/>
              <w:rPr>
                <w:rFonts w:ascii="Times New Roman" w:hAnsi="Times New Roman"/>
                <w:b/>
                <w:bCs/>
                <w:color w:val="000000"/>
                <w:sz w:val="18"/>
                <w:szCs w:val="18"/>
                <w:lang w:eastAsia="sk-SK"/>
              </w:rPr>
            </w:pPr>
            <w:r w:rsidRPr="00611176">
              <w:rPr>
                <w:rFonts w:ascii="Times New Roman" w:hAnsi="Times New Roman"/>
                <w:b/>
                <w:bCs/>
                <w:color w:val="000000"/>
                <w:sz w:val="18"/>
                <w:szCs w:val="18"/>
                <w:lang w:eastAsia="sk-SK"/>
              </w:rPr>
              <w:t>761 899</w:t>
            </w:r>
          </w:p>
        </w:tc>
        <w:tc>
          <w:tcPr>
            <w:tcW w:w="862" w:type="pct"/>
            <w:tcBorders>
              <w:top w:val="nil"/>
              <w:left w:val="nil"/>
              <w:bottom w:val="single" w:sz="4" w:space="0" w:color="auto"/>
              <w:right w:val="nil"/>
            </w:tcBorders>
            <w:vAlign w:val="center"/>
            <w:hideMark/>
          </w:tcPr>
          <w:p w14:paraId="65134184" w14:textId="77777777" w:rsidR="00611176" w:rsidRPr="00611176" w:rsidRDefault="00611176" w:rsidP="00611176">
            <w:pPr>
              <w:spacing w:after="0" w:line="240" w:lineRule="auto"/>
              <w:jc w:val="right"/>
              <w:rPr>
                <w:rFonts w:ascii="Times New Roman" w:hAnsi="Times New Roman"/>
                <w:b/>
                <w:bCs/>
                <w:color w:val="000000"/>
                <w:sz w:val="18"/>
                <w:szCs w:val="18"/>
                <w:lang w:eastAsia="sk-SK"/>
              </w:rPr>
            </w:pPr>
            <w:r w:rsidRPr="00611176">
              <w:rPr>
                <w:rFonts w:ascii="Times New Roman" w:hAnsi="Times New Roman"/>
                <w:b/>
                <w:bCs/>
                <w:color w:val="000000"/>
                <w:sz w:val="18"/>
                <w:szCs w:val="18"/>
                <w:lang w:eastAsia="sk-SK"/>
              </w:rPr>
              <w:t>772 091</w:t>
            </w:r>
          </w:p>
        </w:tc>
        <w:tc>
          <w:tcPr>
            <w:tcW w:w="862" w:type="pct"/>
            <w:tcBorders>
              <w:top w:val="nil"/>
              <w:left w:val="nil"/>
              <w:bottom w:val="single" w:sz="4" w:space="0" w:color="auto"/>
              <w:right w:val="nil"/>
            </w:tcBorders>
            <w:vAlign w:val="center"/>
            <w:hideMark/>
          </w:tcPr>
          <w:p w14:paraId="2EC54BFB" w14:textId="77777777" w:rsidR="00611176" w:rsidRPr="00611176" w:rsidRDefault="00611176" w:rsidP="00611176">
            <w:pPr>
              <w:spacing w:after="0" w:line="240" w:lineRule="auto"/>
              <w:jc w:val="right"/>
              <w:rPr>
                <w:rFonts w:ascii="Times New Roman" w:hAnsi="Times New Roman"/>
                <w:b/>
                <w:bCs/>
                <w:color w:val="000000"/>
                <w:sz w:val="18"/>
                <w:szCs w:val="18"/>
                <w:lang w:eastAsia="sk-SK"/>
              </w:rPr>
            </w:pPr>
            <w:r w:rsidRPr="00611176">
              <w:rPr>
                <w:rFonts w:ascii="Times New Roman" w:hAnsi="Times New Roman"/>
                <w:b/>
                <w:bCs/>
                <w:color w:val="000000"/>
                <w:sz w:val="18"/>
                <w:szCs w:val="18"/>
                <w:lang w:eastAsia="sk-SK"/>
              </w:rPr>
              <w:t>-10 192</w:t>
            </w:r>
          </w:p>
        </w:tc>
      </w:tr>
      <w:tr w:rsidR="00611176" w:rsidRPr="00611176" w14:paraId="62DE3140" w14:textId="77777777" w:rsidTr="0085799C">
        <w:trPr>
          <w:trHeight w:val="227"/>
          <w:jc w:val="center"/>
        </w:trPr>
        <w:tc>
          <w:tcPr>
            <w:tcW w:w="5000" w:type="pct"/>
            <w:gridSpan w:val="4"/>
            <w:tcBorders>
              <w:top w:val="nil"/>
              <w:left w:val="nil"/>
              <w:bottom w:val="nil"/>
              <w:right w:val="nil"/>
            </w:tcBorders>
            <w:noWrap/>
            <w:vAlign w:val="center"/>
            <w:hideMark/>
          </w:tcPr>
          <w:p w14:paraId="4EEC8604" w14:textId="77777777" w:rsidR="00611176" w:rsidRPr="00611176" w:rsidRDefault="00611176" w:rsidP="00611176">
            <w:pPr>
              <w:spacing w:after="0" w:line="240" w:lineRule="auto"/>
              <w:jc w:val="right"/>
              <w:rPr>
                <w:rFonts w:ascii="Times New Roman" w:hAnsi="Times New Roman"/>
                <w:color w:val="000000"/>
                <w:sz w:val="16"/>
                <w:szCs w:val="16"/>
                <w:lang w:eastAsia="sk-SK"/>
              </w:rPr>
            </w:pPr>
            <w:r w:rsidRPr="00611176">
              <w:rPr>
                <w:rFonts w:ascii="Times New Roman" w:hAnsi="Times New Roman"/>
                <w:color w:val="000000"/>
                <w:sz w:val="16"/>
                <w:szCs w:val="16"/>
                <w:lang w:eastAsia="sk-SK"/>
              </w:rPr>
              <w:t>Zdroj: MF SR, Centrálny konsolidačný systém</w:t>
            </w:r>
          </w:p>
        </w:tc>
      </w:tr>
    </w:tbl>
    <w:p w14:paraId="21A15334" w14:textId="77777777" w:rsidR="0057407D" w:rsidRPr="0085799C" w:rsidRDefault="0057407D" w:rsidP="0085799C">
      <w:pPr>
        <w:spacing w:after="120" w:line="240" w:lineRule="auto"/>
        <w:rPr>
          <w:rFonts w:eastAsiaTheme="majorEastAsia"/>
          <w:b/>
          <w:bCs/>
        </w:rPr>
      </w:pPr>
    </w:p>
    <w:p w14:paraId="3C726912" w14:textId="77777777" w:rsidR="002B5E5D" w:rsidRDefault="002B5E5D">
      <w:pPr>
        <w:spacing w:after="160" w:line="259" w:lineRule="auto"/>
        <w:rPr>
          <w:rFonts w:ascii="Times New Roman" w:eastAsiaTheme="majorEastAsia" w:hAnsi="Times New Roman" w:cstheme="majorBidi"/>
          <w:b/>
          <w:i/>
          <w:iCs/>
          <w:u w:val="single"/>
        </w:rPr>
      </w:pPr>
      <w:bookmarkStart w:id="3" w:name="_Softvér"/>
      <w:bookmarkEnd w:id="3"/>
      <w:r>
        <w:br w:type="page"/>
      </w:r>
    </w:p>
    <w:p w14:paraId="52EEFFE5" w14:textId="3FBC78C8" w:rsidR="0057407D" w:rsidRDefault="0057407D" w:rsidP="0085799C">
      <w:pPr>
        <w:pStyle w:val="Nadpis4"/>
        <w:numPr>
          <w:ilvl w:val="0"/>
          <w:numId w:val="54"/>
        </w:numPr>
        <w:ind w:left="426" w:hanging="426"/>
      </w:pPr>
      <w:r>
        <w:lastRenderedPageBreak/>
        <w:t>Softvér</w:t>
      </w:r>
    </w:p>
    <w:p w14:paraId="70C45B06" w14:textId="00F3FE54" w:rsidR="00647542" w:rsidRPr="00907622" w:rsidRDefault="00647542" w:rsidP="00647542">
      <w:pPr>
        <w:pStyle w:val="Pismenka"/>
        <w:tabs>
          <w:tab w:val="clear" w:pos="426"/>
          <w:tab w:val="num" w:pos="0"/>
        </w:tabs>
        <w:spacing w:after="120"/>
        <w:ind w:left="0" w:firstLine="0"/>
        <w:rPr>
          <w:b w:val="0"/>
          <w:bCs w:val="0"/>
          <w:sz w:val="22"/>
          <w:szCs w:val="22"/>
        </w:rPr>
      </w:pPr>
      <w:r w:rsidRPr="00907622">
        <w:rPr>
          <w:b w:val="0"/>
          <w:bCs w:val="0"/>
          <w:sz w:val="22"/>
          <w:szCs w:val="22"/>
        </w:rPr>
        <w:t xml:space="preserve">Najväčší podiel na zostatkovej hodnote softvéru má ústredná správa, pričom ide najmä o ministerstvá a ostatné štátne rozpočtové a príspevkové organizácie. Ústredná správa tvorí z celkovej hodnoty v súhrnnom celku </w:t>
      </w:r>
      <w:r w:rsidRPr="00C01A38">
        <w:rPr>
          <w:b w:val="0"/>
          <w:bCs w:val="0"/>
          <w:sz w:val="22"/>
          <w:szCs w:val="22"/>
        </w:rPr>
        <w:t>9</w:t>
      </w:r>
      <w:r w:rsidR="00C01A38" w:rsidRPr="0085799C">
        <w:rPr>
          <w:b w:val="0"/>
          <w:bCs w:val="0"/>
          <w:sz w:val="22"/>
          <w:szCs w:val="22"/>
        </w:rPr>
        <w:t>2</w:t>
      </w:r>
      <w:r w:rsidR="003909FA" w:rsidRPr="0085799C">
        <w:rPr>
          <w:b w:val="0"/>
          <w:bCs w:val="0"/>
          <w:sz w:val="22"/>
          <w:szCs w:val="22"/>
        </w:rPr>
        <w:t>,</w:t>
      </w:r>
      <w:r w:rsidRPr="00C01A38">
        <w:rPr>
          <w:b w:val="0"/>
          <w:bCs w:val="0"/>
          <w:sz w:val="22"/>
          <w:szCs w:val="22"/>
        </w:rPr>
        <w:t> </w:t>
      </w:r>
      <w:r w:rsidR="00C01A38" w:rsidRPr="0085799C">
        <w:rPr>
          <w:b w:val="0"/>
          <w:bCs w:val="0"/>
          <w:sz w:val="22"/>
          <w:szCs w:val="22"/>
        </w:rPr>
        <w:t xml:space="preserve">9 </w:t>
      </w:r>
      <w:r w:rsidRPr="00C01A38">
        <w:rPr>
          <w:b w:val="0"/>
          <w:bCs w:val="0"/>
          <w:sz w:val="22"/>
          <w:szCs w:val="22"/>
        </w:rPr>
        <w:t>%,</w:t>
      </w:r>
      <w:r w:rsidRPr="00907622">
        <w:rPr>
          <w:b w:val="0"/>
          <w:bCs w:val="0"/>
          <w:sz w:val="22"/>
          <w:szCs w:val="22"/>
        </w:rPr>
        <w:t xml:space="preserve"> v absolútnej hodnote je to </w:t>
      </w:r>
      <w:r w:rsidR="00D522B0">
        <w:rPr>
          <w:b w:val="0"/>
          <w:sz w:val="22"/>
          <w:szCs w:val="22"/>
        </w:rPr>
        <w:t>529 506</w:t>
      </w:r>
      <w:r w:rsidRPr="00907622">
        <w:rPr>
          <w:b w:val="0"/>
          <w:bCs w:val="0"/>
          <w:sz w:val="22"/>
          <w:szCs w:val="22"/>
        </w:rPr>
        <w:t> tis. eur (202</w:t>
      </w:r>
      <w:r w:rsidR="00B53EB7">
        <w:rPr>
          <w:b w:val="0"/>
          <w:bCs w:val="0"/>
          <w:sz w:val="22"/>
          <w:szCs w:val="22"/>
        </w:rPr>
        <w:t>3</w:t>
      </w:r>
      <w:r w:rsidRPr="00907622">
        <w:rPr>
          <w:b w:val="0"/>
          <w:bCs w:val="0"/>
          <w:sz w:val="22"/>
          <w:szCs w:val="22"/>
        </w:rPr>
        <w:t xml:space="preserve">: </w:t>
      </w:r>
      <w:r w:rsidR="002F5C58" w:rsidRPr="002F5C58">
        <w:rPr>
          <w:b w:val="0"/>
          <w:sz w:val="22"/>
          <w:szCs w:val="22"/>
        </w:rPr>
        <w:t>480</w:t>
      </w:r>
      <w:r w:rsidR="003C29F5">
        <w:rPr>
          <w:b w:val="0"/>
          <w:sz w:val="22"/>
          <w:szCs w:val="22"/>
        </w:rPr>
        <w:t xml:space="preserve"> </w:t>
      </w:r>
      <w:r w:rsidR="002F5C58" w:rsidRPr="002F5C58">
        <w:rPr>
          <w:b w:val="0"/>
          <w:sz w:val="22"/>
          <w:szCs w:val="22"/>
        </w:rPr>
        <w:t>984</w:t>
      </w:r>
      <w:r w:rsidRPr="00907622">
        <w:rPr>
          <w:b w:val="0"/>
          <w:bCs w:val="0"/>
          <w:sz w:val="22"/>
          <w:szCs w:val="22"/>
        </w:rPr>
        <w:t> tis. eur), a zároveň má aj v rámci dlhodobého nehmotného majetku rozhodujúci podiel na medziročnom prírastku o</w:t>
      </w:r>
      <w:r w:rsidR="005924C1">
        <w:rPr>
          <w:b w:val="0"/>
          <w:bCs w:val="0"/>
          <w:sz w:val="22"/>
          <w:szCs w:val="22"/>
        </w:rPr>
        <w:t> </w:t>
      </w:r>
      <w:r w:rsidR="0023743D" w:rsidRPr="0023743D">
        <w:rPr>
          <w:b w:val="0"/>
          <w:sz w:val="22"/>
          <w:szCs w:val="22"/>
        </w:rPr>
        <w:t>48</w:t>
      </w:r>
      <w:r w:rsidR="005924C1">
        <w:rPr>
          <w:b w:val="0"/>
          <w:sz w:val="22"/>
          <w:szCs w:val="22"/>
        </w:rPr>
        <w:t> </w:t>
      </w:r>
      <w:r w:rsidR="0023743D" w:rsidRPr="0023743D">
        <w:rPr>
          <w:b w:val="0"/>
          <w:sz w:val="22"/>
          <w:szCs w:val="22"/>
        </w:rPr>
        <w:t>52</w:t>
      </w:r>
      <w:r w:rsidR="0023743D">
        <w:rPr>
          <w:b w:val="0"/>
          <w:sz w:val="22"/>
          <w:szCs w:val="22"/>
        </w:rPr>
        <w:t>2</w:t>
      </w:r>
      <w:r w:rsidR="005924C1">
        <w:rPr>
          <w:b w:val="0"/>
          <w:sz w:val="22"/>
          <w:szCs w:val="22"/>
        </w:rPr>
        <w:t> </w:t>
      </w:r>
      <w:r w:rsidRPr="00907622">
        <w:rPr>
          <w:b w:val="0"/>
          <w:bCs w:val="0"/>
          <w:sz w:val="22"/>
          <w:szCs w:val="22"/>
        </w:rPr>
        <w:t>tis. eur.</w:t>
      </w:r>
    </w:p>
    <w:p w14:paraId="37E4E1AD" w14:textId="77777777" w:rsidR="00647542" w:rsidRPr="00907622" w:rsidRDefault="00647542" w:rsidP="00647542">
      <w:pPr>
        <w:pStyle w:val="Pismenka"/>
        <w:tabs>
          <w:tab w:val="clear" w:pos="426"/>
          <w:tab w:val="num" w:pos="0"/>
        </w:tabs>
        <w:spacing w:after="120"/>
        <w:ind w:left="0" w:firstLine="0"/>
        <w:rPr>
          <w:b w:val="0"/>
          <w:bCs w:val="0"/>
          <w:sz w:val="22"/>
          <w:szCs w:val="22"/>
        </w:rPr>
      </w:pPr>
      <w:r w:rsidRPr="00F740E9">
        <w:rPr>
          <w:b w:val="0"/>
          <w:sz w:val="22"/>
          <w:szCs w:val="22"/>
        </w:rPr>
        <w:t xml:space="preserve">V rozhodujúcej miere ide o informačné systémy, ktoré sú budované s cieľom zvyšovania elektronizácie verejnej správy, zjednodušovania komunikácie občanov so štátnymi úradmi, zabezpečenia nových úloh a kompetencií štátnych organizácií a elektronizácie ich súčasných procesov (napríklad účtovníctvo, výkazníctvo, registre, údajové databázy, komunikačné systémy a podobne). Medzi takéto projekty patrí napríklad elektronizácia súdnych služieb, poskytovanie služieb verejnosti a podnikateľským subjektom cez elektronický priečinok, jednotný informačný systém cestnej dopravy, elektronizácia vzdelávacieho systému regionálneho školstva, </w:t>
      </w:r>
      <w:proofErr w:type="spellStart"/>
      <w:r w:rsidRPr="00F740E9">
        <w:rPr>
          <w:b w:val="0"/>
          <w:sz w:val="22"/>
          <w:szCs w:val="22"/>
        </w:rPr>
        <w:t>internetizácia</w:t>
      </w:r>
      <w:proofErr w:type="spellEnd"/>
      <w:r w:rsidRPr="00F740E9">
        <w:rPr>
          <w:b w:val="0"/>
          <w:sz w:val="22"/>
          <w:szCs w:val="22"/>
        </w:rPr>
        <w:t xml:space="preserve"> Národného emisného informačného systému, povodňový a predpovedný systém, elektronické služby katastra nehnuteľností, informačné systémy Finančnej správy a mnohé ďalšie.</w:t>
      </w:r>
    </w:p>
    <w:p w14:paraId="62B28449" w14:textId="77777777" w:rsidR="00647542" w:rsidRPr="00907622" w:rsidRDefault="78F5BD70" w:rsidP="00647542">
      <w:pPr>
        <w:pStyle w:val="Pismenka"/>
        <w:tabs>
          <w:tab w:val="clear" w:pos="426"/>
          <w:tab w:val="num" w:pos="0"/>
        </w:tabs>
        <w:spacing w:after="120"/>
        <w:ind w:left="0" w:firstLine="0"/>
        <w:rPr>
          <w:b w:val="0"/>
          <w:bCs w:val="0"/>
          <w:sz w:val="22"/>
          <w:szCs w:val="22"/>
        </w:rPr>
      </w:pPr>
      <w:r w:rsidRPr="00F740E9">
        <w:rPr>
          <w:b w:val="0"/>
          <w:sz w:val="22"/>
          <w:szCs w:val="22"/>
        </w:rPr>
        <w:t>Do druhej kategórie softvérov patria systémy, ktoré majú slúžiť na zber, analýzu a vyhodnocovanie dát od fyzických a právnických osôb, napríklad Register obyvateľov, Rezortný informačný systém pod rezortom školstva, register úpadcov v rezorte spravodlivosti, Centrálny konsolidačný systém a Rozpočtový informačný systém Ministerstva financií SR, informačný systém Štátnej pokladnice, Nadrezortný ekonomický systém, Centrálny ekonomický systém, Register účtovných závierok, ekonomické softvéry ministerstiev a organizácií štátnej správy.</w:t>
      </w:r>
      <w:r w:rsidRPr="00907622">
        <w:rPr>
          <w:b w:val="0"/>
          <w:bCs w:val="0"/>
          <w:sz w:val="22"/>
          <w:szCs w:val="22"/>
        </w:rPr>
        <w:t xml:space="preserve"> </w:t>
      </w:r>
    </w:p>
    <w:p w14:paraId="21549646" w14:textId="2AAA975A" w:rsidR="17576A30" w:rsidRPr="0085799C" w:rsidRDefault="17576A30" w:rsidP="0085799C">
      <w:pPr>
        <w:spacing w:after="120" w:line="240" w:lineRule="auto"/>
        <w:jc w:val="both"/>
        <w:rPr>
          <w:rFonts w:ascii="Times New Roman" w:eastAsia="Calibri" w:hAnsi="Times New Roman"/>
          <w:szCs w:val="22"/>
        </w:rPr>
      </w:pPr>
      <w:r w:rsidRPr="0085799C">
        <w:rPr>
          <w:rFonts w:ascii="Times New Roman" w:eastAsia="Calibri" w:hAnsi="Times New Roman"/>
          <w:szCs w:val="22"/>
        </w:rPr>
        <w:t xml:space="preserve">Najvyššiu hodnotu softvéru </w:t>
      </w:r>
      <w:r w:rsidR="00FD5985" w:rsidRPr="0085799C">
        <w:rPr>
          <w:rFonts w:ascii="Times New Roman" w:eastAsia="Calibri" w:hAnsi="Times New Roman"/>
          <w:szCs w:val="22"/>
        </w:rPr>
        <w:t xml:space="preserve">v rámci ústrednej správy </w:t>
      </w:r>
      <w:r w:rsidRPr="0085799C">
        <w:rPr>
          <w:rFonts w:ascii="Times New Roman" w:eastAsia="Calibri" w:hAnsi="Times New Roman"/>
          <w:szCs w:val="22"/>
        </w:rPr>
        <w:t xml:space="preserve">vykázalo </w:t>
      </w:r>
      <w:r w:rsidRPr="0085799C">
        <w:rPr>
          <w:rFonts w:ascii="Times New Roman" w:eastAsia="Calibri" w:hAnsi="Times New Roman"/>
          <w:u w:val="single"/>
        </w:rPr>
        <w:t>Ministerstvo vnútra SR</w:t>
      </w:r>
      <w:r w:rsidRPr="0085799C">
        <w:rPr>
          <w:rFonts w:ascii="Times New Roman" w:eastAsia="Calibri" w:hAnsi="Times New Roman"/>
          <w:szCs w:val="22"/>
        </w:rPr>
        <w:t xml:space="preserve"> (76 05</w:t>
      </w:r>
      <w:r w:rsidR="001A65A8">
        <w:rPr>
          <w:rFonts w:ascii="Times New Roman" w:eastAsia="Calibri" w:hAnsi="Times New Roman"/>
          <w:szCs w:val="22"/>
        </w:rPr>
        <w:t>9</w:t>
      </w:r>
      <w:r w:rsidRPr="0085799C">
        <w:rPr>
          <w:rFonts w:ascii="Times New Roman" w:eastAsia="Calibri" w:hAnsi="Times New Roman"/>
          <w:szCs w:val="22"/>
        </w:rPr>
        <w:t xml:space="preserve"> </w:t>
      </w:r>
      <w:r w:rsidR="00E5705E" w:rsidRPr="0085799C">
        <w:rPr>
          <w:rFonts w:ascii="Times New Roman" w:eastAsia="Calibri" w:hAnsi="Times New Roman"/>
          <w:szCs w:val="22"/>
        </w:rPr>
        <w:t>tis.</w:t>
      </w:r>
      <w:r w:rsidRPr="0085799C">
        <w:rPr>
          <w:rFonts w:ascii="Times New Roman" w:eastAsia="Calibri" w:hAnsi="Times New Roman"/>
          <w:szCs w:val="22"/>
        </w:rPr>
        <w:t xml:space="preserve"> eur), </w:t>
      </w:r>
      <w:r w:rsidRPr="0085799C">
        <w:rPr>
          <w:rFonts w:ascii="Times New Roman" w:eastAsia="Calibri" w:hAnsi="Times New Roman"/>
          <w:u w:val="single"/>
        </w:rPr>
        <w:t>Finančné riaditeľstvo SR</w:t>
      </w:r>
      <w:r w:rsidRPr="0085799C">
        <w:rPr>
          <w:rFonts w:ascii="Times New Roman" w:eastAsia="Calibri" w:hAnsi="Times New Roman"/>
          <w:szCs w:val="22"/>
        </w:rPr>
        <w:t xml:space="preserve"> (64 395 </w:t>
      </w:r>
      <w:r w:rsidR="00E5705E" w:rsidRPr="0085799C">
        <w:rPr>
          <w:rFonts w:ascii="Times New Roman" w:eastAsia="Calibri" w:hAnsi="Times New Roman"/>
          <w:szCs w:val="22"/>
        </w:rPr>
        <w:t xml:space="preserve">tis. </w:t>
      </w:r>
      <w:r w:rsidRPr="0085799C">
        <w:rPr>
          <w:rFonts w:ascii="Times New Roman" w:eastAsia="Calibri" w:hAnsi="Times New Roman"/>
          <w:szCs w:val="22"/>
        </w:rPr>
        <w:t xml:space="preserve">eur) a </w:t>
      </w:r>
      <w:r w:rsidRPr="0085799C">
        <w:rPr>
          <w:rFonts w:ascii="Times New Roman" w:eastAsia="Calibri" w:hAnsi="Times New Roman"/>
          <w:u w:val="single"/>
        </w:rPr>
        <w:t>Ministerstvo investícií, regionálneho rozvoja a informatizácie SR</w:t>
      </w:r>
      <w:r w:rsidRPr="0085799C">
        <w:rPr>
          <w:rFonts w:ascii="Times New Roman" w:eastAsia="Calibri" w:hAnsi="Times New Roman"/>
          <w:szCs w:val="22"/>
        </w:rPr>
        <w:t xml:space="preserve"> (32 83</w:t>
      </w:r>
      <w:r w:rsidR="001A65A8">
        <w:rPr>
          <w:rFonts w:ascii="Times New Roman" w:eastAsia="Calibri" w:hAnsi="Times New Roman"/>
          <w:szCs w:val="22"/>
        </w:rPr>
        <w:t>8</w:t>
      </w:r>
      <w:r w:rsidRPr="0085799C">
        <w:rPr>
          <w:rFonts w:ascii="Times New Roman" w:eastAsia="Calibri" w:hAnsi="Times New Roman"/>
          <w:szCs w:val="22"/>
        </w:rPr>
        <w:t xml:space="preserve"> </w:t>
      </w:r>
      <w:r w:rsidR="00E5705E" w:rsidRPr="0085799C">
        <w:rPr>
          <w:rFonts w:ascii="Times New Roman" w:eastAsia="Calibri" w:hAnsi="Times New Roman"/>
          <w:szCs w:val="22"/>
        </w:rPr>
        <w:t>tis.</w:t>
      </w:r>
      <w:r w:rsidRPr="0085799C">
        <w:rPr>
          <w:rFonts w:ascii="Times New Roman" w:eastAsia="Calibri" w:hAnsi="Times New Roman"/>
          <w:szCs w:val="22"/>
        </w:rPr>
        <w:t xml:space="preserve"> eur).</w:t>
      </w:r>
    </w:p>
    <w:p w14:paraId="3D294DD8" w14:textId="10F1F586" w:rsidR="037E2A26" w:rsidRPr="001D3111" w:rsidRDefault="037E2A26" w:rsidP="0085799C">
      <w:pPr>
        <w:pStyle w:val="Pismenka"/>
        <w:tabs>
          <w:tab w:val="clear" w:pos="426"/>
        </w:tabs>
        <w:spacing w:after="120"/>
        <w:ind w:left="0" w:firstLine="0"/>
        <w:rPr>
          <w:rFonts w:eastAsia="Calibri"/>
          <w:szCs w:val="22"/>
        </w:rPr>
      </w:pPr>
      <w:r w:rsidRPr="0085799C">
        <w:rPr>
          <w:rFonts w:eastAsia="Calibri"/>
          <w:b w:val="0"/>
          <w:sz w:val="22"/>
          <w:szCs w:val="22"/>
        </w:rPr>
        <w:t xml:space="preserve">Najvýznamnejší nárast vykázalo </w:t>
      </w:r>
      <w:r w:rsidRPr="0085799C">
        <w:rPr>
          <w:rFonts w:eastAsia="Calibri"/>
          <w:b w:val="0"/>
          <w:sz w:val="22"/>
          <w:szCs w:val="22"/>
          <w:u w:val="single"/>
        </w:rPr>
        <w:t>Ministerstvo vnútra SR</w:t>
      </w:r>
      <w:r w:rsidRPr="0085799C">
        <w:rPr>
          <w:rFonts w:eastAsia="Calibri"/>
          <w:b w:val="0"/>
          <w:sz w:val="22"/>
          <w:szCs w:val="22"/>
        </w:rPr>
        <w:t xml:space="preserve"> (o 24 219 </w:t>
      </w:r>
      <w:r w:rsidR="008D73B4" w:rsidRPr="0085799C">
        <w:rPr>
          <w:rFonts w:eastAsia="Calibri"/>
          <w:b w:val="0"/>
          <w:sz w:val="22"/>
          <w:szCs w:val="22"/>
        </w:rPr>
        <w:t>tis.</w:t>
      </w:r>
      <w:r w:rsidRPr="0085799C">
        <w:rPr>
          <w:rFonts w:eastAsia="Calibri"/>
          <w:b w:val="0"/>
          <w:sz w:val="22"/>
          <w:szCs w:val="22"/>
        </w:rPr>
        <w:t xml:space="preserve"> eur), ktoré v roku 2024 realizovalo projekty ako sú Životné situácie, upgrade IS REGOB, upgrade IIS MV SR (SAP) a prechod na SAP HANA a ďalšie projekty týkajúce sa informačných systémov v rámci MV SR, </w:t>
      </w:r>
      <w:r w:rsidRPr="00A7107D">
        <w:rPr>
          <w:rFonts w:eastAsia="Calibri"/>
          <w:b w:val="0"/>
          <w:iCs/>
          <w:sz w:val="22"/>
          <w:szCs w:val="22"/>
          <w:u w:val="single"/>
        </w:rPr>
        <w:t>Ministerstvo životného prostredia SR</w:t>
      </w:r>
      <w:r w:rsidRPr="0085799C">
        <w:rPr>
          <w:rFonts w:eastAsia="Calibri"/>
          <w:b w:val="0"/>
          <w:i/>
          <w:sz w:val="22"/>
          <w:szCs w:val="22"/>
        </w:rPr>
        <w:t xml:space="preserve"> </w:t>
      </w:r>
      <w:r w:rsidRPr="0085799C">
        <w:rPr>
          <w:rFonts w:eastAsia="Calibri"/>
          <w:b w:val="0"/>
          <w:sz w:val="22"/>
          <w:szCs w:val="22"/>
        </w:rPr>
        <w:t>(o 15</w:t>
      </w:r>
      <w:r w:rsidR="008D73B4" w:rsidRPr="0085799C">
        <w:rPr>
          <w:rFonts w:eastAsia="Calibri"/>
          <w:b w:val="0"/>
          <w:sz w:val="22"/>
          <w:szCs w:val="22"/>
        </w:rPr>
        <w:t> </w:t>
      </w:r>
      <w:r w:rsidRPr="0085799C">
        <w:rPr>
          <w:rFonts w:eastAsia="Calibri"/>
          <w:b w:val="0"/>
          <w:sz w:val="22"/>
          <w:szCs w:val="22"/>
        </w:rPr>
        <w:t>04</w:t>
      </w:r>
      <w:r w:rsidR="008D73B4" w:rsidRPr="0085799C">
        <w:rPr>
          <w:rFonts w:eastAsia="Calibri"/>
          <w:b w:val="0"/>
          <w:sz w:val="22"/>
          <w:szCs w:val="22"/>
        </w:rPr>
        <w:t>1 tis.</w:t>
      </w:r>
      <w:r w:rsidRPr="0085799C">
        <w:rPr>
          <w:rFonts w:eastAsia="Calibri"/>
          <w:b w:val="0"/>
          <w:sz w:val="22"/>
          <w:szCs w:val="22"/>
        </w:rPr>
        <w:t xml:space="preserve"> eur), ktoré v roku 2024 evidovalo na tejto položke softvér týkajúci sa projektu Informačný systém odpadového hospodárstva (ISOH), informačný systém Register priestorových informácií a NUNTIO - elektronická správa registratúry a </w:t>
      </w:r>
      <w:r w:rsidRPr="00A7107D">
        <w:rPr>
          <w:rFonts w:eastAsia="Calibri"/>
          <w:b w:val="0"/>
          <w:iCs/>
          <w:sz w:val="22"/>
          <w:szCs w:val="22"/>
          <w:u w:val="single"/>
        </w:rPr>
        <w:t xml:space="preserve">Slovenský vodohospodársky podnik, </w:t>
      </w:r>
      <w:proofErr w:type="spellStart"/>
      <w:r w:rsidRPr="00A7107D">
        <w:rPr>
          <w:rFonts w:eastAsia="Calibri"/>
          <w:b w:val="0"/>
          <w:iCs/>
          <w:sz w:val="22"/>
          <w:szCs w:val="22"/>
          <w:u w:val="single"/>
        </w:rPr>
        <w:t>š.p</w:t>
      </w:r>
      <w:proofErr w:type="spellEnd"/>
      <w:r w:rsidRPr="00A7107D">
        <w:rPr>
          <w:rFonts w:eastAsia="Calibri"/>
          <w:b w:val="0"/>
          <w:iCs/>
          <w:sz w:val="22"/>
          <w:szCs w:val="22"/>
          <w:u w:val="single"/>
        </w:rPr>
        <w:t xml:space="preserve">. </w:t>
      </w:r>
      <w:r w:rsidRPr="0085799C">
        <w:rPr>
          <w:rFonts w:eastAsia="Calibri"/>
          <w:b w:val="0"/>
          <w:sz w:val="22"/>
          <w:szCs w:val="22"/>
        </w:rPr>
        <w:t xml:space="preserve">(o 14 277 </w:t>
      </w:r>
      <w:r w:rsidR="008D73B4" w:rsidRPr="0085799C">
        <w:rPr>
          <w:rFonts w:eastAsia="Calibri"/>
          <w:b w:val="0"/>
          <w:sz w:val="22"/>
          <w:szCs w:val="22"/>
        </w:rPr>
        <w:t>tis.</w:t>
      </w:r>
      <w:r w:rsidRPr="0085799C">
        <w:rPr>
          <w:rFonts w:eastAsia="Calibri"/>
          <w:b w:val="0"/>
          <w:sz w:val="22"/>
          <w:szCs w:val="22"/>
        </w:rPr>
        <w:t xml:space="preserve"> eur), z dôvodu zaradenia aktualizácie softvéru Hodnotenie a manažment povodňových rizík a TIS rozvoj vodných tokov.</w:t>
      </w:r>
    </w:p>
    <w:p w14:paraId="7D55595E" w14:textId="7BADBF66" w:rsidR="037E2A26" w:rsidRPr="0085799C" w:rsidRDefault="037E2A26" w:rsidP="0085799C">
      <w:pPr>
        <w:spacing w:after="120" w:line="240" w:lineRule="auto"/>
        <w:jc w:val="both"/>
        <w:rPr>
          <w:rFonts w:ascii="Times New Roman" w:eastAsia="Calibri" w:hAnsi="Times New Roman"/>
          <w:szCs w:val="22"/>
        </w:rPr>
      </w:pPr>
      <w:r w:rsidRPr="0085799C">
        <w:rPr>
          <w:rFonts w:ascii="Times New Roman" w:eastAsia="Calibri" w:hAnsi="Times New Roman"/>
          <w:szCs w:val="22"/>
        </w:rPr>
        <w:t xml:space="preserve">Najvýznamnejší pokles v softvéri vykázalo </w:t>
      </w:r>
      <w:r w:rsidRPr="0085799C">
        <w:rPr>
          <w:rFonts w:ascii="Times New Roman" w:eastAsia="Calibri" w:hAnsi="Times New Roman"/>
          <w:u w:val="single"/>
        </w:rPr>
        <w:t>Ministerstvo investícií, regionálneho rozvoja a informatizácie SR</w:t>
      </w:r>
      <w:r w:rsidRPr="0085799C">
        <w:rPr>
          <w:rFonts w:ascii="Times New Roman" w:eastAsia="Calibri" w:hAnsi="Times New Roman"/>
          <w:szCs w:val="22"/>
        </w:rPr>
        <w:t xml:space="preserve"> (o 14 412 </w:t>
      </w:r>
      <w:r w:rsidR="008D73B4" w:rsidRPr="0085799C">
        <w:rPr>
          <w:rFonts w:ascii="Times New Roman" w:eastAsia="Calibri" w:hAnsi="Times New Roman"/>
          <w:szCs w:val="22"/>
        </w:rPr>
        <w:t>tis.</w:t>
      </w:r>
      <w:r w:rsidRPr="0085799C">
        <w:rPr>
          <w:rFonts w:ascii="Times New Roman" w:eastAsia="Arial" w:hAnsi="Times New Roman"/>
          <w:szCs w:val="22"/>
        </w:rPr>
        <w:t xml:space="preserve"> </w:t>
      </w:r>
      <w:r w:rsidRPr="0085799C">
        <w:rPr>
          <w:rFonts w:ascii="Times New Roman" w:eastAsia="Calibri" w:hAnsi="Times New Roman"/>
          <w:szCs w:val="22"/>
        </w:rPr>
        <w:t xml:space="preserve">eur). Pokles na tejto položke spôsobil najmä prevod správy majetku (PSM) v celkovej hodnote 4 699 </w:t>
      </w:r>
      <w:r w:rsidR="00871957" w:rsidRPr="0085799C">
        <w:rPr>
          <w:rFonts w:ascii="Times New Roman" w:eastAsia="Calibri" w:hAnsi="Times New Roman"/>
          <w:szCs w:val="22"/>
        </w:rPr>
        <w:t>tis.</w:t>
      </w:r>
      <w:r w:rsidRPr="0085799C">
        <w:rPr>
          <w:rFonts w:ascii="Times New Roman" w:eastAsia="Calibri" w:hAnsi="Times New Roman"/>
          <w:szCs w:val="22"/>
        </w:rPr>
        <w:t xml:space="preserve"> eur ako napr. MOU – manažment osobných údajov, ktorého obstarávacia cena bola 7 631 </w:t>
      </w:r>
      <w:r w:rsidR="00871957" w:rsidRPr="0085799C">
        <w:rPr>
          <w:rFonts w:ascii="Times New Roman" w:eastAsia="Calibri" w:hAnsi="Times New Roman"/>
          <w:szCs w:val="22"/>
        </w:rPr>
        <w:t>tis.</w:t>
      </w:r>
      <w:r w:rsidRPr="0085799C">
        <w:rPr>
          <w:rFonts w:ascii="Times New Roman" w:eastAsia="Calibri" w:hAnsi="Times New Roman"/>
          <w:szCs w:val="22"/>
        </w:rPr>
        <w:t xml:space="preserve"> eur a prevodom správy majetky ho delimitovali na Ministerstvo vnútra SR v zostatkovej cene 4 667 </w:t>
      </w:r>
      <w:r w:rsidR="00871957" w:rsidRPr="0085799C">
        <w:rPr>
          <w:rFonts w:ascii="Times New Roman" w:eastAsia="Calibri" w:hAnsi="Times New Roman"/>
          <w:szCs w:val="22"/>
        </w:rPr>
        <w:t>tis. eur</w:t>
      </w:r>
      <w:r w:rsidRPr="0085799C">
        <w:rPr>
          <w:rFonts w:ascii="Times New Roman" w:eastAsia="Calibri" w:hAnsi="Times New Roman"/>
          <w:szCs w:val="22"/>
        </w:rPr>
        <w:t xml:space="preserve">, </w:t>
      </w:r>
      <w:proofErr w:type="spellStart"/>
      <w:r w:rsidRPr="0085799C">
        <w:rPr>
          <w:rFonts w:ascii="Times New Roman" w:eastAsia="Calibri" w:hAnsi="Times New Roman"/>
          <w:szCs w:val="22"/>
        </w:rPr>
        <w:t>Smartmobilita</w:t>
      </w:r>
      <w:proofErr w:type="spellEnd"/>
      <w:r w:rsidRPr="0085799C">
        <w:rPr>
          <w:rFonts w:ascii="Times New Roman" w:eastAsia="Calibri" w:hAnsi="Times New Roman"/>
          <w:szCs w:val="22"/>
        </w:rPr>
        <w:t xml:space="preserve"> a samotným odpisovaním majetku  ako napr. softvér stupeň utajenia DÔVERNÉ – v gescii CSIRT, informačný systém IOM (Integrované obslužné miesto),  informačný systém CSRÚ (centrálna správa referenčných údajov), META IS (centrálny </w:t>
      </w:r>
      <w:proofErr w:type="spellStart"/>
      <w:r w:rsidRPr="0085799C">
        <w:rPr>
          <w:rFonts w:ascii="Times New Roman" w:eastAsia="Calibri" w:hAnsi="Times New Roman"/>
          <w:szCs w:val="22"/>
        </w:rPr>
        <w:t>metainformačný</w:t>
      </w:r>
      <w:proofErr w:type="spellEnd"/>
      <w:r w:rsidRPr="0085799C">
        <w:rPr>
          <w:rFonts w:ascii="Times New Roman" w:eastAsia="Calibri" w:hAnsi="Times New Roman"/>
          <w:szCs w:val="22"/>
        </w:rPr>
        <w:t xml:space="preserve"> systém verejnej správy).</w:t>
      </w:r>
    </w:p>
    <w:p w14:paraId="3422105A" w14:textId="34F494C8" w:rsidR="037E2A26" w:rsidRPr="0085799C" w:rsidRDefault="037E2A26" w:rsidP="0085799C">
      <w:pPr>
        <w:spacing w:after="120" w:line="240" w:lineRule="auto"/>
        <w:jc w:val="both"/>
        <w:rPr>
          <w:rFonts w:ascii="Times New Roman" w:eastAsia="Calibri" w:hAnsi="Times New Roman"/>
        </w:rPr>
      </w:pPr>
      <w:r w:rsidRPr="0085799C">
        <w:rPr>
          <w:rFonts w:ascii="Times New Roman" w:eastAsia="Calibri" w:hAnsi="Times New Roman"/>
          <w:u w:val="single"/>
        </w:rPr>
        <w:t>Kapitola Ministerstva financií SR</w:t>
      </w:r>
      <w:r w:rsidRPr="0085799C">
        <w:rPr>
          <w:rFonts w:ascii="Times New Roman" w:eastAsia="Calibri" w:hAnsi="Times New Roman"/>
        </w:rPr>
        <w:t xml:space="preserve"> na tejto položke majetku vykázala hodnotu 117 507 </w:t>
      </w:r>
      <w:r w:rsidR="00A5566C" w:rsidRPr="0085799C">
        <w:rPr>
          <w:rFonts w:ascii="Times New Roman" w:eastAsia="Calibri" w:hAnsi="Times New Roman"/>
        </w:rPr>
        <w:t xml:space="preserve">tis. </w:t>
      </w:r>
      <w:r w:rsidRPr="0085799C">
        <w:rPr>
          <w:rFonts w:ascii="Times New Roman" w:eastAsia="Calibri" w:hAnsi="Times New Roman"/>
        </w:rPr>
        <w:t xml:space="preserve">eur a v rámci nej najvyššiu hodnotu účtovná jednotka </w:t>
      </w:r>
      <w:r w:rsidRPr="0085799C">
        <w:rPr>
          <w:rFonts w:ascii="Times New Roman" w:eastAsia="Calibri" w:hAnsi="Times New Roman"/>
          <w:u w:val="single"/>
        </w:rPr>
        <w:t>Finančné riaditeľstvo SR</w:t>
      </w:r>
      <w:r w:rsidRPr="0085799C">
        <w:rPr>
          <w:rFonts w:ascii="Times New Roman" w:eastAsia="Calibri" w:hAnsi="Times New Roman"/>
          <w:b/>
          <w:i/>
        </w:rPr>
        <w:t xml:space="preserve"> </w:t>
      </w:r>
      <w:r w:rsidRPr="0085799C">
        <w:rPr>
          <w:rFonts w:ascii="Times New Roman" w:eastAsia="Calibri" w:hAnsi="Times New Roman"/>
        </w:rPr>
        <w:t xml:space="preserve">64 395 </w:t>
      </w:r>
      <w:r w:rsidR="00A5566C" w:rsidRPr="0085799C">
        <w:rPr>
          <w:rFonts w:ascii="Times New Roman" w:eastAsia="Calibri" w:hAnsi="Times New Roman"/>
        </w:rPr>
        <w:t>tis.</w:t>
      </w:r>
      <w:r w:rsidRPr="0085799C">
        <w:rPr>
          <w:rFonts w:ascii="Times New Roman" w:eastAsia="Calibri" w:hAnsi="Times New Roman"/>
        </w:rPr>
        <w:t xml:space="preserve"> eur, </w:t>
      </w:r>
      <w:r w:rsidRPr="0085799C">
        <w:rPr>
          <w:rFonts w:ascii="Times New Roman" w:eastAsia="Calibri" w:hAnsi="Times New Roman"/>
          <w:u w:val="single"/>
        </w:rPr>
        <w:t>Ministerstvo financií SR</w:t>
      </w:r>
      <w:r w:rsidRPr="0085799C">
        <w:rPr>
          <w:rFonts w:ascii="Times New Roman" w:eastAsia="Calibri" w:hAnsi="Times New Roman"/>
        </w:rPr>
        <w:t xml:space="preserve"> 23</w:t>
      </w:r>
      <w:r w:rsidRPr="77BB8F84">
        <w:rPr>
          <w:rFonts w:ascii="Times New Roman" w:eastAsia="Calibri" w:hAnsi="Times New Roman"/>
        </w:rPr>
        <w:t xml:space="preserve"> </w:t>
      </w:r>
      <w:r w:rsidRPr="0085799C">
        <w:rPr>
          <w:rFonts w:ascii="Times New Roman" w:eastAsia="Calibri" w:hAnsi="Times New Roman"/>
        </w:rPr>
        <w:t xml:space="preserve">828 </w:t>
      </w:r>
      <w:r w:rsidR="00A5566C" w:rsidRPr="0085799C">
        <w:rPr>
          <w:rFonts w:ascii="Times New Roman" w:eastAsia="Calibri" w:hAnsi="Times New Roman"/>
        </w:rPr>
        <w:t>tis.</w:t>
      </w:r>
      <w:r w:rsidRPr="0085799C">
        <w:rPr>
          <w:rFonts w:ascii="Times New Roman" w:eastAsia="Calibri" w:hAnsi="Times New Roman"/>
        </w:rPr>
        <w:t xml:space="preserve"> eur a </w:t>
      </w:r>
      <w:r w:rsidRPr="0085799C">
        <w:rPr>
          <w:rFonts w:ascii="Times New Roman" w:eastAsia="Calibri" w:hAnsi="Times New Roman"/>
          <w:u w:val="single"/>
        </w:rPr>
        <w:t>Slovenská elektrizačná prenosová sústava, a.s.</w:t>
      </w:r>
      <w:r w:rsidRPr="0085799C">
        <w:rPr>
          <w:rFonts w:ascii="Times New Roman" w:eastAsia="Calibri" w:hAnsi="Times New Roman"/>
          <w:b/>
          <w:i/>
        </w:rPr>
        <w:t xml:space="preserve"> </w:t>
      </w:r>
      <w:r w:rsidRPr="0085799C">
        <w:rPr>
          <w:rFonts w:ascii="Times New Roman" w:eastAsia="Calibri" w:hAnsi="Times New Roman"/>
        </w:rPr>
        <w:t>15</w:t>
      </w:r>
      <w:r w:rsidR="00A5566C" w:rsidRPr="0085799C">
        <w:rPr>
          <w:rFonts w:ascii="Times New Roman" w:eastAsia="Calibri" w:hAnsi="Times New Roman"/>
        </w:rPr>
        <w:t> </w:t>
      </w:r>
      <w:r w:rsidRPr="0085799C">
        <w:rPr>
          <w:rFonts w:ascii="Times New Roman" w:eastAsia="Calibri" w:hAnsi="Times New Roman"/>
        </w:rPr>
        <w:t>92</w:t>
      </w:r>
      <w:r w:rsidR="00A5566C" w:rsidRPr="0085799C">
        <w:rPr>
          <w:rFonts w:ascii="Times New Roman" w:eastAsia="Calibri" w:hAnsi="Times New Roman"/>
        </w:rPr>
        <w:t>3 tis.</w:t>
      </w:r>
      <w:r w:rsidRPr="0085799C">
        <w:rPr>
          <w:rFonts w:ascii="Times New Roman" w:eastAsia="Calibri" w:hAnsi="Times New Roman"/>
        </w:rPr>
        <w:t xml:space="preserve"> eur. </w:t>
      </w:r>
    </w:p>
    <w:p w14:paraId="74F9A676" w14:textId="0D00D95A" w:rsidR="037E2A26" w:rsidRPr="0085799C" w:rsidRDefault="037E2A26" w:rsidP="0085799C">
      <w:pPr>
        <w:spacing w:after="120" w:line="240" w:lineRule="auto"/>
        <w:jc w:val="both"/>
        <w:rPr>
          <w:rFonts w:ascii="Times New Roman" w:eastAsia="Calibri" w:hAnsi="Times New Roman"/>
        </w:rPr>
      </w:pPr>
      <w:r w:rsidRPr="0085799C">
        <w:rPr>
          <w:rFonts w:ascii="Times New Roman" w:eastAsia="Calibri" w:hAnsi="Times New Roman"/>
          <w:u w:val="single"/>
        </w:rPr>
        <w:t>Finančné riaditeľstvo SR</w:t>
      </w:r>
      <w:r w:rsidRPr="0085799C">
        <w:rPr>
          <w:rFonts w:ascii="Times New Roman" w:eastAsia="Calibri" w:hAnsi="Times New Roman"/>
        </w:rPr>
        <w:t xml:space="preserve"> vykázalo celkový nárast hodnoty softvéru v hodnote 8 103 </w:t>
      </w:r>
      <w:r w:rsidR="00A5566C" w:rsidRPr="0085799C">
        <w:rPr>
          <w:rFonts w:ascii="Times New Roman" w:eastAsia="Calibri" w:hAnsi="Times New Roman"/>
        </w:rPr>
        <w:t>tis.</w:t>
      </w:r>
      <w:r w:rsidRPr="0085799C">
        <w:rPr>
          <w:rFonts w:ascii="Times New Roman" w:eastAsia="Calibri" w:hAnsi="Times New Roman"/>
        </w:rPr>
        <w:t xml:space="preserve"> eur</w:t>
      </w:r>
      <w:r w:rsidR="00942350" w:rsidRPr="0085799C">
        <w:rPr>
          <w:rFonts w:ascii="Times New Roman" w:eastAsia="Calibri" w:hAnsi="Times New Roman"/>
        </w:rPr>
        <w:t xml:space="preserve">, a to najmä </w:t>
      </w:r>
      <w:r w:rsidRPr="0085799C">
        <w:rPr>
          <w:rFonts w:ascii="Times New Roman" w:eastAsia="Calibri" w:hAnsi="Times New Roman"/>
        </w:rPr>
        <w:t>zaradením nového majetku v roku 2024 v obstarávacej cene bolo 25</w:t>
      </w:r>
      <w:r w:rsidR="00A8181C" w:rsidRPr="0085799C">
        <w:rPr>
          <w:rFonts w:ascii="Times New Roman" w:eastAsia="Calibri" w:hAnsi="Times New Roman"/>
        </w:rPr>
        <w:t> </w:t>
      </w:r>
      <w:r w:rsidRPr="0085799C">
        <w:rPr>
          <w:rFonts w:ascii="Times New Roman" w:eastAsia="Calibri" w:hAnsi="Times New Roman"/>
        </w:rPr>
        <w:t>15</w:t>
      </w:r>
      <w:r w:rsidR="00A8181C" w:rsidRPr="0085799C">
        <w:rPr>
          <w:rFonts w:ascii="Times New Roman" w:eastAsia="Calibri" w:hAnsi="Times New Roman"/>
        </w:rPr>
        <w:t>3 tis.</w:t>
      </w:r>
      <w:r w:rsidRPr="0085799C">
        <w:rPr>
          <w:rFonts w:ascii="Times New Roman" w:eastAsia="Calibri" w:hAnsi="Times New Roman"/>
        </w:rPr>
        <w:t xml:space="preserve"> eur a nadobudnutím bezodplatného prevodu v celkovej hodnote 41 60</w:t>
      </w:r>
      <w:r w:rsidR="00A8181C" w:rsidRPr="0085799C">
        <w:rPr>
          <w:rFonts w:ascii="Times New Roman" w:eastAsia="Calibri" w:hAnsi="Times New Roman"/>
        </w:rPr>
        <w:t>5</w:t>
      </w:r>
      <w:r w:rsidRPr="0085799C">
        <w:rPr>
          <w:rFonts w:ascii="Times New Roman" w:eastAsia="Calibri" w:hAnsi="Times New Roman"/>
        </w:rPr>
        <w:t xml:space="preserve"> </w:t>
      </w:r>
      <w:r w:rsidR="00A8181C" w:rsidRPr="0085799C">
        <w:rPr>
          <w:rFonts w:ascii="Times New Roman" w:eastAsia="Calibri" w:hAnsi="Times New Roman"/>
        </w:rPr>
        <w:t>tis.</w:t>
      </w:r>
      <w:r w:rsidRPr="0085799C">
        <w:rPr>
          <w:rFonts w:ascii="Times New Roman" w:eastAsia="Calibri" w:hAnsi="Times New Roman"/>
        </w:rPr>
        <w:t xml:space="preserve"> eur. Obstarané boli najmä licencie na upgrade existujúcich informačných systémov, ktoré sa týkali najmä zabezpečenia nových funkcionalít</w:t>
      </w:r>
      <w:r w:rsidR="00A02729">
        <w:rPr>
          <w:rFonts w:ascii="Times New Roman" w:eastAsia="Calibri" w:hAnsi="Times New Roman"/>
        </w:rPr>
        <w:t xml:space="preserve"> existujúceho aplikačného programového vybavenia (najmä</w:t>
      </w:r>
      <w:r w:rsidRPr="0085799C">
        <w:rPr>
          <w:rFonts w:ascii="Times New Roman" w:eastAsia="Calibri" w:hAnsi="Times New Roman"/>
        </w:rPr>
        <w:t xml:space="preserve"> Integrovaného systému finančnej správy – správa daní ISFS-SD, </w:t>
      </w:r>
      <w:r w:rsidR="00A02729">
        <w:rPr>
          <w:rFonts w:ascii="Times New Roman" w:eastAsia="Calibri" w:hAnsi="Times New Roman"/>
        </w:rPr>
        <w:t xml:space="preserve">pre </w:t>
      </w:r>
      <w:r w:rsidRPr="0085799C">
        <w:rPr>
          <w:rFonts w:ascii="Times New Roman" w:eastAsia="Calibri" w:hAnsi="Times New Roman"/>
        </w:rPr>
        <w:t xml:space="preserve">správu nepriamych daní – APV </w:t>
      </w:r>
      <w:proofErr w:type="spellStart"/>
      <w:r w:rsidRPr="0085799C">
        <w:rPr>
          <w:rFonts w:ascii="Times New Roman" w:eastAsia="Calibri" w:hAnsi="Times New Roman"/>
        </w:rPr>
        <w:t>SysNeD</w:t>
      </w:r>
      <w:proofErr w:type="spellEnd"/>
      <w:r w:rsidRPr="0085799C">
        <w:rPr>
          <w:rFonts w:ascii="Times New Roman" w:eastAsia="Calibri" w:hAnsi="Times New Roman"/>
        </w:rPr>
        <w:t xml:space="preserve"> a súvisiacich modulov, upgrade informačného systému ADMIS informačnej a kybernetickej bezpečnosti, portálu finančnej správy, centrálneho elektronického priečinku</w:t>
      </w:r>
      <w:r w:rsidR="00A02729">
        <w:rPr>
          <w:rFonts w:ascii="Times New Roman" w:eastAsia="Calibri" w:hAnsi="Times New Roman"/>
        </w:rPr>
        <w:t>)</w:t>
      </w:r>
      <w:r w:rsidRPr="0085799C">
        <w:rPr>
          <w:rFonts w:ascii="Times New Roman" w:eastAsia="Calibri" w:hAnsi="Times New Roman"/>
        </w:rPr>
        <w:t>.</w:t>
      </w:r>
    </w:p>
    <w:p w14:paraId="153E1002" w14:textId="6272C9CB" w:rsidR="037E2A26" w:rsidRPr="0085799C" w:rsidRDefault="037E2A26" w:rsidP="0085799C">
      <w:pPr>
        <w:spacing w:after="120" w:line="240" w:lineRule="auto"/>
        <w:jc w:val="both"/>
        <w:rPr>
          <w:rFonts w:ascii="Times New Roman" w:eastAsia="Calibri" w:hAnsi="Times New Roman"/>
        </w:rPr>
      </w:pPr>
      <w:r w:rsidRPr="0085799C">
        <w:rPr>
          <w:rFonts w:ascii="Times New Roman" w:eastAsia="Calibri" w:hAnsi="Times New Roman"/>
          <w:u w:val="single"/>
        </w:rPr>
        <w:lastRenderedPageBreak/>
        <w:t>Ministerstvo financií SR</w:t>
      </w:r>
      <w:r w:rsidRPr="0085799C">
        <w:rPr>
          <w:rFonts w:ascii="Times New Roman" w:eastAsia="Calibri" w:hAnsi="Times New Roman"/>
          <w:b/>
          <w:i/>
        </w:rPr>
        <w:t xml:space="preserve"> </w:t>
      </w:r>
      <w:r w:rsidRPr="0085799C">
        <w:rPr>
          <w:rFonts w:ascii="Times New Roman" w:eastAsia="Calibri" w:hAnsi="Times New Roman"/>
        </w:rPr>
        <w:t xml:space="preserve">je správcom viacerých rezortných i nadrezortných informačných systémov, ako napríklad Rozpočtový informačný systém (ďalej aj ako „RIS“), Centrálny konsolidačný systém, Rozpočtový informačný systém pre územnú samosprávu, Register účtovných závierok, Nadrezortný ekonomický systém, Centrálny ekonomický systém (ďalej aj ako „CES“) a podobne. Uvedenými softvérmi plní ministerstvo úlohy v oblasti riadenia verejných financií a sú prístupné najmä pre organizácie štátnej správy a pre subjekty územnej samosprávy. V roku 2024 boli zaradené do používania technické zhodnotenia viacerých informačných systémov. Išlo najmä o CES, Informačný ekonomický systém, RIS a IS účtovníctva fondov. </w:t>
      </w:r>
    </w:p>
    <w:p w14:paraId="337F9CB3" w14:textId="194F42D8" w:rsidR="037E2A26" w:rsidRPr="0085799C" w:rsidRDefault="037E2A26" w:rsidP="0085799C">
      <w:pPr>
        <w:spacing w:after="120" w:line="240" w:lineRule="auto"/>
        <w:jc w:val="both"/>
        <w:rPr>
          <w:rFonts w:ascii="Times New Roman" w:eastAsia="Calibri" w:hAnsi="Times New Roman"/>
          <w:szCs w:val="22"/>
        </w:rPr>
      </w:pPr>
      <w:r w:rsidRPr="0085799C">
        <w:rPr>
          <w:rFonts w:ascii="Times New Roman" w:eastAsia="Calibri" w:hAnsi="Times New Roman"/>
          <w:u w:val="single"/>
        </w:rPr>
        <w:t>Kapitola Ministerstva vnútra SR</w:t>
      </w:r>
      <w:r w:rsidRPr="0085799C">
        <w:rPr>
          <w:rFonts w:ascii="Times New Roman" w:eastAsia="Calibri" w:hAnsi="Times New Roman"/>
          <w:szCs w:val="22"/>
        </w:rPr>
        <w:t xml:space="preserve"> vykázala na položke softvér hodnotu 76 327 </w:t>
      </w:r>
      <w:r w:rsidR="0057025D" w:rsidRPr="0085799C">
        <w:rPr>
          <w:rFonts w:ascii="Times New Roman" w:eastAsia="Calibri" w:hAnsi="Times New Roman"/>
          <w:szCs w:val="22"/>
        </w:rPr>
        <w:t>tis.</w:t>
      </w:r>
      <w:r w:rsidRPr="0085799C">
        <w:rPr>
          <w:rFonts w:ascii="Times New Roman" w:eastAsia="Calibri" w:hAnsi="Times New Roman"/>
          <w:szCs w:val="22"/>
        </w:rPr>
        <w:t xml:space="preserve"> eur, pričom najväčší podiel v rámci kapitoly vykázalo samotné ministerstvo v hodnote 76</w:t>
      </w:r>
      <w:r w:rsidR="0057025D" w:rsidRPr="0085799C">
        <w:rPr>
          <w:rFonts w:ascii="Times New Roman" w:eastAsia="Calibri" w:hAnsi="Times New Roman"/>
          <w:szCs w:val="22"/>
        </w:rPr>
        <w:t> </w:t>
      </w:r>
      <w:r w:rsidRPr="0085799C">
        <w:rPr>
          <w:rFonts w:ascii="Times New Roman" w:eastAsia="Calibri" w:hAnsi="Times New Roman"/>
          <w:szCs w:val="22"/>
        </w:rPr>
        <w:t>05</w:t>
      </w:r>
      <w:r w:rsidR="0057025D" w:rsidRPr="0085799C">
        <w:rPr>
          <w:rFonts w:ascii="Times New Roman" w:eastAsia="Calibri" w:hAnsi="Times New Roman"/>
          <w:szCs w:val="22"/>
        </w:rPr>
        <w:t>9 tis.</w:t>
      </w:r>
      <w:r w:rsidRPr="0085799C">
        <w:rPr>
          <w:rFonts w:ascii="Times New Roman" w:eastAsia="Calibri" w:hAnsi="Times New Roman"/>
          <w:szCs w:val="22"/>
        </w:rPr>
        <w:t xml:space="preserve"> eur, čo vyjadrovalo medziročný nárast o 24 219 </w:t>
      </w:r>
      <w:r w:rsidR="0057025D" w:rsidRPr="0085799C">
        <w:rPr>
          <w:rFonts w:ascii="Times New Roman" w:eastAsia="Calibri" w:hAnsi="Times New Roman"/>
          <w:szCs w:val="22"/>
        </w:rPr>
        <w:t>tis.</w:t>
      </w:r>
      <w:r w:rsidRPr="0085799C">
        <w:rPr>
          <w:rFonts w:ascii="Times New Roman" w:eastAsia="Calibri" w:hAnsi="Times New Roman"/>
          <w:szCs w:val="22"/>
        </w:rPr>
        <w:t xml:space="preserve"> eur.</w:t>
      </w:r>
      <w:r w:rsidRPr="0085799C">
        <w:rPr>
          <w:rFonts w:ascii="Times New Roman" w:eastAsia="Calibri" w:hAnsi="Times New Roman"/>
          <w:color w:val="C00000"/>
          <w:szCs w:val="22"/>
        </w:rPr>
        <w:t xml:space="preserve"> </w:t>
      </w:r>
      <w:r w:rsidRPr="0085799C">
        <w:rPr>
          <w:rFonts w:ascii="Times New Roman" w:eastAsia="Calibri" w:hAnsi="Times New Roman"/>
          <w:szCs w:val="22"/>
        </w:rPr>
        <w:t xml:space="preserve">Na položke softvér ministerstvo evidovalo realizáciu projektov ako sú Životné situácie, mobilný </w:t>
      </w:r>
      <w:proofErr w:type="spellStart"/>
      <w:r w:rsidRPr="0085799C">
        <w:rPr>
          <w:rFonts w:ascii="Times New Roman" w:eastAsia="Calibri" w:hAnsi="Times New Roman"/>
          <w:szCs w:val="22"/>
        </w:rPr>
        <w:t>eID</w:t>
      </w:r>
      <w:proofErr w:type="spellEnd"/>
      <w:r w:rsidRPr="0085799C">
        <w:rPr>
          <w:rFonts w:ascii="Times New Roman" w:eastAsia="Calibri" w:hAnsi="Times New Roman"/>
          <w:szCs w:val="22"/>
        </w:rPr>
        <w:t xml:space="preserve"> klient pre autentifikáciu v mobile, upgrade IS REGOB, upgrade Integrovaného informačného systému MV SR (SAP) a prechod na SAP HANA, optimalizácia životnej úrovne-motorové vozidlá, Inšpekčný systém ID3, </w:t>
      </w:r>
      <w:proofErr w:type="spellStart"/>
      <w:r w:rsidRPr="0085799C">
        <w:rPr>
          <w:rFonts w:ascii="Times New Roman" w:eastAsia="Calibri" w:hAnsi="Times New Roman"/>
          <w:szCs w:val="22"/>
        </w:rPr>
        <w:t>Manaž</w:t>
      </w:r>
      <w:proofErr w:type="spellEnd"/>
      <w:r w:rsidRPr="0085799C">
        <w:rPr>
          <w:rFonts w:ascii="Times New Roman" w:eastAsia="Calibri" w:hAnsi="Times New Roman"/>
          <w:szCs w:val="22"/>
        </w:rPr>
        <w:t xml:space="preserve">. server pre monitorovanie a riadenie </w:t>
      </w:r>
      <w:proofErr w:type="spellStart"/>
      <w:r w:rsidRPr="0085799C">
        <w:rPr>
          <w:rFonts w:ascii="Times New Roman" w:eastAsia="Calibri" w:hAnsi="Times New Roman"/>
          <w:szCs w:val="22"/>
        </w:rPr>
        <w:t>IaaS</w:t>
      </w:r>
      <w:proofErr w:type="spellEnd"/>
      <w:r w:rsidRPr="0085799C">
        <w:rPr>
          <w:rFonts w:ascii="Times New Roman" w:eastAsia="Calibri" w:hAnsi="Times New Roman"/>
          <w:szCs w:val="22"/>
        </w:rPr>
        <w:t xml:space="preserve"> a ďalších projektov týkajúcich sa informačných systémov v rámci MV SR.</w:t>
      </w:r>
    </w:p>
    <w:p w14:paraId="4B4B09E9" w14:textId="20EAD1F6" w:rsidR="037E2A26" w:rsidRPr="0085799C" w:rsidRDefault="037E2A26" w:rsidP="0085799C">
      <w:pPr>
        <w:spacing w:after="120" w:line="240" w:lineRule="auto"/>
        <w:jc w:val="both"/>
        <w:rPr>
          <w:rFonts w:ascii="Times New Roman" w:eastAsia="Calibri" w:hAnsi="Times New Roman"/>
          <w:szCs w:val="22"/>
        </w:rPr>
      </w:pPr>
      <w:r w:rsidRPr="0085799C">
        <w:rPr>
          <w:rFonts w:ascii="Times New Roman" w:eastAsia="Calibri" w:hAnsi="Times New Roman"/>
          <w:u w:val="single"/>
        </w:rPr>
        <w:t>Kapitola Ministerstva dopravy SR</w:t>
      </w:r>
      <w:r w:rsidRPr="0085799C">
        <w:rPr>
          <w:rFonts w:ascii="Times New Roman" w:eastAsia="Calibri" w:hAnsi="Times New Roman"/>
          <w:b/>
          <w:i/>
          <w:szCs w:val="22"/>
        </w:rPr>
        <w:t xml:space="preserve"> </w:t>
      </w:r>
      <w:r w:rsidRPr="0085799C">
        <w:rPr>
          <w:rFonts w:ascii="Times New Roman" w:eastAsia="Calibri" w:hAnsi="Times New Roman"/>
          <w:szCs w:val="22"/>
        </w:rPr>
        <w:t xml:space="preserve">vykázala na položke softvér v hodnote 74 840 </w:t>
      </w:r>
      <w:r w:rsidR="0057025D" w:rsidRPr="0085799C">
        <w:rPr>
          <w:rFonts w:ascii="Times New Roman" w:eastAsia="Calibri" w:hAnsi="Times New Roman"/>
          <w:szCs w:val="22"/>
        </w:rPr>
        <w:t>tis.</w:t>
      </w:r>
      <w:r w:rsidRPr="0085799C">
        <w:rPr>
          <w:rFonts w:ascii="Times New Roman" w:eastAsia="Calibri" w:hAnsi="Times New Roman"/>
          <w:szCs w:val="22"/>
        </w:rPr>
        <w:t xml:space="preserve"> eur, na čom sa najviac podieľala </w:t>
      </w:r>
      <w:r w:rsidRPr="0085799C">
        <w:rPr>
          <w:rFonts w:ascii="Times New Roman" w:eastAsia="Calibri" w:hAnsi="Times New Roman"/>
          <w:u w:val="single"/>
        </w:rPr>
        <w:t>Slovenská pošta, a.s.</w:t>
      </w:r>
      <w:r w:rsidRPr="0085799C">
        <w:rPr>
          <w:rFonts w:ascii="Times New Roman" w:eastAsia="Calibri" w:hAnsi="Times New Roman"/>
          <w:b/>
          <w:i/>
          <w:szCs w:val="22"/>
        </w:rPr>
        <w:t xml:space="preserve">, </w:t>
      </w:r>
      <w:r w:rsidRPr="0085799C">
        <w:rPr>
          <w:rFonts w:ascii="Times New Roman" w:eastAsia="Calibri" w:hAnsi="Times New Roman"/>
          <w:szCs w:val="22"/>
        </w:rPr>
        <w:t>ktorá vykázala</w:t>
      </w:r>
      <w:r w:rsidRPr="0085799C">
        <w:rPr>
          <w:rFonts w:ascii="Times New Roman" w:eastAsia="Calibri" w:hAnsi="Times New Roman"/>
          <w:i/>
          <w:szCs w:val="22"/>
        </w:rPr>
        <w:t xml:space="preserve"> </w:t>
      </w:r>
      <w:r w:rsidRPr="0085799C">
        <w:rPr>
          <w:rFonts w:ascii="Times New Roman" w:eastAsia="Calibri" w:hAnsi="Times New Roman"/>
          <w:szCs w:val="22"/>
        </w:rPr>
        <w:t>na tejto položke</w:t>
      </w:r>
      <w:r w:rsidRPr="0085799C">
        <w:rPr>
          <w:rFonts w:ascii="Times New Roman" w:eastAsia="Calibri" w:hAnsi="Times New Roman"/>
          <w:color w:val="C00000"/>
          <w:szCs w:val="22"/>
        </w:rPr>
        <w:t xml:space="preserve"> </w:t>
      </w:r>
      <w:r w:rsidRPr="0085799C">
        <w:rPr>
          <w:rFonts w:ascii="Times New Roman" w:eastAsia="Calibri" w:hAnsi="Times New Roman"/>
          <w:szCs w:val="22"/>
        </w:rPr>
        <w:t>hodnotu 17</w:t>
      </w:r>
      <w:r w:rsidR="0057025D" w:rsidRPr="0085799C">
        <w:rPr>
          <w:rFonts w:ascii="Times New Roman" w:eastAsia="Calibri" w:hAnsi="Times New Roman"/>
          <w:szCs w:val="22"/>
        </w:rPr>
        <w:t> </w:t>
      </w:r>
      <w:r w:rsidRPr="0085799C">
        <w:rPr>
          <w:rFonts w:ascii="Times New Roman" w:eastAsia="Calibri" w:hAnsi="Times New Roman"/>
          <w:szCs w:val="22"/>
        </w:rPr>
        <w:t>13</w:t>
      </w:r>
      <w:r w:rsidR="0057025D" w:rsidRPr="0085799C">
        <w:rPr>
          <w:rFonts w:ascii="Times New Roman" w:eastAsia="Calibri" w:hAnsi="Times New Roman"/>
          <w:szCs w:val="22"/>
        </w:rPr>
        <w:t>8 tis.</w:t>
      </w:r>
      <w:r w:rsidRPr="0085799C">
        <w:rPr>
          <w:rFonts w:ascii="Times New Roman" w:eastAsia="Calibri" w:hAnsi="Times New Roman"/>
          <w:szCs w:val="22"/>
        </w:rPr>
        <w:t xml:space="preserve"> eur, čo je pokles oproti predchádzajúcemu obdobiu o 1</w:t>
      </w:r>
      <w:r w:rsidR="0057025D" w:rsidRPr="0085799C">
        <w:rPr>
          <w:rFonts w:ascii="Times New Roman" w:eastAsia="Calibri" w:hAnsi="Times New Roman"/>
          <w:szCs w:val="22"/>
        </w:rPr>
        <w:t> </w:t>
      </w:r>
      <w:r w:rsidRPr="0085799C">
        <w:rPr>
          <w:rFonts w:ascii="Times New Roman" w:eastAsia="Calibri" w:hAnsi="Times New Roman"/>
          <w:szCs w:val="22"/>
        </w:rPr>
        <w:t>47</w:t>
      </w:r>
      <w:r w:rsidR="0057025D" w:rsidRPr="0085799C">
        <w:rPr>
          <w:rFonts w:ascii="Times New Roman" w:eastAsia="Calibri" w:hAnsi="Times New Roman"/>
          <w:szCs w:val="22"/>
        </w:rPr>
        <w:t>2 tis.</w:t>
      </w:r>
      <w:r w:rsidRPr="0085799C">
        <w:rPr>
          <w:rFonts w:ascii="Times New Roman" w:eastAsia="Calibri" w:hAnsi="Times New Roman"/>
          <w:szCs w:val="22"/>
        </w:rPr>
        <w:t xml:space="preserve"> eur z dôvodu vyradenia majetku. Najvýznamnejšie položky majetku zaradené do používania sú APONET, JSSA,  licencie a mobilné aplikácie. </w:t>
      </w:r>
      <w:r w:rsidRPr="0085799C">
        <w:rPr>
          <w:rFonts w:ascii="Times New Roman" w:eastAsia="Calibri" w:hAnsi="Times New Roman"/>
          <w:u w:val="single"/>
        </w:rPr>
        <w:t>Železničná spoločnosť Slovensko, a.s.</w:t>
      </w:r>
      <w:r w:rsidRPr="0085799C">
        <w:rPr>
          <w:rFonts w:ascii="Times New Roman" w:eastAsia="Calibri" w:hAnsi="Times New Roman"/>
          <w:szCs w:val="22"/>
        </w:rPr>
        <w:t xml:space="preserve"> vykázala softvér v hodnote 15 508 </w:t>
      </w:r>
      <w:r w:rsidR="0057025D" w:rsidRPr="0085799C">
        <w:rPr>
          <w:rFonts w:ascii="Times New Roman" w:eastAsia="Calibri" w:hAnsi="Times New Roman"/>
          <w:szCs w:val="22"/>
        </w:rPr>
        <w:t>tis.</w:t>
      </w:r>
      <w:r w:rsidRPr="0085799C">
        <w:rPr>
          <w:rFonts w:ascii="Times New Roman" w:eastAsia="Calibri" w:hAnsi="Times New Roman"/>
          <w:szCs w:val="22"/>
        </w:rPr>
        <w:t xml:space="preserve"> eur, čo je nárast oproti predchádzajúcemu obdobiu o 8 308 </w:t>
      </w:r>
      <w:r w:rsidR="0057025D" w:rsidRPr="0085799C">
        <w:rPr>
          <w:rFonts w:ascii="Times New Roman" w:eastAsia="Calibri" w:hAnsi="Times New Roman"/>
          <w:szCs w:val="22"/>
        </w:rPr>
        <w:t>tis.</w:t>
      </w:r>
      <w:r w:rsidRPr="0085799C">
        <w:rPr>
          <w:rFonts w:ascii="Times New Roman" w:eastAsia="Calibri" w:hAnsi="Times New Roman"/>
          <w:szCs w:val="22"/>
        </w:rPr>
        <w:t xml:space="preserve"> eur. Najvýznamnejšiu položku predstavuje softvér SW pre projekt TAP TSI, SW pre SAP 4/HANA, SW </w:t>
      </w:r>
      <w:proofErr w:type="spellStart"/>
      <w:r w:rsidRPr="0085799C">
        <w:rPr>
          <w:rFonts w:ascii="Times New Roman" w:eastAsia="Calibri" w:hAnsi="Times New Roman"/>
          <w:szCs w:val="22"/>
        </w:rPr>
        <w:t>iKVC</w:t>
      </w:r>
      <w:proofErr w:type="spellEnd"/>
      <w:r w:rsidRPr="0085799C">
        <w:rPr>
          <w:rFonts w:ascii="Times New Roman" w:eastAsia="Calibri" w:hAnsi="Times New Roman"/>
          <w:szCs w:val="22"/>
        </w:rPr>
        <w:t>, SW pre na operatívne riadenie prevádzky v</w:t>
      </w:r>
      <w:r w:rsidR="00674172">
        <w:rPr>
          <w:rFonts w:ascii="Times New Roman" w:eastAsia="Calibri" w:hAnsi="Times New Roman"/>
          <w:szCs w:val="22"/>
        </w:rPr>
        <w:t> </w:t>
      </w:r>
      <w:r w:rsidRPr="0085799C">
        <w:rPr>
          <w:rFonts w:ascii="Times New Roman" w:eastAsia="Calibri" w:hAnsi="Times New Roman"/>
          <w:szCs w:val="22"/>
        </w:rPr>
        <w:t xml:space="preserve">hodnote, SW pre spracovanie dát, SW pre Datacentrum, SW pre CDESK a SW pre ASW POP predaj cestovných dokladov. Najvýznamnejší ročný nárast v rámci kapitoly v položke softvér vykázala </w:t>
      </w:r>
      <w:r w:rsidRPr="0085799C">
        <w:rPr>
          <w:rFonts w:ascii="Times New Roman" w:eastAsia="Calibri" w:hAnsi="Times New Roman"/>
          <w:u w:val="single"/>
        </w:rPr>
        <w:t>Železničná spoločnosť Slovensko, a.s.</w:t>
      </w:r>
      <w:r w:rsidRPr="0085799C">
        <w:rPr>
          <w:rFonts w:ascii="Times New Roman" w:eastAsia="Calibri" w:hAnsi="Times New Roman"/>
          <w:b/>
          <w:i/>
          <w:szCs w:val="22"/>
        </w:rPr>
        <w:t xml:space="preserve"> </w:t>
      </w:r>
      <w:r w:rsidRPr="0085799C">
        <w:rPr>
          <w:rFonts w:ascii="Times New Roman" w:eastAsia="Calibri" w:hAnsi="Times New Roman"/>
          <w:szCs w:val="22"/>
        </w:rPr>
        <w:t xml:space="preserve">a </w:t>
      </w:r>
      <w:r w:rsidRPr="0085799C">
        <w:rPr>
          <w:rFonts w:ascii="Times New Roman" w:eastAsia="Calibri" w:hAnsi="Times New Roman"/>
          <w:u w:val="single"/>
        </w:rPr>
        <w:t>Národná diaľničná spoločnosť</w:t>
      </w:r>
      <w:r w:rsidRPr="09A8267F">
        <w:rPr>
          <w:rFonts w:ascii="Times New Roman" w:eastAsia="Calibri" w:hAnsi="Times New Roman"/>
          <w:u w:val="single"/>
        </w:rPr>
        <w:t xml:space="preserve">, </w:t>
      </w:r>
      <w:r w:rsidR="11A3DBC5" w:rsidRPr="09A8267F">
        <w:rPr>
          <w:rFonts w:ascii="Times New Roman" w:eastAsia="Calibri" w:hAnsi="Times New Roman"/>
          <w:u w:val="single"/>
        </w:rPr>
        <w:t>a.s.</w:t>
      </w:r>
      <w:r w:rsidRPr="0085799C">
        <w:rPr>
          <w:rFonts w:ascii="Times New Roman" w:eastAsia="Calibri" w:hAnsi="Times New Roman"/>
          <w:b/>
          <w:bCs/>
          <w:i/>
          <w:iCs/>
        </w:rPr>
        <w:t>,</w:t>
      </w:r>
      <w:r w:rsidRPr="0085799C">
        <w:rPr>
          <w:rFonts w:ascii="Times New Roman" w:eastAsia="Calibri" w:hAnsi="Times New Roman"/>
          <w:b/>
          <w:i/>
          <w:szCs w:val="22"/>
        </w:rPr>
        <w:t xml:space="preserve"> </w:t>
      </w:r>
      <w:r w:rsidRPr="0085799C">
        <w:rPr>
          <w:rFonts w:ascii="Times New Roman" w:eastAsia="Calibri" w:hAnsi="Times New Roman"/>
          <w:szCs w:val="22"/>
        </w:rPr>
        <w:t xml:space="preserve">ktorá zaradila do používania softvéry ako napríklad Komplexný informačný systém (KIS) - SW, licencie, </w:t>
      </w:r>
      <w:proofErr w:type="spellStart"/>
      <w:r w:rsidRPr="0085799C">
        <w:rPr>
          <w:rFonts w:ascii="Times New Roman" w:eastAsia="Calibri" w:hAnsi="Times New Roman"/>
          <w:szCs w:val="22"/>
        </w:rPr>
        <w:t>xCost</w:t>
      </w:r>
      <w:proofErr w:type="spellEnd"/>
      <w:r w:rsidRPr="0085799C">
        <w:rPr>
          <w:rFonts w:ascii="Times New Roman" w:eastAsia="Calibri" w:hAnsi="Times New Roman"/>
          <w:szCs w:val="22"/>
        </w:rPr>
        <w:t xml:space="preserve"> licencia pre softvérové riešenie skladové hospodárstvo, Softvér (alt. 2), Ochranné známky, Domény, Softvér EETS, Licencie Microsoft, Licencie </w:t>
      </w:r>
      <w:proofErr w:type="spellStart"/>
      <w:r w:rsidRPr="0085799C">
        <w:rPr>
          <w:rFonts w:ascii="Times New Roman" w:eastAsia="Calibri" w:hAnsi="Times New Roman"/>
          <w:szCs w:val="22"/>
        </w:rPr>
        <w:t>FortiClient</w:t>
      </w:r>
      <w:proofErr w:type="spellEnd"/>
      <w:r w:rsidRPr="0085799C">
        <w:rPr>
          <w:rFonts w:ascii="Times New Roman" w:eastAsia="Calibri" w:hAnsi="Times New Roman"/>
          <w:szCs w:val="22"/>
        </w:rPr>
        <w:t xml:space="preserve">, Softvérové vybavenie – licencie, </w:t>
      </w:r>
      <w:proofErr w:type="spellStart"/>
      <w:r w:rsidRPr="0085799C">
        <w:rPr>
          <w:rFonts w:ascii="Times New Roman" w:eastAsia="Calibri" w:hAnsi="Times New Roman"/>
          <w:szCs w:val="22"/>
        </w:rPr>
        <w:t>Redmine</w:t>
      </w:r>
      <w:proofErr w:type="spellEnd"/>
      <w:r w:rsidRPr="0085799C">
        <w:rPr>
          <w:rFonts w:ascii="Times New Roman" w:eastAsia="Calibri" w:hAnsi="Times New Roman"/>
          <w:szCs w:val="22"/>
        </w:rPr>
        <w:t xml:space="preserve"> - Servis </w:t>
      </w:r>
      <w:proofErr w:type="spellStart"/>
      <w:r w:rsidRPr="0085799C">
        <w:rPr>
          <w:rFonts w:ascii="Times New Roman" w:eastAsia="Calibri" w:hAnsi="Times New Roman"/>
          <w:szCs w:val="22"/>
        </w:rPr>
        <w:t>desk</w:t>
      </w:r>
      <w:proofErr w:type="spellEnd"/>
      <w:r w:rsidRPr="0085799C">
        <w:rPr>
          <w:rFonts w:ascii="Times New Roman" w:eastAsia="Calibri" w:hAnsi="Times New Roman"/>
          <w:szCs w:val="22"/>
        </w:rPr>
        <w:t>, Webové sídlo NDS a Webové sídlo pre EETS.</w:t>
      </w:r>
    </w:p>
    <w:p w14:paraId="386DA016" w14:textId="3C954EA9" w:rsidR="00647542" w:rsidRPr="00907622" w:rsidRDefault="00647542" w:rsidP="0057407D">
      <w:pPr>
        <w:pStyle w:val="Pismenka"/>
        <w:tabs>
          <w:tab w:val="clear" w:pos="426"/>
        </w:tabs>
        <w:spacing w:after="120"/>
        <w:ind w:left="0" w:firstLine="0"/>
        <w:rPr>
          <w:b w:val="0"/>
          <w:bCs w:val="0"/>
          <w:sz w:val="22"/>
          <w:szCs w:val="22"/>
        </w:rPr>
      </w:pPr>
      <w:r w:rsidRPr="00907622">
        <w:rPr>
          <w:b w:val="0"/>
          <w:bCs w:val="0"/>
          <w:sz w:val="22"/>
          <w:szCs w:val="22"/>
        </w:rPr>
        <w:t>Z ostatných subjektov súhrnného celku vykazujú významnú hodnotu softvéru obce</w:t>
      </w:r>
      <w:r w:rsidR="00FF4202">
        <w:rPr>
          <w:b w:val="0"/>
          <w:bCs w:val="0"/>
          <w:sz w:val="22"/>
          <w:szCs w:val="22"/>
        </w:rPr>
        <w:t xml:space="preserve"> </w:t>
      </w:r>
      <w:r w:rsidR="00FF4202" w:rsidRPr="00FF4202">
        <w:rPr>
          <w:b w:val="0"/>
          <w:bCs w:val="0"/>
          <w:sz w:val="22"/>
          <w:szCs w:val="22"/>
        </w:rPr>
        <w:t>16</w:t>
      </w:r>
      <w:r w:rsidR="00FF4202">
        <w:rPr>
          <w:b w:val="0"/>
          <w:bCs w:val="0"/>
          <w:sz w:val="22"/>
          <w:szCs w:val="22"/>
        </w:rPr>
        <w:t xml:space="preserve"> </w:t>
      </w:r>
      <w:r w:rsidR="00FF4202" w:rsidRPr="00FF4202">
        <w:rPr>
          <w:b w:val="0"/>
          <w:bCs w:val="0"/>
          <w:sz w:val="22"/>
          <w:szCs w:val="22"/>
        </w:rPr>
        <w:t>99</w:t>
      </w:r>
      <w:r w:rsidR="00FF4202">
        <w:rPr>
          <w:b w:val="0"/>
          <w:bCs w:val="0"/>
          <w:sz w:val="22"/>
          <w:szCs w:val="22"/>
        </w:rPr>
        <w:t>9</w:t>
      </w:r>
      <w:r w:rsidRPr="00907622">
        <w:rPr>
          <w:b w:val="0"/>
          <w:bCs w:val="0"/>
          <w:color w:val="FF0000"/>
          <w:sz w:val="22"/>
          <w:szCs w:val="22"/>
        </w:rPr>
        <w:t xml:space="preserve"> </w:t>
      </w:r>
      <w:r w:rsidRPr="00907622">
        <w:rPr>
          <w:b w:val="0"/>
          <w:bCs w:val="0"/>
          <w:sz w:val="22"/>
          <w:szCs w:val="22"/>
        </w:rPr>
        <w:t>tis. eur a </w:t>
      </w:r>
      <w:r w:rsidR="00C275BE">
        <w:rPr>
          <w:b w:val="0"/>
          <w:sz w:val="22"/>
          <w:szCs w:val="22"/>
        </w:rPr>
        <w:t xml:space="preserve">ostatné subjekty verejnej správy </w:t>
      </w:r>
      <w:r w:rsidR="00FF4202" w:rsidRPr="007253B7">
        <w:rPr>
          <w:b w:val="0"/>
          <w:sz w:val="22"/>
          <w:szCs w:val="22"/>
        </w:rPr>
        <w:t xml:space="preserve">15 363 </w:t>
      </w:r>
      <w:r w:rsidRPr="007253B7">
        <w:rPr>
          <w:b w:val="0"/>
          <w:sz w:val="22"/>
          <w:szCs w:val="22"/>
        </w:rPr>
        <w:t>tis.</w:t>
      </w:r>
      <w:r w:rsidRPr="00E95A8F">
        <w:rPr>
          <w:b w:val="0"/>
          <w:bCs w:val="0"/>
          <w:sz w:val="22"/>
          <w:szCs w:val="22"/>
        </w:rPr>
        <w:t xml:space="preserve"> eur. Zo skupiny ostatných subjektov vykázal </w:t>
      </w:r>
      <w:r w:rsidRPr="0085799C">
        <w:rPr>
          <w:b w:val="0"/>
          <w:sz w:val="22"/>
          <w:szCs w:val="22"/>
          <w:u w:val="single"/>
        </w:rPr>
        <w:t>Úrad na ochranu osobných údajov</w:t>
      </w:r>
      <w:r w:rsidRPr="00E95A8F">
        <w:rPr>
          <w:b w:val="0"/>
          <w:bCs w:val="0"/>
          <w:sz w:val="22"/>
          <w:szCs w:val="22"/>
        </w:rPr>
        <w:t xml:space="preserve"> </w:t>
      </w:r>
      <w:r w:rsidR="003D129F" w:rsidRPr="0085799C">
        <w:rPr>
          <w:b w:val="0"/>
          <w:bCs w:val="0"/>
          <w:sz w:val="22"/>
          <w:szCs w:val="22"/>
        </w:rPr>
        <w:t>2 720</w:t>
      </w:r>
      <w:r w:rsidRPr="00E95A8F">
        <w:rPr>
          <w:b w:val="0"/>
          <w:bCs w:val="0"/>
          <w:sz w:val="22"/>
          <w:szCs w:val="22"/>
        </w:rPr>
        <w:t> tis. eur</w:t>
      </w:r>
      <w:r w:rsidRPr="000F11A6">
        <w:rPr>
          <w:b w:val="0"/>
          <w:bCs w:val="0"/>
          <w:sz w:val="22"/>
          <w:szCs w:val="22"/>
        </w:rPr>
        <w:t xml:space="preserve">, </w:t>
      </w:r>
      <w:r w:rsidR="00E95A8F" w:rsidRPr="0085799C">
        <w:rPr>
          <w:b w:val="0"/>
          <w:sz w:val="22"/>
          <w:szCs w:val="22"/>
          <w:u w:val="single"/>
        </w:rPr>
        <w:t>Sociálna poisťovňa</w:t>
      </w:r>
      <w:r w:rsidR="00E95A8F" w:rsidRPr="0085799C">
        <w:rPr>
          <w:b w:val="0"/>
          <w:bCs w:val="0"/>
          <w:sz w:val="22"/>
          <w:szCs w:val="22"/>
        </w:rPr>
        <w:t xml:space="preserve"> 2 405 tis. eur  a</w:t>
      </w:r>
      <w:r w:rsidR="00E95A8F" w:rsidRPr="00C33A04">
        <w:rPr>
          <w:b w:val="0"/>
          <w:sz w:val="22"/>
          <w:szCs w:val="22"/>
        </w:rPr>
        <w:t xml:space="preserve"> </w:t>
      </w:r>
      <w:r w:rsidRPr="0085799C">
        <w:rPr>
          <w:b w:val="0"/>
          <w:sz w:val="22"/>
          <w:szCs w:val="22"/>
          <w:u w:val="single"/>
        </w:rPr>
        <w:t>Úrad pre dohľad nad zdravotnou starostlivosťou</w:t>
      </w:r>
      <w:r w:rsidRPr="000F11A6">
        <w:rPr>
          <w:b w:val="0"/>
          <w:bCs w:val="0"/>
          <w:sz w:val="22"/>
          <w:szCs w:val="22"/>
        </w:rPr>
        <w:t xml:space="preserve"> </w:t>
      </w:r>
      <w:r w:rsidR="00E95A8F" w:rsidRPr="0085799C">
        <w:rPr>
          <w:b w:val="0"/>
          <w:bCs w:val="0"/>
          <w:sz w:val="22"/>
          <w:szCs w:val="22"/>
        </w:rPr>
        <w:t>2 298</w:t>
      </w:r>
      <w:r w:rsidRPr="000F11A6">
        <w:rPr>
          <w:b w:val="0"/>
          <w:bCs w:val="0"/>
          <w:sz w:val="22"/>
          <w:szCs w:val="22"/>
        </w:rPr>
        <w:t> tis. eur. Verejné vysoké školy vykázali hodnotu softvéru za </w:t>
      </w:r>
      <w:r w:rsidR="00335FE8" w:rsidRPr="0085799C">
        <w:rPr>
          <w:b w:val="0"/>
          <w:bCs w:val="0"/>
          <w:sz w:val="22"/>
          <w:szCs w:val="22"/>
        </w:rPr>
        <w:t>4 370</w:t>
      </w:r>
      <w:r w:rsidRPr="000F11A6">
        <w:rPr>
          <w:b w:val="0"/>
          <w:bCs w:val="0"/>
          <w:sz w:val="22"/>
          <w:szCs w:val="22"/>
        </w:rPr>
        <w:t xml:space="preserve"> tis. eur, najviac Technická univerzita v Košiciach </w:t>
      </w:r>
      <w:r w:rsidR="000F11A6" w:rsidRPr="0085799C">
        <w:rPr>
          <w:b w:val="0"/>
          <w:bCs w:val="0"/>
          <w:sz w:val="22"/>
          <w:szCs w:val="22"/>
        </w:rPr>
        <w:t>873</w:t>
      </w:r>
      <w:r w:rsidRPr="000F11A6">
        <w:rPr>
          <w:b w:val="0"/>
          <w:bCs w:val="0"/>
          <w:sz w:val="22"/>
          <w:szCs w:val="22"/>
        </w:rPr>
        <w:t xml:space="preserve"> tis. eur a </w:t>
      </w:r>
      <w:r w:rsidRPr="0085799C">
        <w:rPr>
          <w:b w:val="0"/>
          <w:sz w:val="22"/>
          <w:szCs w:val="22"/>
          <w:u w:val="single"/>
        </w:rPr>
        <w:t>Žilinská univerzita v Žiline</w:t>
      </w:r>
      <w:r w:rsidRPr="000F11A6">
        <w:rPr>
          <w:b w:val="0"/>
          <w:bCs w:val="0"/>
          <w:sz w:val="22"/>
          <w:szCs w:val="22"/>
        </w:rPr>
        <w:t xml:space="preserve"> </w:t>
      </w:r>
      <w:r w:rsidR="000F11A6" w:rsidRPr="0085799C">
        <w:rPr>
          <w:b w:val="0"/>
          <w:bCs w:val="0"/>
          <w:sz w:val="22"/>
          <w:szCs w:val="22"/>
        </w:rPr>
        <w:t>800</w:t>
      </w:r>
      <w:r w:rsidRPr="000F11A6">
        <w:rPr>
          <w:b w:val="0"/>
          <w:bCs w:val="0"/>
          <w:sz w:val="22"/>
          <w:szCs w:val="22"/>
        </w:rPr>
        <w:t> tis. eur.</w:t>
      </w:r>
    </w:p>
    <w:p w14:paraId="5EE77666" w14:textId="77777777" w:rsidR="0057407D" w:rsidRPr="008F3072" w:rsidRDefault="0057407D" w:rsidP="0085799C">
      <w:pPr>
        <w:pStyle w:val="Pismenka"/>
        <w:tabs>
          <w:tab w:val="clear" w:pos="426"/>
        </w:tabs>
        <w:spacing w:after="120"/>
        <w:ind w:left="0" w:firstLine="0"/>
        <w:rPr>
          <w:b w:val="0"/>
          <w:bCs w:val="0"/>
          <w:sz w:val="22"/>
          <w:szCs w:val="22"/>
        </w:rPr>
      </w:pPr>
    </w:p>
    <w:p w14:paraId="60A335DF" w14:textId="46F7785E" w:rsidR="00647542" w:rsidRPr="00907622" w:rsidRDefault="0057407D" w:rsidP="0085799C">
      <w:pPr>
        <w:pStyle w:val="Nadpis4"/>
        <w:numPr>
          <w:ilvl w:val="0"/>
          <w:numId w:val="54"/>
        </w:numPr>
        <w:ind w:left="426" w:hanging="426"/>
        <w:rPr>
          <w:szCs w:val="22"/>
        </w:rPr>
      </w:pPr>
      <w:bookmarkStart w:id="4" w:name="_Oceniteľné_práva"/>
      <w:bookmarkStart w:id="5" w:name="_Ref86091334"/>
      <w:bookmarkEnd w:id="4"/>
      <w:r>
        <w:t>O</w:t>
      </w:r>
      <w:r w:rsidR="00647542" w:rsidRPr="0057407D">
        <w:t>ceniteľné práva</w:t>
      </w:r>
      <w:bookmarkEnd w:id="5"/>
    </w:p>
    <w:p w14:paraId="3489820B" w14:textId="515FCAC3" w:rsidR="00122728" w:rsidRPr="00907622" w:rsidRDefault="00936992" w:rsidP="0085799C">
      <w:pPr>
        <w:pStyle w:val="Pismenka"/>
        <w:tabs>
          <w:tab w:val="clear" w:pos="426"/>
        </w:tabs>
        <w:spacing w:after="120"/>
        <w:ind w:left="0" w:firstLine="0"/>
        <w:rPr>
          <w:i/>
          <w:iCs/>
          <w:sz w:val="22"/>
          <w:szCs w:val="22"/>
          <w:u w:val="single"/>
        </w:rPr>
      </w:pPr>
      <w:r w:rsidRPr="00A7107D">
        <w:rPr>
          <w:rFonts w:eastAsia="Calibri"/>
          <w:b w:val="0"/>
          <w:bCs w:val="0"/>
          <w:sz w:val="22"/>
          <w:szCs w:val="22"/>
        </w:rPr>
        <w:t xml:space="preserve">Oceniteľné práva dosiahli v rámci </w:t>
      </w:r>
      <w:r w:rsidR="00575A9B" w:rsidRPr="00A7107D">
        <w:rPr>
          <w:rFonts w:eastAsia="Calibri"/>
          <w:b w:val="0"/>
          <w:bCs w:val="0"/>
          <w:sz w:val="22"/>
          <w:szCs w:val="22"/>
        </w:rPr>
        <w:t>súhrnného</w:t>
      </w:r>
      <w:r w:rsidRPr="00A7107D">
        <w:rPr>
          <w:rFonts w:eastAsia="Calibri"/>
          <w:b w:val="0"/>
          <w:bCs w:val="0"/>
          <w:sz w:val="22"/>
          <w:szCs w:val="22"/>
        </w:rPr>
        <w:t xml:space="preserve"> celku hodnotu </w:t>
      </w:r>
      <w:r w:rsidR="00420FC4" w:rsidRPr="00A7107D">
        <w:rPr>
          <w:rFonts w:eastAsia="Calibri"/>
          <w:b w:val="0"/>
          <w:bCs w:val="0"/>
          <w:sz w:val="22"/>
          <w:szCs w:val="22"/>
        </w:rPr>
        <w:t>35 005 tis.</w:t>
      </w:r>
      <w:r w:rsidRPr="00A7107D">
        <w:rPr>
          <w:rFonts w:eastAsia="Calibri"/>
          <w:b w:val="0"/>
          <w:bCs w:val="0"/>
          <w:sz w:val="22"/>
          <w:szCs w:val="22"/>
        </w:rPr>
        <w:t xml:space="preserve"> eur a medziročne boli úhrnom vyššie o</w:t>
      </w:r>
      <w:r w:rsidR="00420FC4" w:rsidRPr="00A7107D">
        <w:rPr>
          <w:rFonts w:eastAsia="Calibri"/>
          <w:b w:val="0"/>
          <w:bCs w:val="0"/>
          <w:sz w:val="22"/>
          <w:szCs w:val="22"/>
        </w:rPr>
        <w:t> </w:t>
      </w:r>
      <w:r w:rsidR="00864EDA" w:rsidRPr="00A7107D">
        <w:rPr>
          <w:rFonts w:eastAsia="Calibri"/>
          <w:b w:val="0"/>
          <w:bCs w:val="0"/>
          <w:sz w:val="22"/>
          <w:szCs w:val="22"/>
        </w:rPr>
        <w:t>519</w:t>
      </w:r>
      <w:r w:rsidR="00420FC4" w:rsidRPr="00A7107D">
        <w:rPr>
          <w:rFonts w:eastAsia="Calibri"/>
          <w:b w:val="0"/>
          <w:bCs w:val="0"/>
          <w:sz w:val="22"/>
          <w:szCs w:val="22"/>
        </w:rPr>
        <w:t xml:space="preserve"> tis.</w:t>
      </w:r>
      <w:r w:rsidRPr="00A7107D">
        <w:rPr>
          <w:rFonts w:eastAsia="Calibri"/>
          <w:b w:val="0"/>
          <w:bCs w:val="0"/>
          <w:sz w:val="22"/>
          <w:szCs w:val="22"/>
        </w:rPr>
        <w:t xml:space="preserve"> eur. </w:t>
      </w:r>
      <w:r w:rsidR="00122728" w:rsidRPr="0075360A">
        <w:rPr>
          <w:b w:val="0"/>
          <w:bCs w:val="0"/>
          <w:sz w:val="22"/>
          <w:szCs w:val="22"/>
        </w:rPr>
        <w:t xml:space="preserve">Na hodnote oceniteľných práv sa podieľa v rozhodujúcej miere ústredná správa sumou </w:t>
      </w:r>
      <w:r w:rsidR="00122728">
        <w:rPr>
          <w:b w:val="0"/>
          <w:bCs w:val="0"/>
          <w:sz w:val="22"/>
          <w:szCs w:val="22"/>
        </w:rPr>
        <w:t>32 298</w:t>
      </w:r>
      <w:r w:rsidR="00122728" w:rsidRPr="0075360A">
        <w:rPr>
          <w:b w:val="0"/>
          <w:bCs w:val="0"/>
          <w:sz w:val="22"/>
          <w:szCs w:val="22"/>
        </w:rPr>
        <w:t xml:space="preserve"> tis. eur (na prírastku </w:t>
      </w:r>
      <w:r w:rsidR="00292DDD">
        <w:rPr>
          <w:b w:val="0"/>
          <w:sz w:val="22"/>
          <w:szCs w:val="22"/>
        </w:rPr>
        <w:t>603</w:t>
      </w:r>
      <w:r w:rsidR="00122728" w:rsidRPr="0075360A">
        <w:rPr>
          <w:b w:val="0"/>
          <w:bCs w:val="0"/>
          <w:sz w:val="22"/>
          <w:szCs w:val="22"/>
        </w:rPr>
        <w:t xml:space="preserve"> tis. eur). </w:t>
      </w:r>
    </w:p>
    <w:p w14:paraId="79941AD5" w14:textId="0D5B8764" w:rsidR="00AD57C5" w:rsidRPr="0085799C" w:rsidRDefault="00936992" w:rsidP="0085799C">
      <w:pPr>
        <w:spacing w:after="120" w:line="240" w:lineRule="auto"/>
        <w:jc w:val="both"/>
        <w:rPr>
          <w:rFonts w:ascii="Times New Roman" w:eastAsia="Calibri" w:hAnsi="Times New Roman"/>
          <w:szCs w:val="22"/>
        </w:rPr>
      </w:pPr>
      <w:r w:rsidRPr="0085799C">
        <w:rPr>
          <w:rFonts w:ascii="Times New Roman" w:eastAsia="Calibri" w:hAnsi="Times New Roman"/>
          <w:szCs w:val="22"/>
        </w:rPr>
        <w:t xml:space="preserve">Na hodnote zostatku </w:t>
      </w:r>
      <w:r w:rsidR="00C36E17" w:rsidRPr="0085799C">
        <w:rPr>
          <w:rFonts w:ascii="Times New Roman" w:eastAsia="Calibri" w:hAnsi="Times New Roman"/>
          <w:szCs w:val="22"/>
        </w:rPr>
        <w:t xml:space="preserve">ústrednej správy </w:t>
      </w:r>
      <w:r w:rsidRPr="0085799C">
        <w:rPr>
          <w:rFonts w:ascii="Times New Roman" w:eastAsia="Calibri" w:hAnsi="Times New Roman"/>
          <w:szCs w:val="22"/>
        </w:rPr>
        <w:t xml:space="preserve">sa najviac podieľala </w:t>
      </w:r>
      <w:r w:rsidRPr="0085799C">
        <w:rPr>
          <w:rFonts w:ascii="Times New Roman" w:eastAsia="Calibri" w:hAnsi="Times New Roman"/>
          <w:u w:val="single"/>
        </w:rPr>
        <w:t>kapitola Ministerstva financií SR</w:t>
      </w:r>
      <w:r w:rsidRPr="338E36E9">
        <w:rPr>
          <w:rFonts w:ascii="Times New Roman" w:eastAsia="Calibri" w:hAnsi="Times New Roman"/>
          <w:b/>
          <w:i/>
        </w:rPr>
        <w:t xml:space="preserve"> </w:t>
      </w:r>
      <w:r w:rsidRPr="0085799C">
        <w:rPr>
          <w:rFonts w:ascii="Times New Roman" w:eastAsia="Calibri" w:hAnsi="Times New Roman"/>
          <w:szCs w:val="22"/>
        </w:rPr>
        <w:t>(17</w:t>
      </w:r>
      <w:r w:rsidR="00BD4B46" w:rsidRPr="0085799C">
        <w:rPr>
          <w:rFonts w:ascii="Times New Roman" w:eastAsia="Calibri" w:hAnsi="Times New Roman"/>
          <w:szCs w:val="22"/>
        </w:rPr>
        <w:t> </w:t>
      </w:r>
      <w:r w:rsidRPr="0085799C">
        <w:rPr>
          <w:rFonts w:ascii="Times New Roman" w:eastAsia="Calibri" w:hAnsi="Times New Roman"/>
          <w:szCs w:val="22"/>
        </w:rPr>
        <w:t>38</w:t>
      </w:r>
      <w:r w:rsidR="00BD4B46" w:rsidRPr="0085799C">
        <w:rPr>
          <w:rFonts w:ascii="Times New Roman" w:eastAsia="Calibri" w:hAnsi="Times New Roman"/>
          <w:szCs w:val="22"/>
        </w:rPr>
        <w:t>8 tis.</w:t>
      </w:r>
      <w:r w:rsidRPr="0085799C">
        <w:rPr>
          <w:rFonts w:ascii="Times New Roman" w:eastAsia="Calibri" w:hAnsi="Times New Roman"/>
          <w:szCs w:val="22"/>
        </w:rPr>
        <w:t xml:space="preserve"> eur), pričom v rámci tejto položky majetku vykazuje najväčšiu hodnotu </w:t>
      </w:r>
      <w:r w:rsidRPr="0085799C">
        <w:rPr>
          <w:rFonts w:ascii="Times New Roman" w:eastAsia="Calibri" w:hAnsi="Times New Roman"/>
          <w:u w:val="single"/>
        </w:rPr>
        <w:t>Slovenská elektrizačná prenosová sústava, a.s.</w:t>
      </w:r>
      <w:r w:rsidRPr="0085799C">
        <w:rPr>
          <w:rFonts w:ascii="Times New Roman" w:eastAsia="Calibri" w:hAnsi="Times New Roman"/>
          <w:szCs w:val="22"/>
        </w:rPr>
        <w:t xml:space="preserve"> vo výške 13 786 </w:t>
      </w:r>
      <w:r w:rsidR="00BD4B46" w:rsidRPr="0085799C">
        <w:rPr>
          <w:rFonts w:ascii="Times New Roman" w:eastAsia="Calibri" w:hAnsi="Times New Roman"/>
          <w:szCs w:val="22"/>
        </w:rPr>
        <w:t>tis.</w:t>
      </w:r>
      <w:r w:rsidRPr="0085799C">
        <w:rPr>
          <w:rFonts w:ascii="Times New Roman" w:eastAsia="Calibri" w:hAnsi="Times New Roman"/>
          <w:szCs w:val="22"/>
        </w:rPr>
        <w:t xml:space="preserve"> eur. Išlo o vecné bremená pri výstavbe nových vedení (stavba základov stožiarov). Na zostatku účtu oceniteľných práv sa taktiež podieľalo </w:t>
      </w:r>
      <w:r w:rsidRPr="0085799C">
        <w:rPr>
          <w:rFonts w:ascii="Times New Roman" w:eastAsia="Calibri" w:hAnsi="Times New Roman"/>
          <w:u w:val="single"/>
        </w:rPr>
        <w:t>Finančné riaditeľstvo SR</w:t>
      </w:r>
      <w:r w:rsidRPr="0085799C">
        <w:rPr>
          <w:rFonts w:ascii="Times New Roman" w:eastAsia="Calibri" w:hAnsi="Times New Roman"/>
          <w:szCs w:val="22"/>
        </w:rPr>
        <w:t xml:space="preserve"> vo výške 3 162 </w:t>
      </w:r>
      <w:r w:rsidR="00BD4B46" w:rsidRPr="0085799C">
        <w:rPr>
          <w:rFonts w:ascii="Times New Roman" w:eastAsia="Calibri" w:hAnsi="Times New Roman"/>
          <w:szCs w:val="22"/>
        </w:rPr>
        <w:t>tis.</w:t>
      </w:r>
      <w:r w:rsidRPr="0085799C">
        <w:rPr>
          <w:rFonts w:ascii="Times New Roman" w:eastAsia="Calibri" w:hAnsi="Times New Roman"/>
          <w:szCs w:val="22"/>
        </w:rPr>
        <w:t xml:space="preserve"> eur, ktoré nakúpilo Microsoft licencie, licencie k zabezpečeniu úložiska dát informačných systémov finančnej správy, licencie pre antispamové riešenie systému elektronickej pošty, licencie pre webový proxy sever Cisco </w:t>
      </w:r>
      <w:proofErr w:type="spellStart"/>
      <w:r w:rsidRPr="0085799C">
        <w:rPr>
          <w:rFonts w:ascii="Times New Roman" w:eastAsia="Calibri" w:hAnsi="Times New Roman"/>
          <w:szCs w:val="22"/>
        </w:rPr>
        <w:t>Ironport</w:t>
      </w:r>
      <w:proofErr w:type="spellEnd"/>
      <w:r w:rsidRPr="0085799C">
        <w:rPr>
          <w:rFonts w:ascii="Times New Roman" w:eastAsia="Calibri" w:hAnsi="Times New Roman"/>
          <w:szCs w:val="22"/>
        </w:rPr>
        <w:t xml:space="preserve"> WSA, licencie pre firewall a pod. </w:t>
      </w:r>
      <w:r w:rsidRPr="0085799C">
        <w:rPr>
          <w:rFonts w:ascii="Times New Roman" w:eastAsia="Calibri" w:hAnsi="Times New Roman"/>
          <w:u w:val="single"/>
        </w:rPr>
        <w:t>Úrad geodézie, kartografie a katastra SR</w:t>
      </w:r>
      <w:r w:rsidRPr="0085799C">
        <w:rPr>
          <w:rFonts w:ascii="Times New Roman" w:eastAsia="Calibri" w:hAnsi="Times New Roman"/>
          <w:szCs w:val="22"/>
        </w:rPr>
        <w:t xml:space="preserve"> sumou 2</w:t>
      </w:r>
      <w:r w:rsidR="00BD4B46" w:rsidRPr="0085799C">
        <w:rPr>
          <w:rFonts w:ascii="Times New Roman" w:eastAsia="Calibri" w:hAnsi="Times New Roman"/>
          <w:szCs w:val="22"/>
        </w:rPr>
        <w:t> </w:t>
      </w:r>
      <w:r w:rsidRPr="0085799C">
        <w:rPr>
          <w:rFonts w:ascii="Times New Roman" w:eastAsia="Calibri" w:hAnsi="Times New Roman"/>
          <w:szCs w:val="22"/>
        </w:rPr>
        <w:t>8</w:t>
      </w:r>
      <w:r w:rsidR="00BD4B46" w:rsidRPr="0085799C">
        <w:rPr>
          <w:rFonts w:ascii="Times New Roman" w:eastAsia="Calibri" w:hAnsi="Times New Roman"/>
          <w:szCs w:val="22"/>
        </w:rPr>
        <w:t xml:space="preserve">70 tis. </w:t>
      </w:r>
      <w:r w:rsidRPr="0085799C">
        <w:rPr>
          <w:rFonts w:ascii="Times New Roman" w:eastAsia="Calibri" w:hAnsi="Times New Roman"/>
          <w:szCs w:val="22"/>
        </w:rPr>
        <w:t>eur, ktorá zahŕňa najmä licenciu ESRI (</w:t>
      </w:r>
      <w:proofErr w:type="spellStart"/>
      <w:r w:rsidRPr="0085799C">
        <w:rPr>
          <w:rFonts w:ascii="Times New Roman" w:eastAsia="Calibri" w:hAnsi="Times New Roman"/>
          <w:szCs w:val="22"/>
        </w:rPr>
        <w:t>Enviromental</w:t>
      </w:r>
      <w:proofErr w:type="spellEnd"/>
      <w:r w:rsidRPr="0085799C">
        <w:rPr>
          <w:rFonts w:ascii="Times New Roman" w:eastAsia="Calibri" w:hAnsi="Times New Roman"/>
          <w:szCs w:val="22"/>
        </w:rPr>
        <w:t xml:space="preserve"> Systems </w:t>
      </w:r>
      <w:proofErr w:type="spellStart"/>
      <w:r w:rsidRPr="0085799C">
        <w:rPr>
          <w:rFonts w:ascii="Times New Roman" w:eastAsia="Calibri" w:hAnsi="Times New Roman"/>
          <w:szCs w:val="22"/>
        </w:rPr>
        <w:t>Research</w:t>
      </w:r>
      <w:proofErr w:type="spellEnd"/>
      <w:r w:rsidRPr="0085799C">
        <w:rPr>
          <w:rFonts w:ascii="Times New Roman" w:eastAsia="Calibri" w:hAnsi="Times New Roman"/>
          <w:szCs w:val="22"/>
        </w:rPr>
        <w:t xml:space="preserve"> </w:t>
      </w:r>
      <w:proofErr w:type="spellStart"/>
      <w:r w:rsidRPr="0085799C">
        <w:rPr>
          <w:rFonts w:ascii="Times New Roman" w:eastAsia="Calibri" w:hAnsi="Times New Roman"/>
          <w:szCs w:val="22"/>
        </w:rPr>
        <w:t>Institute</w:t>
      </w:r>
      <w:proofErr w:type="spellEnd"/>
      <w:r w:rsidRPr="0085799C">
        <w:rPr>
          <w:rFonts w:ascii="Times New Roman" w:eastAsia="Calibri" w:hAnsi="Times New Roman"/>
          <w:szCs w:val="22"/>
        </w:rPr>
        <w:t xml:space="preserve">, zameranú na informačné systémy na tvorbu, spracovanie a analýzu geografických údajov), licenciu Digitálny model reliéfu a licenciu Letecké laserové skenovanie (2002 – 2026) a </w:t>
      </w:r>
      <w:r w:rsidRPr="0085799C">
        <w:rPr>
          <w:rFonts w:ascii="Times New Roman" w:eastAsia="Calibri" w:hAnsi="Times New Roman"/>
          <w:u w:val="single"/>
        </w:rPr>
        <w:t>Ministerstvo práce, sociálnych vecí a rodiny SR</w:t>
      </w:r>
      <w:r w:rsidRPr="0085799C">
        <w:rPr>
          <w:rFonts w:ascii="Times New Roman" w:eastAsia="Calibri" w:hAnsi="Times New Roman"/>
          <w:szCs w:val="22"/>
        </w:rPr>
        <w:t xml:space="preserve"> (2 528 </w:t>
      </w:r>
      <w:r w:rsidR="00CF46CE" w:rsidRPr="0085799C">
        <w:rPr>
          <w:rFonts w:ascii="Times New Roman" w:eastAsia="Calibri" w:hAnsi="Times New Roman"/>
          <w:szCs w:val="22"/>
        </w:rPr>
        <w:t>tis.</w:t>
      </w:r>
      <w:r w:rsidRPr="0085799C">
        <w:rPr>
          <w:rFonts w:ascii="Times New Roman" w:eastAsia="Calibri" w:hAnsi="Times New Roman"/>
          <w:szCs w:val="22"/>
        </w:rPr>
        <w:t xml:space="preserve"> eur).</w:t>
      </w:r>
    </w:p>
    <w:p w14:paraId="504CDD38" w14:textId="77777777" w:rsidR="00277728" w:rsidRPr="00AD57C5" w:rsidRDefault="00277728" w:rsidP="0085799C">
      <w:pPr>
        <w:spacing w:after="120" w:line="240" w:lineRule="auto"/>
        <w:jc w:val="both"/>
      </w:pPr>
    </w:p>
    <w:p w14:paraId="21DF546F" w14:textId="749F16B4" w:rsidR="00277728" w:rsidRPr="008F3072" w:rsidRDefault="00277728" w:rsidP="0085799C">
      <w:pPr>
        <w:pStyle w:val="Nadpis4"/>
        <w:numPr>
          <w:ilvl w:val="0"/>
          <w:numId w:val="54"/>
        </w:numPr>
        <w:ind w:left="426" w:hanging="426"/>
      </w:pPr>
      <w:bookmarkStart w:id="6" w:name="_Obstaranie_nehmotného_majteku"/>
      <w:bookmarkEnd w:id="6"/>
      <w:r>
        <w:t xml:space="preserve">Obstaranie nehmotného </w:t>
      </w:r>
      <w:r w:rsidR="008A7D12">
        <w:t>majetku</w:t>
      </w:r>
    </w:p>
    <w:p w14:paraId="13FC4593" w14:textId="685BE6DF" w:rsidR="00647542" w:rsidRPr="00907622" w:rsidRDefault="00647542" w:rsidP="00647542">
      <w:pPr>
        <w:pStyle w:val="Pismenka"/>
        <w:tabs>
          <w:tab w:val="clear" w:pos="426"/>
        </w:tabs>
        <w:spacing w:after="120"/>
        <w:ind w:left="0" w:firstLine="0"/>
        <w:rPr>
          <w:b w:val="0"/>
          <w:bCs w:val="0"/>
          <w:sz w:val="22"/>
          <w:szCs w:val="22"/>
        </w:rPr>
      </w:pPr>
      <w:r w:rsidRPr="00907622">
        <w:rPr>
          <w:b w:val="0"/>
          <w:bCs w:val="0"/>
          <w:sz w:val="22"/>
          <w:szCs w:val="22"/>
        </w:rPr>
        <w:t>Hodnota nehmotného majetku v procese obstarávania a k 31.</w:t>
      </w:r>
      <w:r w:rsidR="00867606">
        <w:rPr>
          <w:b w:val="0"/>
          <w:bCs w:val="0"/>
          <w:sz w:val="22"/>
          <w:szCs w:val="22"/>
        </w:rPr>
        <w:t xml:space="preserve"> </w:t>
      </w:r>
      <w:r w:rsidRPr="00907622">
        <w:rPr>
          <w:b w:val="0"/>
          <w:bCs w:val="0"/>
          <w:sz w:val="22"/>
          <w:szCs w:val="22"/>
        </w:rPr>
        <w:t>12.</w:t>
      </w:r>
      <w:r w:rsidR="00867606">
        <w:rPr>
          <w:b w:val="0"/>
          <w:bCs w:val="0"/>
          <w:sz w:val="22"/>
          <w:szCs w:val="22"/>
        </w:rPr>
        <w:t xml:space="preserve"> </w:t>
      </w:r>
      <w:r w:rsidRPr="00907622">
        <w:rPr>
          <w:b w:val="0"/>
          <w:bCs w:val="0"/>
          <w:sz w:val="22"/>
          <w:szCs w:val="22"/>
        </w:rPr>
        <w:t>202</w:t>
      </w:r>
      <w:r w:rsidR="00547B5E">
        <w:rPr>
          <w:b w:val="0"/>
          <w:bCs w:val="0"/>
          <w:sz w:val="22"/>
          <w:szCs w:val="22"/>
        </w:rPr>
        <w:t>4</w:t>
      </w:r>
      <w:r w:rsidRPr="00907622">
        <w:rPr>
          <w:b w:val="0"/>
          <w:bCs w:val="0"/>
          <w:sz w:val="22"/>
          <w:szCs w:val="22"/>
        </w:rPr>
        <w:t xml:space="preserve"> nezaradeného do používania dosiahla sumu </w:t>
      </w:r>
      <w:r w:rsidR="00B74ACC">
        <w:rPr>
          <w:b w:val="0"/>
          <w:bCs w:val="0"/>
          <w:sz w:val="22"/>
          <w:szCs w:val="22"/>
        </w:rPr>
        <w:t xml:space="preserve">106 556 </w:t>
      </w:r>
      <w:r w:rsidRPr="00907622">
        <w:rPr>
          <w:b w:val="0"/>
          <w:bCs w:val="0"/>
          <w:sz w:val="22"/>
          <w:szCs w:val="22"/>
        </w:rPr>
        <w:t xml:space="preserve">tis. eur a medziročne je úhrnom </w:t>
      </w:r>
      <w:r w:rsidR="00B74ACC">
        <w:rPr>
          <w:b w:val="0"/>
          <w:bCs w:val="0"/>
          <w:sz w:val="22"/>
          <w:szCs w:val="22"/>
        </w:rPr>
        <w:t>nižšia</w:t>
      </w:r>
      <w:r w:rsidR="00B74ACC" w:rsidRPr="00907622">
        <w:rPr>
          <w:b w:val="0"/>
          <w:bCs w:val="0"/>
          <w:sz w:val="22"/>
          <w:szCs w:val="22"/>
        </w:rPr>
        <w:t xml:space="preserve"> </w:t>
      </w:r>
      <w:r w:rsidRPr="00907622">
        <w:rPr>
          <w:b w:val="0"/>
          <w:bCs w:val="0"/>
          <w:sz w:val="22"/>
          <w:szCs w:val="22"/>
        </w:rPr>
        <w:t>o</w:t>
      </w:r>
      <w:r w:rsidR="00950430">
        <w:rPr>
          <w:b w:val="0"/>
          <w:bCs w:val="0"/>
          <w:sz w:val="22"/>
          <w:szCs w:val="22"/>
        </w:rPr>
        <w:t> 53 027</w:t>
      </w:r>
      <w:r w:rsidRPr="00907622">
        <w:rPr>
          <w:b w:val="0"/>
          <w:bCs w:val="0"/>
          <w:sz w:val="22"/>
          <w:szCs w:val="22"/>
        </w:rPr>
        <w:t xml:space="preserve"> tis. eur, najmä z dôvodu </w:t>
      </w:r>
      <w:r w:rsidR="00950430">
        <w:rPr>
          <w:b w:val="0"/>
          <w:bCs w:val="0"/>
          <w:sz w:val="22"/>
          <w:szCs w:val="22"/>
        </w:rPr>
        <w:t>zaradenia</w:t>
      </w:r>
      <w:r w:rsidR="00950430" w:rsidRPr="00907622">
        <w:rPr>
          <w:b w:val="0"/>
          <w:bCs w:val="0"/>
          <w:sz w:val="22"/>
          <w:szCs w:val="22"/>
        </w:rPr>
        <w:t xml:space="preserve"> </w:t>
      </w:r>
      <w:r w:rsidRPr="00907622">
        <w:rPr>
          <w:b w:val="0"/>
          <w:bCs w:val="0"/>
          <w:sz w:val="22"/>
          <w:szCs w:val="22"/>
        </w:rPr>
        <w:t>informačných systémov</w:t>
      </w:r>
      <w:r w:rsidR="00D21DB6">
        <w:rPr>
          <w:b w:val="0"/>
          <w:bCs w:val="0"/>
          <w:sz w:val="22"/>
          <w:szCs w:val="22"/>
        </w:rPr>
        <w:t xml:space="preserve"> do používania</w:t>
      </w:r>
      <w:r w:rsidRPr="00907622">
        <w:rPr>
          <w:b w:val="0"/>
          <w:bCs w:val="0"/>
          <w:sz w:val="22"/>
          <w:szCs w:val="22"/>
        </w:rPr>
        <w:t xml:space="preserve">. V rámci obstarania dlhodobého nehmotného majetku vykázali organizácie ústrednej správy sumu </w:t>
      </w:r>
      <w:r w:rsidR="00BA0CC4">
        <w:rPr>
          <w:b w:val="0"/>
          <w:bCs w:val="0"/>
          <w:sz w:val="22"/>
          <w:szCs w:val="22"/>
        </w:rPr>
        <w:t>89 285</w:t>
      </w:r>
      <w:r w:rsidRPr="00907622">
        <w:rPr>
          <w:b w:val="0"/>
          <w:bCs w:val="0"/>
          <w:sz w:val="22"/>
          <w:szCs w:val="22"/>
        </w:rPr>
        <w:t> tis. eur (</w:t>
      </w:r>
      <w:r w:rsidR="00E94C79">
        <w:rPr>
          <w:b w:val="0"/>
          <w:bCs w:val="0"/>
          <w:sz w:val="22"/>
          <w:szCs w:val="22"/>
        </w:rPr>
        <w:t>pokles</w:t>
      </w:r>
      <w:r w:rsidR="00E94C79" w:rsidRPr="00907622">
        <w:rPr>
          <w:b w:val="0"/>
          <w:bCs w:val="0"/>
          <w:sz w:val="22"/>
          <w:szCs w:val="22"/>
        </w:rPr>
        <w:t xml:space="preserve"> </w:t>
      </w:r>
      <w:r w:rsidRPr="00907622">
        <w:rPr>
          <w:b w:val="0"/>
          <w:bCs w:val="0"/>
          <w:sz w:val="22"/>
          <w:szCs w:val="22"/>
        </w:rPr>
        <w:t>o</w:t>
      </w:r>
      <w:r w:rsidR="00652FD1">
        <w:rPr>
          <w:b w:val="0"/>
          <w:bCs w:val="0"/>
          <w:sz w:val="22"/>
          <w:szCs w:val="22"/>
        </w:rPr>
        <w:t xml:space="preserve"> 55 </w:t>
      </w:r>
      <w:r w:rsidR="007832A9">
        <w:rPr>
          <w:b w:val="0"/>
          <w:bCs w:val="0"/>
          <w:sz w:val="22"/>
          <w:szCs w:val="22"/>
        </w:rPr>
        <w:t>292</w:t>
      </w:r>
      <w:r w:rsidRPr="00907622">
        <w:rPr>
          <w:b w:val="0"/>
          <w:bCs w:val="0"/>
          <w:sz w:val="22"/>
          <w:szCs w:val="22"/>
        </w:rPr>
        <w:t xml:space="preserve"> tis. eur), územná samospráva spolu </w:t>
      </w:r>
      <w:r w:rsidR="000F422C">
        <w:rPr>
          <w:b w:val="0"/>
          <w:bCs w:val="0"/>
          <w:sz w:val="22"/>
          <w:szCs w:val="22"/>
        </w:rPr>
        <w:t>14 411</w:t>
      </w:r>
      <w:r w:rsidRPr="00907622">
        <w:rPr>
          <w:b w:val="0"/>
          <w:bCs w:val="0"/>
          <w:sz w:val="22"/>
          <w:szCs w:val="22"/>
        </w:rPr>
        <w:t xml:space="preserve"> tis. eur a ostatné subjekty </w:t>
      </w:r>
      <w:r w:rsidR="007014EC">
        <w:rPr>
          <w:b w:val="0"/>
          <w:bCs w:val="0"/>
          <w:sz w:val="22"/>
          <w:szCs w:val="22"/>
        </w:rPr>
        <w:t>2 861</w:t>
      </w:r>
      <w:r w:rsidRPr="00907622">
        <w:rPr>
          <w:b w:val="0"/>
          <w:bCs w:val="0"/>
          <w:sz w:val="22"/>
          <w:szCs w:val="22"/>
        </w:rPr>
        <w:t> tis. eur.</w:t>
      </w:r>
    </w:p>
    <w:p w14:paraId="517BF85B" w14:textId="08BBE05E" w:rsidR="71B40D24" w:rsidRPr="0085799C" w:rsidRDefault="71B40D24" w:rsidP="0085799C">
      <w:pPr>
        <w:tabs>
          <w:tab w:val="left" w:pos="0"/>
          <w:tab w:val="left" w:pos="0"/>
        </w:tabs>
        <w:spacing w:after="120" w:line="240" w:lineRule="auto"/>
        <w:jc w:val="both"/>
        <w:rPr>
          <w:rFonts w:ascii="Times New Roman" w:eastAsia="Calibri" w:hAnsi="Times New Roman"/>
          <w:szCs w:val="22"/>
        </w:rPr>
      </w:pPr>
      <w:r w:rsidRPr="0085799C">
        <w:rPr>
          <w:rFonts w:ascii="Times New Roman" w:eastAsia="Calibri" w:hAnsi="Times New Roman"/>
          <w:szCs w:val="22"/>
        </w:rPr>
        <w:t>Vo väčšine organizácií ústrednej správy sa na tejto položke majetku obstaráva budúci softvér, resp. pokračujúci rozvoj súčasného softvéru vzhľadom na projekty elektronizácie verejnej správy, ktoré sú dlhodobého charakteru.</w:t>
      </w:r>
    </w:p>
    <w:p w14:paraId="5005D2FF" w14:textId="77777777" w:rsidR="00647542" w:rsidRPr="00907622" w:rsidRDefault="00647542" w:rsidP="0085799C">
      <w:pPr>
        <w:tabs>
          <w:tab w:val="num" w:pos="0"/>
        </w:tabs>
        <w:spacing w:after="120" w:line="240" w:lineRule="auto"/>
        <w:jc w:val="both"/>
        <w:rPr>
          <w:rFonts w:ascii="Times New Roman" w:hAnsi="Times New Roman"/>
          <w:szCs w:val="22"/>
          <w:lang w:eastAsia="sk-SK"/>
        </w:rPr>
      </w:pPr>
      <w:r w:rsidRPr="00907622">
        <w:rPr>
          <w:rFonts w:ascii="Times New Roman" w:hAnsi="Times New Roman"/>
          <w:szCs w:val="22"/>
          <w:lang w:eastAsia="sk-SK"/>
        </w:rPr>
        <w:t>Najvyššiu hodnotu majetku ústrednej správy z celého súhrnného celku je možné odôvodniť tým, že predmetom obstarávania sú softvérové riešenia, ktorých proces obstarávania často presahuje jedno účtovné obdobie vzhľadom na ich zložitosť a komplexnosť.</w:t>
      </w:r>
    </w:p>
    <w:p w14:paraId="20CEB842" w14:textId="5D807794" w:rsidR="00647542" w:rsidRPr="0085799C" w:rsidRDefault="54049E7C" w:rsidP="0085799C">
      <w:pPr>
        <w:spacing w:after="120" w:line="240" w:lineRule="auto"/>
        <w:jc w:val="both"/>
        <w:rPr>
          <w:rFonts w:ascii="Times New Roman" w:eastAsia="Calibri" w:hAnsi="Times New Roman"/>
          <w:szCs w:val="22"/>
        </w:rPr>
      </w:pPr>
      <w:r w:rsidRPr="0085799C">
        <w:rPr>
          <w:rFonts w:ascii="Times New Roman" w:eastAsia="Calibri" w:hAnsi="Times New Roman"/>
          <w:szCs w:val="22"/>
        </w:rPr>
        <w:t xml:space="preserve">Najvyššiu hodnotu majetku </w:t>
      </w:r>
      <w:r w:rsidR="009966D1" w:rsidRPr="0085799C">
        <w:rPr>
          <w:rFonts w:ascii="Times New Roman" w:eastAsia="Calibri" w:hAnsi="Times New Roman"/>
          <w:szCs w:val="22"/>
        </w:rPr>
        <w:t>v ústrednej správe</w:t>
      </w:r>
      <w:r w:rsidRPr="0085799C">
        <w:rPr>
          <w:rFonts w:ascii="Times New Roman" w:eastAsia="Calibri" w:hAnsi="Times New Roman"/>
          <w:szCs w:val="22"/>
        </w:rPr>
        <w:t xml:space="preserve"> v procese obstarávania vykázalo </w:t>
      </w:r>
      <w:r w:rsidRPr="0085799C">
        <w:rPr>
          <w:rFonts w:ascii="Times New Roman" w:eastAsia="Calibri" w:hAnsi="Times New Roman"/>
          <w:u w:val="single"/>
        </w:rPr>
        <w:t xml:space="preserve">Ministerstvo financií SR </w:t>
      </w:r>
      <w:r w:rsidRPr="0085799C">
        <w:rPr>
          <w:rFonts w:ascii="Times New Roman" w:eastAsia="Calibri" w:hAnsi="Times New Roman"/>
          <w:szCs w:val="22"/>
        </w:rPr>
        <w:t xml:space="preserve">(26 276 </w:t>
      </w:r>
      <w:r w:rsidR="00774D3C" w:rsidRPr="0085799C">
        <w:rPr>
          <w:rFonts w:ascii="Times New Roman" w:eastAsia="Calibri" w:hAnsi="Times New Roman"/>
          <w:szCs w:val="22"/>
        </w:rPr>
        <w:t>tis.</w:t>
      </w:r>
      <w:r w:rsidRPr="0085799C">
        <w:rPr>
          <w:rFonts w:ascii="Times New Roman" w:eastAsia="Calibri" w:hAnsi="Times New Roman"/>
          <w:szCs w:val="22"/>
        </w:rPr>
        <w:t xml:space="preserve"> eur), </w:t>
      </w:r>
      <w:r w:rsidRPr="0085799C">
        <w:rPr>
          <w:rFonts w:ascii="Times New Roman" w:eastAsia="Calibri" w:hAnsi="Times New Roman"/>
          <w:u w:val="single"/>
        </w:rPr>
        <w:t>Ministerstvo obrany SR</w:t>
      </w:r>
      <w:r w:rsidRPr="0085799C">
        <w:rPr>
          <w:rFonts w:ascii="Times New Roman" w:eastAsia="Calibri" w:hAnsi="Times New Roman"/>
          <w:b/>
          <w:i/>
          <w:szCs w:val="22"/>
        </w:rPr>
        <w:t xml:space="preserve"> </w:t>
      </w:r>
      <w:r w:rsidRPr="0085799C">
        <w:rPr>
          <w:rFonts w:ascii="Times New Roman" w:eastAsia="Calibri" w:hAnsi="Times New Roman"/>
          <w:szCs w:val="22"/>
        </w:rPr>
        <w:t xml:space="preserve">(15 293 </w:t>
      </w:r>
      <w:r w:rsidR="00774D3C" w:rsidRPr="0085799C">
        <w:rPr>
          <w:rFonts w:ascii="Times New Roman" w:eastAsia="Calibri" w:hAnsi="Times New Roman"/>
          <w:szCs w:val="22"/>
        </w:rPr>
        <w:t>tis.</w:t>
      </w:r>
      <w:r w:rsidRPr="0085799C">
        <w:rPr>
          <w:rFonts w:ascii="Times New Roman" w:eastAsia="Calibri" w:hAnsi="Times New Roman"/>
          <w:szCs w:val="22"/>
        </w:rPr>
        <w:t xml:space="preserve"> eur), </w:t>
      </w:r>
      <w:r w:rsidRPr="0085799C">
        <w:rPr>
          <w:rFonts w:ascii="Times New Roman" w:eastAsia="Calibri" w:hAnsi="Times New Roman"/>
          <w:u w:val="single"/>
        </w:rPr>
        <w:t>Generálne riaditeľstvo Zboru väzenskej a justičnej stráže</w:t>
      </w:r>
      <w:r w:rsidRPr="0085799C">
        <w:rPr>
          <w:rFonts w:ascii="Times New Roman" w:eastAsia="Calibri" w:hAnsi="Times New Roman"/>
          <w:szCs w:val="22"/>
        </w:rPr>
        <w:t xml:space="preserve"> (9 432 </w:t>
      </w:r>
      <w:r w:rsidR="00774D3C" w:rsidRPr="0085799C">
        <w:rPr>
          <w:rFonts w:ascii="Times New Roman" w:eastAsia="Calibri" w:hAnsi="Times New Roman"/>
          <w:szCs w:val="22"/>
        </w:rPr>
        <w:t>tis.</w:t>
      </w:r>
      <w:r w:rsidRPr="0085799C">
        <w:rPr>
          <w:rFonts w:ascii="Times New Roman" w:eastAsia="Calibri" w:hAnsi="Times New Roman"/>
          <w:szCs w:val="22"/>
        </w:rPr>
        <w:t xml:space="preserve"> eur), </w:t>
      </w:r>
      <w:r w:rsidRPr="0085799C">
        <w:rPr>
          <w:rFonts w:ascii="Times New Roman" w:eastAsia="Calibri" w:hAnsi="Times New Roman"/>
          <w:u w:val="single"/>
        </w:rPr>
        <w:t>Železničná spoločnosť Slovensko, a.s.</w:t>
      </w:r>
      <w:r w:rsidRPr="0085799C">
        <w:rPr>
          <w:rFonts w:ascii="Times New Roman" w:eastAsia="Calibri" w:hAnsi="Times New Roman"/>
          <w:szCs w:val="22"/>
        </w:rPr>
        <w:t xml:space="preserve"> (6</w:t>
      </w:r>
      <w:r w:rsidR="00EF0DED" w:rsidRPr="0085799C">
        <w:rPr>
          <w:rFonts w:ascii="Times New Roman" w:eastAsia="Calibri" w:hAnsi="Times New Roman"/>
          <w:szCs w:val="22"/>
        </w:rPr>
        <w:t> </w:t>
      </w:r>
      <w:r w:rsidRPr="0085799C">
        <w:rPr>
          <w:rFonts w:ascii="Times New Roman" w:eastAsia="Calibri" w:hAnsi="Times New Roman"/>
          <w:szCs w:val="22"/>
        </w:rPr>
        <w:t>1</w:t>
      </w:r>
      <w:r w:rsidR="00774D3C" w:rsidRPr="0085799C">
        <w:rPr>
          <w:rFonts w:ascii="Times New Roman" w:eastAsia="Calibri" w:hAnsi="Times New Roman"/>
          <w:szCs w:val="22"/>
        </w:rPr>
        <w:t>80</w:t>
      </w:r>
      <w:r w:rsidR="00EF0DED" w:rsidRPr="0085799C">
        <w:rPr>
          <w:rFonts w:ascii="Times New Roman" w:eastAsia="Calibri" w:hAnsi="Times New Roman"/>
          <w:szCs w:val="22"/>
        </w:rPr>
        <w:t xml:space="preserve"> tis.</w:t>
      </w:r>
      <w:r w:rsidRPr="0085799C">
        <w:rPr>
          <w:rFonts w:ascii="Times New Roman" w:eastAsia="Calibri" w:hAnsi="Times New Roman"/>
          <w:szCs w:val="22"/>
        </w:rPr>
        <w:t xml:space="preserve"> eur) a </w:t>
      </w:r>
      <w:r w:rsidRPr="0085799C">
        <w:rPr>
          <w:rFonts w:ascii="Times New Roman" w:eastAsia="Calibri" w:hAnsi="Times New Roman"/>
        </w:rPr>
        <w:t>Slovenská elektrizačná prenosová sústava</w:t>
      </w:r>
      <w:r w:rsidRPr="0085799C">
        <w:rPr>
          <w:rFonts w:ascii="Times New Roman" w:eastAsia="Calibri" w:hAnsi="Times New Roman"/>
          <w:szCs w:val="22"/>
        </w:rPr>
        <w:t xml:space="preserve">, a.s. (5 070 </w:t>
      </w:r>
      <w:r w:rsidR="00EF0DED" w:rsidRPr="0085799C">
        <w:rPr>
          <w:rFonts w:ascii="Times New Roman" w:eastAsia="Calibri" w:hAnsi="Times New Roman"/>
          <w:szCs w:val="22"/>
        </w:rPr>
        <w:t xml:space="preserve"> tis.</w:t>
      </w:r>
      <w:r w:rsidRPr="0085799C">
        <w:rPr>
          <w:rFonts w:ascii="Times New Roman" w:eastAsia="Calibri" w:hAnsi="Times New Roman"/>
          <w:szCs w:val="22"/>
        </w:rPr>
        <w:t xml:space="preserve"> eur).</w:t>
      </w:r>
    </w:p>
    <w:p w14:paraId="26654F47" w14:textId="096407F4" w:rsidR="00647542" w:rsidRPr="0085799C" w:rsidRDefault="54049E7C" w:rsidP="0085799C">
      <w:pPr>
        <w:spacing w:after="120" w:line="240" w:lineRule="auto"/>
        <w:jc w:val="both"/>
        <w:rPr>
          <w:rFonts w:ascii="Times New Roman" w:eastAsia="Calibri" w:hAnsi="Times New Roman"/>
          <w:szCs w:val="22"/>
        </w:rPr>
      </w:pPr>
      <w:r w:rsidRPr="0085799C">
        <w:rPr>
          <w:rFonts w:ascii="Times New Roman" w:eastAsia="Calibri" w:hAnsi="Times New Roman"/>
          <w:u w:val="single"/>
        </w:rPr>
        <w:t>Ministerstvo financií SR</w:t>
      </w:r>
      <w:r w:rsidRPr="0085799C">
        <w:rPr>
          <w:rFonts w:ascii="Times New Roman" w:eastAsia="Calibri" w:hAnsi="Times New Roman"/>
          <w:szCs w:val="22"/>
        </w:rPr>
        <w:t xml:space="preserve"> evidovalo v roku 2024 na tejto položke majetku novoobstaraný systém alebo rozšírenia už existujúceho systému, napr. Centrálny ekonomický systém, SAP licencie, Centrálny konsolidačný systém, Informačný ekonomický systém, softvér Správa dokumentov, Rozpočtový informačný systém, IS účtovníctva fondov a ďalšie. Obstaraný dlhodobý nehmotný majetok bude zaradený do používania po dodaní kompletnej investície, otestovaní a akceptácii funkčností zo strany ministerstva.</w:t>
      </w:r>
    </w:p>
    <w:p w14:paraId="01C99E7E" w14:textId="77777777" w:rsidR="00A02729" w:rsidRPr="0085799C" w:rsidRDefault="54049E7C" w:rsidP="00A02729">
      <w:pPr>
        <w:spacing w:after="120" w:line="240" w:lineRule="auto"/>
        <w:jc w:val="both"/>
        <w:rPr>
          <w:rFonts w:ascii="Times New Roman" w:eastAsia="Calibri" w:hAnsi="Times New Roman"/>
        </w:rPr>
      </w:pPr>
      <w:r w:rsidRPr="0085799C">
        <w:rPr>
          <w:rFonts w:ascii="Times New Roman" w:eastAsia="Calibri" w:hAnsi="Times New Roman"/>
          <w:szCs w:val="22"/>
        </w:rPr>
        <w:t xml:space="preserve">V rámci obstarania dlhodobého nehmotného majetku </w:t>
      </w:r>
      <w:r w:rsidR="004E6749" w:rsidRPr="0085799C">
        <w:rPr>
          <w:rFonts w:ascii="Times New Roman" w:eastAsia="Calibri" w:hAnsi="Times New Roman"/>
          <w:szCs w:val="22"/>
        </w:rPr>
        <w:t xml:space="preserve">súhrnný </w:t>
      </w:r>
      <w:r w:rsidRPr="0085799C">
        <w:rPr>
          <w:rFonts w:ascii="Times New Roman" w:eastAsia="Calibri" w:hAnsi="Times New Roman"/>
          <w:szCs w:val="22"/>
        </w:rPr>
        <w:t>celok dosiahol úhrnom pokles o</w:t>
      </w:r>
      <w:r w:rsidR="001E77C8" w:rsidRPr="0085799C">
        <w:rPr>
          <w:rFonts w:ascii="Times New Roman" w:eastAsia="Calibri" w:hAnsi="Times New Roman"/>
          <w:szCs w:val="22"/>
        </w:rPr>
        <w:t xml:space="preserve"> 53 027 tis. </w:t>
      </w:r>
      <w:r w:rsidRPr="0085799C">
        <w:rPr>
          <w:rFonts w:ascii="Times New Roman" w:eastAsia="Calibri" w:hAnsi="Times New Roman"/>
          <w:szCs w:val="22"/>
        </w:rPr>
        <w:t xml:space="preserve">eur. </w:t>
      </w:r>
      <w:r w:rsidR="00A02729" w:rsidRPr="0085799C">
        <w:rPr>
          <w:rFonts w:ascii="Times New Roman" w:eastAsia="Calibri" w:hAnsi="Times New Roman"/>
        </w:rPr>
        <w:t xml:space="preserve">Najvýznamnejší pokles na položke obstarania dlhodobého nehmotného majetku vykázalo </w:t>
      </w:r>
      <w:r w:rsidR="00A02729" w:rsidRPr="0085799C">
        <w:rPr>
          <w:rFonts w:ascii="Times New Roman" w:eastAsia="Calibri" w:hAnsi="Times New Roman"/>
          <w:u w:val="single"/>
        </w:rPr>
        <w:t>Ministerstvo životného prostredia SR</w:t>
      </w:r>
      <w:r w:rsidR="00A02729" w:rsidRPr="0085799C">
        <w:rPr>
          <w:rFonts w:ascii="Times New Roman" w:eastAsia="Calibri" w:hAnsi="Times New Roman"/>
          <w:b/>
          <w:i/>
        </w:rPr>
        <w:t xml:space="preserve"> </w:t>
      </w:r>
      <w:r w:rsidR="00A02729" w:rsidRPr="0085799C">
        <w:rPr>
          <w:rFonts w:ascii="Times New Roman" w:eastAsia="Calibri" w:hAnsi="Times New Roman"/>
        </w:rPr>
        <w:t xml:space="preserve"> (o 15 300 tis. eur), pričom pokles na tejto položke spôsobilo najmä zaradenie dlhodobého nehmotného majetku do používania, a to Informačný systém odpadového hospodárstva (ISOH), informačný systém Register priestorových informácií a NUNTIO - elektronická správa registratúry a </w:t>
      </w:r>
      <w:r w:rsidR="00A02729" w:rsidRPr="0085799C">
        <w:rPr>
          <w:rFonts w:ascii="Times New Roman" w:eastAsia="Calibri" w:hAnsi="Times New Roman"/>
          <w:u w:val="single"/>
        </w:rPr>
        <w:t xml:space="preserve">Slovenský vodohospodársky podnik, </w:t>
      </w:r>
      <w:proofErr w:type="spellStart"/>
      <w:r w:rsidR="00A02729" w:rsidRPr="0085799C">
        <w:rPr>
          <w:rFonts w:ascii="Times New Roman" w:eastAsia="Calibri" w:hAnsi="Times New Roman"/>
          <w:u w:val="single"/>
        </w:rPr>
        <w:t>š.p</w:t>
      </w:r>
      <w:proofErr w:type="spellEnd"/>
      <w:r w:rsidR="00A02729" w:rsidRPr="0085799C">
        <w:rPr>
          <w:rFonts w:ascii="Times New Roman" w:eastAsia="Calibri" w:hAnsi="Times New Roman"/>
          <w:u w:val="single"/>
        </w:rPr>
        <w:t>.</w:t>
      </w:r>
      <w:r w:rsidR="00A02729" w:rsidRPr="0085799C">
        <w:rPr>
          <w:rFonts w:ascii="Times New Roman" w:eastAsia="Calibri" w:hAnsi="Times New Roman"/>
          <w:b/>
          <w:i/>
        </w:rPr>
        <w:t xml:space="preserve"> </w:t>
      </w:r>
      <w:r w:rsidR="00A02729" w:rsidRPr="0085799C">
        <w:rPr>
          <w:rFonts w:ascii="Times New Roman" w:eastAsia="Calibri" w:hAnsi="Times New Roman"/>
        </w:rPr>
        <w:t>(2 887 tis. eur), pričom pokles na tejto položke spôsobilo najmä zaradenie dlhodobého nehmotného majetku do používania, a to aktualizácie softvéru Hodnotenie a manažment povodňových rizík a TIS rozvoj vodných tokov.</w:t>
      </w:r>
    </w:p>
    <w:p w14:paraId="65873CD4" w14:textId="2ED1EEAA" w:rsidR="00647542" w:rsidRPr="0085799C" w:rsidRDefault="54049E7C" w:rsidP="0085799C">
      <w:pPr>
        <w:spacing w:after="120" w:line="240" w:lineRule="auto"/>
        <w:jc w:val="both"/>
        <w:rPr>
          <w:rFonts w:ascii="Times New Roman" w:eastAsia="Calibri" w:hAnsi="Times New Roman"/>
          <w:szCs w:val="22"/>
        </w:rPr>
      </w:pPr>
      <w:r w:rsidRPr="0085799C">
        <w:rPr>
          <w:rFonts w:ascii="Times New Roman" w:eastAsia="Calibri" w:hAnsi="Times New Roman"/>
          <w:szCs w:val="22"/>
        </w:rPr>
        <w:t xml:space="preserve">Najvyšší nárast vykázalo </w:t>
      </w:r>
      <w:r w:rsidRPr="0085799C">
        <w:rPr>
          <w:rFonts w:ascii="Times New Roman" w:eastAsia="Calibri" w:hAnsi="Times New Roman"/>
          <w:u w:val="single"/>
        </w:rPr>
        <w:t>Ministerstvo obrany SR</w:t>
      </w:r>
      <w:r w:rsidRPr="0085799C">
        <w:rPr>
          <w:rFonts w:ascii="Times New Roman" w:eastAsia="Calibri" w:hAnsi="Times New Roman"/>
          <w:szCs w:val="22"/>
        </w:rPr>
        <w:t xml:space="preserve"> (o 3</w:t>
      </w:r>
      <w:r w:rsidR="00EA68A3" w:rsidRPr="0085799C">
        <w:rPr>
          <w:rFonts w:ascii="Times New Roman" w:eastAsia="Calibri" w:hAnsi="Times New Roman"/>
          <w:szCs w:val="22"/>
        </w:rPr>
        <w:t> </w:t>
      </w:r>
      <w:r w:rsidRPr="0085799C">
        <w:rPr>
          <w:rFonts w:ascii="Times New Roman" w:eastAsia="Calibri" w:hAnsi="Times New Roman"/>
          <w:szCs w:val="22"/>
        </w:rPr>
        <w:t>0</w:t>
      </w:r>
      <w:r w:rsidR="00EA68A3" w:rsidRPr="0085799C">
        <w:rPr>
          <w:rFonts w:ascii="Times New Roman" w:eastAsia="Calibri" w:hAnsi="Times New Roman"/>
          <w:szCs w:val="22"/>
        </w:rPr>
        <w:t>10 tis.</w:t>
      </w:r>
      <w:r w:rsidRPr="0085799C">
        <w:rPr>
          <w:rFonts w:ascii="Times New Roman" w:eastAsia="Calibri" w:hAnsi="Times New Roman"/>
          <w:szCs w:val="22"/>
        </w:rPr>
        <w:t xml:space="preserve"> eur), predovšetkým z dôvodu modernizácie komunikačných a informačných systémov, </w:t>
      </w:r>
      <w:r w:rsidRPr="0085799C">
        <w:rPr>
          <w:rFonts w:ascii="Times New Roman" w:eastAsia="Calibri" w:hAnsi="Times New Roman"/>
          <w:u w:val="single"/>
        </w:rPr>
        <w:t>Generálne riaditeľstvo Zboru väzenskej a justičnej stráže</w:t>
      </w:r>
      <w:r w:rsidRPr="0085799C">
        <w:rPr>
          <w:rFonts w:ascii="Times New Roman" w:eastAsia="Calibri" w:hAnsi="Times New Roman"/>
          <w:b/>
          <w:i/>
          <w:szCs w:val="22"/>
        </w:rPr>
        <w:t xml:space="preserve"> </w:t>
      </w:r>
      <w:r w:rsidRPr="0085799C">
        <w:rPr>
          <w:rFonts w:ascii="Times New Roman" w:eastAsia="Calibri" w:hAnsi="Times New Roman"/>
          <w:szCs w:val="22"/>
        </w:rPr>
        <w:t xml:space="preserve">(o 2 750 </w:t>
      </w:r>
      <w:r w:rsidR="00EA68A3" w:rsidRPr="0085799C">
        <w:rPr>
          <w:rFonts w:ascii="Times New Roman" w:eastAsia="Calibri" w:hAnsi="Times New Roman"/>
          <w:szCs w:val="22"/>
        </w:rPr>
        <w:t>tis.</w:t>
      </w:r>
      <w:r w:rsidRPr="0085799C">
        <w:rPr>
          <w:rFonts w:ascii="Times New Roman" w:eastAsia="Calibri" w:hAnsi="Times New Roman"/>
          <w:szCs w:val="22"/>
        </w:rPr>
        <w:t xml:space="preserve"> eur), ktoré v roku 2024 evidovalo na tejto položke najmä nákup licencie pre program </w:t>
      </w:r>
      <w:proofErr w:type="spellStart"/>
      <w:r w:rsidRPr="0085799C">
        <w:rPr>
          <w:rFonts w:ascii="Times New Roman" w:eastAsia="Calibri" w:hAnsi="Times New Roman"/>
          <w:szCs w:val="22"/>
        </w:rPr>
        <w:t>OPRaP</w:t>
      </w:r>
      <w:proofErr w:type="spellEnd"/>
      <w:r w:rsidRPr="0085799C">
        <w:rPr>
          <w:rFonts w:ascii="Times New Roman" w:eastAsia="Calibri" w:hAnsi="Times New Roman"/>
          <w:szCs w:val="22"/>
        </w:rPr>
        <w:t xml:space="preserve"> (Optimalizácia procesov riadenia a prevádzky Zboru väzenskej a justičnej stráže) a </w:t>
      </w:r>
      <w:r w:rsidRPr="0085799C">
        <w:rPr>
          <w:rFonts w:ascii="Times New Roman" w:eastAsia="Calibri" w:hAnsi="Times New Roman"/>
          <w:u w:val="single"/>
        </w:rPr>
        <w:t>Slovenská elektrizačná prenosová sústava, a.s.</w:t>
      </w:r>
      <w:r w:rsidRPr="0085799C">
        <w:rPr>
          <w:rFonts w:ascii="Times New Roman" w:eastAsia="Calibri" w:hAnsi="Times New Roman"/>
          <w:szCs w:val="22"/>
        </w:rPr>
        <w:t xml:space="preserve"> (o 1 793 </w:t>
      </w:r>
      <w:proofErr w:type="spellStart"/>
      <w:r w:rsidR="00DB4533" w:rsidRPr="0085799C">
        <w:rPr>
          <w:rFonts w:ascii="Times New Roman" w:eastAsia="Calibri" w:hAnsi="Times New Roman"/>
          <w:szCs w:val="22"/>
        </w:rPr>
        <w:t>tis.</w:t>
      </w:r>
      <w:r w:rsidRPr="0085799C">
        <w:rPr>
          <w:rFonts w:ascii="Times New Roman" w:eastAsia="Calibri" w:hAnsi="Times New Roman"/>
          <w:szCs w:val="22"/>
        </w:rPr>
        <w:t>eur</w:t>
      </w:r>
      <w:proofErr w:type="spellEnd"/>
      <w:r w:rsidRPr="0085799C">
        <w:rPr>
          <w:rFonts w:ascii="Times New Roman" w:eastAsia="Calibri" w:hAnsi="Times New Roman"/>
          <w:szCs w:val="22"/>
        </w:rPr>
        <w:t xml:space="preserve">), ktorá vykázala obstaranie softvéru a softvérových aktualizácií k jednotlivým informačným systémom: IT softvéru SAP, </w:t>
      </w:r>
      <w:proofErr w:type="spellStart"/>
      <w:r w:rsidRPr="0085799C">
        <w:rPr>
          <w:rFonts w:ascii="Times New Roman" w:eastAsia="Calibri" w:hAnsi="Times New Roman"/>
          <w:szCs w:val="22"/>
        </w:rPr>
        <w:t>Damas</w:t>
      </w:r>
      <w:proofErr w:type="spellEnd"/>
      <w:r w:rsidRPr="0085799C">
        <w:rPr>
          <w:rFonts w:ascii="Times New Roman" w:eastAsia="Calibri" w:hAnsi="Times New Roman"/>
          <w:szCs w:val="22"/>
        </w:rPr>
        <w:t xml:space="preserve"> Energy, softvéru MONARCH RIS SED, ISZO a ISOT, ISOM, ISCF, RRM EDC (informačný systém na zúčtovanie odchýlok, organizovanie denného trhu s elektrinou, obchodné merania, centrálnu fakturáciu a REMIT) a Integračná platforma.</w:t>
      </w:r>
    </w:p>
    <w:p w14:paraId="2A3533F6" w14:textId="190DB643" w:rsidR="00647542" w:rsidRPr="00907622" w:rsidRDefault="00647542" w:rsidP="69262B40">
      <w:pPr>
        <w:spacing w:after="120" w:line="240" w:lineRule="auto"/>
        <w:jc w:val="both"/>
        <w:rPr>
          <w:rFonts w:ascii="Times New Roman" w:hAnsi="Times New Roman"/>
          <w:lang w:eastAsia="sk-SK"/>
        </w:rPr>
      </w:pPr>
    </w:p>
    <w:p w14:paraId="1F5CDBA1" w14:textId="3682277D" w:rsidR="00277728" w:rsidRPr="008F3072" w:rsidRDefault="00277728" w:rsidP="0085799C">
      <w:pPr>
        <w:pStyle w:val="Nadpis4"/>
        <w:numPr>
          <w:ilvl w:val="0"/>
          <w:numId w:val="54"/>
        </w:numPr>
        <w:ind w:left="426" w:hanging="426"/>
        <w:rPr>
          <w:lang w:eastAsia="sk-SK"/>
        </w:rPr>
      </w:pPr>
      <w:bookmarkStart w:id="7" w:name="_Ostatný_nehmotný_majetok"/>
      <w:bookmarkEnd w:id="7"/>
      <w:r>
        <w:rPr>
          <w:lang w:eastAsia="sk-SK"/>
        </w:rPr>
        <w:t>Ostatný nehmotný majetok</w:t>
      </w:r>
    </w:p>
    <w:p w14:paraId="44673472" w14:textId="2A21857F" w:rsidR="00647542" w:rsidRPr="00907622" w:rsidRDefault="00647542" w:rsidP="00647542">
      <w:pPr>
        <w:pStyle w:val="Pismenka"/>
        <w:tabs>
          <w:tab w:val="clear" w:pos="426"/>
        </w:tabs>
        <w:spacing w:after="120"/>
        <w:ind w:left="0" w:firstLine="0"/>
        <w:rPr>
          <w:b w:val="0"/>
          <w:bCs w:val="0"/>
          <w:sz w:val="22"/>
          <w:szCs w:val="22"/>
        </w:rPr>
      </w:pPr>
      <w:r w:rsidRPr="00907622">
        <w:rPr>
          <w:b w:val="0"/>
          <w:bCs w:val="0"/>
          <w:sz w:val="22"/>
          <w:szCs w:val="22"/>
        </w:rPr>
        <w:t xml:space="preserve">V rámci ostatného nehmotného majetku boli vykázané najmä </w:t>
      </w:r>
      <w:r w:rsidRPr="009B3BCC">
        <w:rPr>
          <w:b w:val="0"/>
          <w:sz w:val="22"/>
          <w:szCs w:val="22"/>
        </w:rPr>
        <w:t>aktivované náklady na rôznu dokumentáciu, územné plány miest a obcí, plány hospodárskeho a sociálneho rozvoja miest a obcí, mapy</w:t>
      </w:r>
      <w:r w:rsidRPr="00907622">
        <w:rPr>
          <w:b w:val="0"/>
          <w:bCs w:val="0"/>
          <w:sz w:val="22"/>
          <w:szCs w:val="22"/>
        </w:rPr>
        <w:t xml:space="preserve"> a ostatný drobný nehmotný majetok (</w:t>
      </w:r>
      <w:r w:rsidR="00E82851">
        <w:rPr>
          <w:b w:val="0"/>
          <w:bCs w:val="0"/>
          <w:sz w:val="22"/>
          <w:szCs w:val="22"/>
        </w:rPr>
        <w:t>50</w:t>
      </w:r>
      <w:r w:rsidR="00EA2FD2">
        <w:rPr>
          <w:b w:val="0"/>
          <w:bCs w:val="0"/>
          <w:sz w:val="22"/>
          <w:szCs w:val="22"/>
        </w:rPr>
        <w:t> 057 tis</w:t>
      </w:r>
      <w:r w:rsidRPr="00907622">
        <w:rPr>
          <w:b w:val="0"/>
          <w:bCs w:val="0"/>
          <w:sz w:val="22"/>
          <w:szCs w:val="22"/>
        </w:rPr>
        <w:t>. eur),</w:t>
      </w:r>
      <w:r w:rsidRPr="007253B7">
        <w:rPr>
          <w:b w:val="0"/>
          <w:sz w:val="22"/>
          <w:szCs w:val="22"/>
        </w:rPr>
        <w:t xml:space="preserve"> </w:t>
      </w:r>
      <w:r w:rsidR="00F61949">
        <w:rPr>
          <w:b w:val="0"/>
          <w:sz w:val="22"/>
          <w:szCs w:val="22"/>
        </w:rPr>
        <w:t>z toho:</w:t>
      </w:r>
      <w:r w:rsidRPr="00907622">
        <w:rPr>
          <w:b w:val="0"/>
          <w:bCs w:val="0"/>
          <w:sz w:val="22"/>
          <w:szCs w:val="22"/>
        </w:rPr>
        <w:t xml:space="preserve"> poskytnuté preddavky na obstaranie dlhodobého nehmotného majetku (</w:t>
      </w:r>
      <w:r w:rsidR="00E73BE8">
        <w:rPr>
          <w:b w:val="0"/>
          <w:bCs w:val="0"/>
          <w:sz w:val="22"/>
          <w:szCs w:val="22"/>
        </w:rPr>
        <w:t>18 082</w:t>
      </w:r>
      <w:r w:rsidRPr="00907622">
        <w:rPr>
          <w:b w:val="0"/>
          <w:bCs w:val="0"/>
          <w:sz w:val="22"/>
          <w:szCs w:val="22"/>
        </w:rPr>
        <w:t> tis. eur) a aktivované náklady na vývoj (1 </w:t>
      </w:r>
      <w:r w:rsidR="00EF105B">
        <w:rPr>
          <w:b w:val="0"/>
          <w:bCs w:val="0"/>
          <w:sz w:val="22"/>
          <w:szCs w:val="22"/>
        </w:rPr>
        <w:t>708</w:t>
      </w:r>
      <w:r w:rsidR="00EF105B" w:rsidRPr="00907622">
        <w:rPr>
          <w:b w:val="0"/>
          <w:bCs w:val="0"/>
          <w:sz w:val="22"/>
          <w:szCs w:val="22"/>
        </w:rPr>
        <w:t> </w:t>
      </w:r>
      <w:r w:rsidRPr="00907622">
        <w:rPr>
          <w:b w:val="0"/>
          <w:bCs w:val="0"/>
          <w:sz w:val="22"/>
          <w:szCs w:val="22"/>
        </w:rPr>
        <w:t>tis. eur).</w:t>
      </w:r>
    </w:p>
    <w:p w14:paraId="2750295E" w14:textId="77777777" w:rsidR="00D13A78" w:rsidRPr="00D13A78" w:rsidRDefault="00D13A78" w:rsidP="00D13A78">
      <w:pPr>
        <w:pStyle w:val="Pismenka"/>
        <w:tabs>
          <w:tab w:val="clear" w:pos="426"/>
        </w:tabs>
        <w:spacing w:after="120"/>
        <w:ind w:left="0" w:firstLine="0"/>
        <w:rPr>
          <w:b w:val="0"/>
          <w:bCs w:val="0"/>
          <w:sz w:val="22"/>
          <w:szCs w:val="22"/>
        </w:rPr>
      </w:pPr>
    </w:p>
    <w:p w14:paraId="4653C46B" w14:textId="77777777" w:rsidR="00647542" w:rsidRPr="007253B7" w:rsidRDefault="00647542" w:rsidP="0085799C">
      <w:pPr>
        <w:pStyle w:val="Nadpis3"/>
        <w:rPr>
          <w:sz w:val="24"/>
          <w:szCs w:val="24"/>
          <w:lang w:eastAsia="sk-SK"/>
        </w:rPr>
      </w:pPr>
      <w:r w:rsidRPr="008F3072">
        <w:rPr>
          <w:lang w:eastAsia="sk-SK"/>
        </w:rPr>
        <w:lastRenderedPageBreak/>
        <w:t>A.II. Hmotný majetok</w:t>
      </w:r>
    </w:p>
    <w:p w14:paraId="1277EC3B" w14:textId="6CBF4576" w:rsidR="2A996C06" w:rsidRPr="0085799C" w:rsidRDefault="2A996C06" w:rsidP="0085799C">
      <w:pPr>
        <w:spacing w:after="120" w:line="240" w:lineRule="auto"/>
        <w:jc w:val="both"/>
        <w:rPr>
          <w:rFonts w:ascii="Times New Roman" w:eastAsia="Calibri" w:hAnsi="Times New Roman"/>
          <w:szCs w:val="22"/>
        </w:rPr>
      </w:pPr>
      <w:r w:rsidRPr="0085799C">
        <w:rPr>
          <w:rFonts w:ascii="Times New Roman" w:eastAsia="Calibri" w:hAnsi="Times New Roman"/>
          <w:szCs w:val="22"/>
          <w:u w:val="single"/>
        </w:rPr>
        <w:t>Dlhodobý hmotný majetok</w:t>
      </w:r>
      <w:r w:rsidRPr="0085799C">
        <w:rPr>
          <w:rFonts w:ascii="Times New Roman" w:eastAsia="Calibri" w:hAnsi="Times New Roman"/>
          <w:b/>
          <w:szCs w:val="22"/>
        </w:rPr>
        <w:t xml:space="preserve"> </w:t>
      </w:r>
      <w:r w:rsidR="003B614A" w:rsidRPr="0085799C">
        <w:rPr>
          <w:rFonts w:ascii="Times New Roman" w:eastAsia="Calibri" w:hAnsi="Times New Roman"/>
          <w:szCs w:val="22"/>
        </w:rPr>
        <w:t>súhrnného</w:t>
      </w:r>
      <w:r w:rsidRPr="0085799C">
        <w:rPr>
          <w:rFonts w:ascii="Times New Roman" w:eastAsia="Calibri" w:hAnsi="Times New Roman"/>
          <w:szCs w:val="22"/>
        </w:rPr>
        <w:t xml:space="preserve"> celku dosiahol k 31. decembru 2024 hodnotu </w:t>
      </w:r>
      <w:r w:rsidR="00633CC1" w:rsidRPr="0085799C">
        <w:rPr>
          <w:rFonts w:ascii="Times New Roman" w:eastAsia="Calibri" w:hAnsi="Times New Roman"/>
          <w:szCs w:val="22"/>
        </w:rPr>
        <w:t>60 980 349</w:t>
      </w:r>
      <w:r w:rsidR="004D21E6">
        <w:rPr>
          <w:rFonts w:ascii="Times New Roman" w:eastAsia="Calibri" w:hAnsi="Times New Roman"/>
          <w:szCs w:val="22"/>
        </w:rPr>
        <w:t> </w:t>
      </w:r>
      <w:r w:rsidR="00633CC1" w:rsidRPr="0085799C">
        <w:rPr>
          <w:rFonts w:ascii="Times New Roman" w:eastAsia="Calibri" w:hAnsi="Times New Roman"/>
          <w:szCs w:val="22"/>
        </w:rPr>
        <w:t>tis.</w:t>
      </w:r>
      <w:r w:rsidR="004D21E6">
        <w:rPr>
          <w:rFonts w:ascii="Times New Roman" w:eastAsia="Calibri" w:hAnsi="Times New Roman"/>
          <w:szCs w:val="22"/>
        </w:rPr>
        <w:t> </w:t>
      </w:r>
      <w:r w:rsidRPr="0085799C">
        <w:rPr>
          <w:rFonts w:ascii="Times New Roman" w:eastAsia="Calibri" w:hAnsi="Times New Roman"/>
          <w:szCs w:val="22"/>
        </w:rPr>
        <w:t xml:space="preserve">eur (2023: </w:t>
      </w:r>
      <w:r w:rsidR="00633CC1" w:rsidRPr="0085799C">
        <w:rPr>
          <w:rFonts w:ascii="Times New Roman" w:eastAsia="Calibri" w:hAnsi="Times New Roman"/>
          <w:szCs w:val="22"/>
        </w:rPr>
        <w:t>58</w:t>
      </w:r>
      <w:r w:rsidR="007E48AC" w:rsidRPr="0085799C">
        <w:rPr>
          <w:rFonts w:ascii="Times New Roman" w:eastAsia="Calibri" w:hAnsi="Times New Roman"/>
          <w:szCs w:val="22"/>
        </w:rPr>
        <w:t> </w:t>
      </w:r>
      <w:r w:rsidR="00633CC1" w:rsidRPr="0085799C">
        <w:rPr>
          <w:rFonts w:ascii="Times New Roman" w:eastAsia="Calibri" w:hAnsi="Times New Roman"/>
          <w:szCs w:val="22"/>
        </w:rPr>
        <w:t>586</w:t>
      </w:r>
      <w:r w:rsidR="007E48AC" w:rsidRPr="0085799C">
        <w:rPr>
          <w:rFonts w:ascii="Times New Roman" w:eastAsia="Calibri" w:hAnsi="Times New Roman"/>
          <w:szCs w:val="22"/>
        </w:rPr>
        <w:t xml:space="preserve"> 446 tis. </w:t>
      </w:r>
      <w:r w:rsidRPr="0085799C">
        <w:rPr>
          <w:rFonts w:ascii="Times New Roman" w:eastAsia="Calibri" w:hAnsi="Times New Roman"/>
          <w:szCs w:val="22"/>
        </w:rPr>
        <w:t xml:space="preserve">eur), z čoho najväčší podiel mali stavby </w:t>
      </w:r>
      <w:r w:rsidR="007E48AC" w:rsidRPr="0085799C">
        <w:rPr>
          <w:rFonts w:ascii="Times New Roman" w:eastAsia="Calibri" w:hAnsi="Times New Roman"/>
          <w:szCs w:val="22"/>
        </w:rPr>
        <w:t>33 949 584 tis.</w:t>
      </w:r>
      <w:r w:rsidRPr="0085799C">
        <w:rPr>
          <w:rFonts w:ascii="Times New Roman" w:eastAsia="Calibri" w:hAnsi="Times New Roman"/>
          <w:szCs w:val="22"/>
        </w:rPr>
        <w:t xml:space="preserve"> eur, pozemky </w:t>
      </w:r>
      <w:r w:rsidR="007E48AC" w:rsidRPr="0085799C">
        <w:rPr>
          <w:rFonts w:ascii="Times New Roman" w:eastAsia="Calibri" w:hAnsi="Times New Roman"/>
          <w:szCs w:val="22"/>
        </w:rPr>
        <w:t>10</w:t>
      </w:r>
      <w:r w:rsidR="009301F7" w:rsidRPr="0085799C">
        <w:rPr>
          <w:rFonts w:ascii="Times New Roman" w:eastAsia="Calibri" w:hAnsi="Times New Roman"/>
          <w:szCs w:val="22"/>
        </w:rPr>
        <w:t> </w:t>
      </w:r>
      <w:r w:rsidR="007E48AC" w:rsidRPr="0085799C">
        <w:rPr>
          <w:rFonts w:ascii="Times New Roman" w:eastAsia="Calibri" w:hAnsi="Times New Roman"/>
          <w:szCs w:val="22"/>
        </w:rPr>
        <w:t>375</w:t>
      </w:r>
      <w:r w:rsidR="009301F7" w:rsidRPr="0085799C">
        <w:rPr>
          <w:rFonts w:ascii="Times New Roman" w:eastAsia="Calibri" w:hAnsi="Times New Roman"/>
          <w:szCs w:val="22"/>
        </w:rPr>
        <w:t> 122</w:t>
      </w:r>
      <w:r w:rsidR="004D21E6">
        <w:rPr>
          <w:rFonts w:ascii="Times New Roman" w:eastAsia="Calibri" w:hAnsi="Times New Roman"/>
          <w:szCs w:val="22"/>
        </w:rPr>
        <w:t> </w:t>
      </w:r>
      <w:r w:rsidR="009301F7" w:rsidRPr="0085799C">
        <w:rPr>
          <w:rFonts w:ascii="Times New Roman" w:eastAsia="Calibri" w:hAnsi="Times New Roman"/>
          <w:szCs w:val="22"/>
        </w:rPr>
        <w:t>tis.</w:t>
      </w:r>
      <w:r w:rsidR="004D21E6">
        <w:rPr>
          <w:rFonts w:ascii="Times New Roman" w:eastAsia="Calibri" w:hAnsi="Times New Roman"/>
          <w:szCs w:val="22"/>
        </w:rPr>
        <w:t> </w:t>
      </w:r>
      <w:r w:rsidRPr="0085799C">
        <w:rPr>
          <w:rFonts w:ascii="Times New Roman" w:eastAsia="Calibri" w:hAnsi="Times New Roman"/>
          <w:szCs w:val="22"/>
        </w:rPr>
        <w:t xml:space="preserve">eur, obstaranie dlhodobého hmotného majetku </w:t>
      </w:r>
      <w:r w:rsidR="009301F7" w:rsidRPr="0085799C">
        <w:rPr>
          <w:rFonts w:ascii="Times New Roman" w:eastAsia="Calibri" w:hAnsi="Times New Roman"/>
          <w:szCs w:val="22"/>
        </w:rPr>
        <w:t>6 792 729 tis.</w:t>
      </w:r>
      <w:r w:rsidRPr="0085799C">
        <w:rPr>
          <w:rFonts w:ascii="Times New Roman" w:eastAsia="Calibri" w:hAnsi="Times New Roman"/>
          <w:szCs w:val="22"/>
        </w:rPr>
        <w:t xml:space="preserve"> eur, </w:t>
      </w:r>
      <w:r w:rsidR="00681834" w:rsidRPr="0085799C">
        <w:rPr>
          <w:rFonts w:ascii="Times New Roman" w:eastAsia="Calibri" w:hAnsi="Times New Roman"/>
          <w:szCs w:val="22"/>
        </w:rPr>
        <w:t xml:space="preserve">samostatné hnuteľné veci a súbory hnuteľných vecí 3 814 256 tis. eur, </w:t>
      </w:r>
      <w:r w:rsidRPr="0085799C">
        <w:rPr>
          <w:rFonts w:ascii="Times New Roman" w:eastAsia="Calibri" w:hAnsi="Times New Roman"/>
          <w:szCs w:val="22"/>
        </w:rPr>
        <w:t>poskytnuté preddavky na dlhodobý hmotný majetok 2</w:t>
      </w:r>
      <w:r w:rsidR="009301F7" w:rsidRPr="0085799C">
        <w:rPr>
          <w:rFonts w:ascii="Times New Roman" w:eastAsia="Calibri" w:hAnsi="Times New Roman"/>
          <w:szCs w:val="22"/>
        </w:rPr>
        <w:t> 877</w:t>
      </w:r>
      <w:r w:rsidR="00681834" w:rsidRPr="0085799C">
        <w:rPr>
          <w:rFonts w:ascii="Times New Roman" w:eastAsia="Calibri" w:hAnsi="Times New Roman"/>
          <w:szCs w:val="22"/>
        </w:rPr>
        <w:t> </w:t>
      </w:r>
      <w:r w:rsidR="009301F7" w:rsidRPr="0085799C">
        <w:rPr>
          <w:rFonts w:ascii="Times New Roman" w:eastAsia="Calibri" w:hAnsi="Times New Roman"/>
          <w:szCs w:val="22"/>
        </w:rPr>
        <w:t>680</w:t>
      </w:r>
      <w:r w:rsidR="00681834" w:rsidRPr="0085799C">
        <w:rPr>
          <w:rFonts w:ascii="Times New Roman" w:eastAsia="Calibri" w:hAnsi="Times New Roman"/>
          <w:szCs w:val="22"/>
        </w:rPr>
        <w:t xml:space="preserve"> tis.</w:t>
      </w:r>
      <w:r w:rsidRPr="0085799C">
        <w:rPr>
          <w:rFonts w:ascii="Times New Roman" w:eastAsia="Calibri" w:hAnsi="Times New Roman"/>
          <w:szCs w:val="22"/>
        </w:rPr>
        <w:t xml:space="preserve"> eur, dopravné prostriedky </w:t>
      </w:r>
      <w:r w:rsidR="00681834" w:rsidRPr="0085799C">
        <w:rPr>
          <w:rFonts w:ascii="Times New Roman" w:eastAsia="Calibri" w:hAnsi="Times New Roman"/>
          <w:szCs w:val="22"/>
        </w:rPr>
        <w:t>2 381 538 tis.</w:t>
      </w:r>
      <w:r w:rsidRPr="0085799C">
        <w:rPr>
          <w:rFonts w:ascii="Times New Roman" w:eastAsia="Calibri" w:hAnsi="Times New Roman"/>
          <w:szCs w:val="22"/>
        </w:rPr>
        <w:t xml:space="preserve"> eur a ostatný dlhodobý hmotný majetok </w:t>
      </w:r>
      <w:r w:rsidR="00681834" w:rsidRPr="0085799C">
        <w:rPr>
          <w:rFonts w:ascii="Times New Roman" w:eastAsia="Calibri" w:hAnsi="Times New Roman"/>
          <w:szCs w:val="22"/>
        </w:rPr>
        <w:t>789 440</w:t>
      </w:r>
      <w:r w:rsidR="004D21E6">
        <w:rPr>
          <w:rFonts w:ascii="Times New Roman" w:eastAsia="Calibri" w:hAnsi="Times New Roman"/>
          <w:szCs w:val="22"/>
        </w:rPr>
        <w:t> </w:t>
      </w:r>
      <w:r w:rsidR="00681834" w:rsidRPr="0085799C">
        <w:rPr>
          <w:rFonts w:ascii="Times New Roman" w:eastAsia="Calibri" w:hAnsi="Times New Roman"/>
          <w:szCs w:val="22"/>
        </w:rPr>
        <w:t>tis.</w:t>
      </w:r>
      <w:r w:rsidR="004D21E6">
        <w:rPr>
          <w:rFonts w:ascii="Times New Roman" w:eastAsia="Calibri" w:hAnsi="Times New Roman"/>
          <w:szCs w:val="22"/>
        </w:rPr>
        <w:t> </w:t>
      </w:r>
      <w:r w:rsidRPr="0085799C">
        <w:rPr>
          <w:rFonts w:ascii="Times New Roman" w:eastAsia="Calibri" w:hAnsi="Times New Roman"/>
          <w:szCs w:val="22"/>
        </w:rPr>
        <w:t>eur.</w:t>
      </w:r>
    </w:p>
    <w:p w14:paraId="08A0CD5B" w14:textId="299C3F7E" w:rsidR="2A996C06" w:rsidRPr="0085799C" w:rsidRDefault="2A996C06" w:rsidP="0085799C">
      <w:pPr>
        <w:spacing w:after="120" w:line="240" w:lineRule="auto"/>
        <w:jc w:val="both"/>
        <w:rPr>
          <w:rFonts w:ascii="Times New Roman" w:eastAsia="Calibri" w:hAnsi="Times New Roman"/>
          <w:szCs w:val="22"/>
        </w:rPr>
      </w:pPr>
      <w:r w:rsidRPr="0085799C">
        <w:rPr>
          <w:rFonts w:ascii="Times New Roman" w:eastAsia="Calibri" w:hAnsi="Times New Roman"/>
          <w:szCs w:val="22"/>
        </w:rPr>
        <w:t>V medziročnom porovnaní sa hodnota dlhodobého hmotného majetku zvýšila úhrnom o</w:t>
      </w:r>
      <w:r w:rsidR="00681834" w:rsidRPr="0085799C">
        <w:rPr>
          <w:rFonts w:ascii="Times New Roman" w:eastAsia="Calibri" w:hAnsi="Times New Roman"/>
          <w:szCs w:val="22"/>
        </w:rPr>
        <w:t> 2 393 903</w:t>
      </w:r>
      <w:r w:rsidR="004D21E6">
        <w:rPr>
          <w:rFonts w:ascii="Times New Roman" w:eastAsia="Calibri" w:hAnsi="Times New Roman"/>
          <w:szCs w:val="22"/>
        </w:rPr>
        <w:t> </w:t>
      </w:r>
      <w:r w:rsidR="00681834" w:rsidRPr="0085799C">
        <w:rPr>
          <w:rFonts w:ascii="Times New Roman" w:eastAsia="Calibri" w:hAnsi="Times New Roman"/>
          <w:szCs w:val="22"/>
        </w:rPr>
        <w:t>tis.</w:t>
      </w:r>
      <w:r w:rsidR="004D21E6">
        <w:rPr>
          <w:rFonts w:ascii="Times New Roman" w:eastAsia="Calibri" w:hAnsi="Times New Roman"/>
          <w:szCs w:val="22"/>
        </w:rPr>
        <w:t> </w:t>
      </w:r>
      <w:r w:rsidRPr="0085799C">
        <w:rPr>
          <w:rFonts w:ascii="Times New Roman" w:eastAsia="Calibri" w:hAnsi="Times New Roman"/>
          <w:szCs w:val="22"/>
        </w:rPr>
        <w:t xml:space="preserve">eur, pričom prírastok hodnoty zaznamenali takmer všetky položky tohto majetku. Najviac vzrástla hodnota </w:t>
      </w:r>
      <w:r w:rsidR="00455C11" w:rsidRPr="0085799C">
        <w:rPr>
          <w:rFonts w:ascii="Times New Roman" w:eastAsia="Calibri" w:hAnsi="Times New Roman"/>
          <w:szCs w:val="22"/>
        </w:rPr>
        <w:t>stavieb o</w:t>
      </w:r>
      <w:r w:rsidR="005E4964" w:rsidRPr="0085799C">
        <w:rPr>
          <w:rFonts w:ascii="Times New Roman" w:eastAsia="Calibri" w:hAnsi="Times New Roman"/>
          <w:szCs w:val="22"/>
        </w:rPr>
        <w:t xml:space="preserve"> 1 083 452 tis. eur, </w:t>
      </w:r>
      <w:r w:rsidRPr="0085799C">
        <w:rPr>
          <w:rFonts w:ascii="Times New Roman" w:eastAsia="Calibri" w:hAnsi="Times New Roman"/>
          <w:szCs w:val="22"/>
        </w:rPr>
        <w:t>na položke obstaranie dlhodobého hmotného majetku o</w:t>
      </w:r>
      <w:r w:rsidR="005E4964" w:rsidRPr="0085799C">
        <w:rPr>
          <w:rFonts w:ascii="Times New Roman" w:eastAsia="Calibri" w:hAnsi="Times New Roman"/>
          <w:szCs w:val="22"/>
        </w:rPr>
        <w:t> 432</w:t>
      </w:r>
      <w:r w:rsidR="00A26895" w:rsidRPr="0085799C">
        <w:rPr>
          <w:rFonts w:ascii="Times New Roman" w:eastAsia="Calibri" w:hAnsi="Times New Roman"/>
          <w:szCs w:val="22"/>
        </w:rPr>
        <w:t> </w:t>
      </w:r>
      <w:r w:rsidR="005E4964" w:rsidRPr="0085799C">
        <w:rPr>
          <w:rFonts w:ascii="Times New Roman" w:eastAsia="Calibri" w:hAnsi="Times New Roman"/>
          <w:szCs w:val="22"/>
        </w:rPr>
        <w:t>894</w:t>
      </w:r>
      <w:r w:rsidR="00A26895" w:rsidRPr="0085799C">
        <w:rPr>
          <w:rFonts w:ascii="Times New Roman" w:eastAsia="Calibri" w:hAnsi="Times New Roman"/>
          <w:szCs w:val="22"/>
        </w:rPr>
        <w:t xml:space="preserve"> tis.</w:t>
      </w:r>
      <w:r w:rsidRPr="0085799C">
        <w:rPr>
          <w:rFonts w:ascii="Times New Roman" w:eastAsia="Calibri" w:hAnsi="Times New Roman"/>
          <w:szCs w:val="22"/>
        </w:rPr>
        <w:t xml:space="preserve"> eur, samostatné hnuteľné veci a súbory hnuteľných vecí o</w:t>
      </w:r>
      <w:r w:rsidR="00A26895" w:rsidRPr="0085799C">
        <w:rPr>
          <w:rFonts w:ascii="Times New Roman" w:eastAsia="Calibri" w:hAnsi="Times New Roman"/>
          <w:szCs w:val="22"/>
        </w:rPr>
        <w:t> 429 643</w:t>
      </w:r>
      <w:r w:rsidR="004D21E6">
        <w:rPr>
          <w:rFonts w:ascii="Times New Roman" w:eastAsia="Calibri" w:hAnsi="Times New Roman"/>
          <w:szCs w:val="22"/>
        </w:rPr>
        <w:t> </w:t>
      </w:r>
      <w:r w:rsidR="00A26895" w:rsidRPr="0085799C">
        <w:rPr>
          <w:rFonts w:ascii="Times New Roman" w:eastAsia="Calibri" w:hAnsi="Times New Roman"/>
          <w:szCs w:val="22"/>
        </w:rPr>
        <w:t>tis.</w:t>
      </w:r>
      <w:r w:rsidR="004D21E6">
        <w:rPr>
          <w:rFonts w:ascii="Times New Roman" w:eastAsia="Calibri" w:hAnsi="Times New Roman"/>
          <w:szCs w:val="22"/>
        </w:rPr>
        <w:t> </w:t>
      </w:r>
      <w:r w:rsidRPr="0085799C">
        <w:rPr>
          <w:rFonts w:ascii="Times New Roman" w:eastAsia="Calibri" w:hAnsi="Times New Roman"/>
          <w:szCs w:val="22"/>
        </w:rPr>
        <w:t>eur, dlhodobých preddavkov na majetok o</w:t>
      </w:r>
      <w:r w:rsidR="00A26895" w:rsidRPr="0085799C">
        <w:rPr>
          <w:rFonts w:ascii="Times New Roman" w:eastAsia="Calibri" w:hAnsi="Times New Roman"/>
          <w:szCs w:val="22"/>
        </w:rPr>
        <w:t> 266 542 tis.</w:t>
      </w:r>
      <w:r w:rsidRPr="0085799C">
        <w:rPr>
          <w:rFonts w:ascii="Times New Roman" w:eastAsia="Calibri" w:hAnsi="Times New Roman"/>
          <w:szCs w:val="22"/>
        </w:rPr>
        <w:t xml:space="preserve"> eur,  </w:t>
      </w:r>
      <w:r w:rsidR="00171242" w:rsidRPr="0085799C">
        <w:rPr>
          <w:rFonts w:ascii="Times New Roman" w:eastAsia="Calibri" w:hAnsi="Times New Roman"/>
          <w:szCs w:val="22"/>
        </w:rPr>
        <w:t xml:space="preserve">hodnota </w:t>
      </w:r>
      <w:r w:rsidRPr="0085799C">
        <w:rPr>
          <w:rFonts w:ascii="Times New Roman" w:eastAsia="Calibri" w:hAnsi="Times New Roman"/>
          <w:szCs w:val="22"/>
        </w:rPr>
        <w:t>dopravných prostriedkoch o</w:t>
      </w:r>
      <w:r w:rsidR="00171242" w:rsidRPr="0085799C">
        <w:rPr>
          <w:rFonts w:ascii="Times New Roman" w:eastAsia="Calibri" w:hAnsi="Times New Roman"/>
          <w:szCs w:val="22"/>
        </w:rPr>
        <w:t> </w:t>
      </w:r>
      <w:r w:rsidRPr="0085799C">
        <w:rPr>
          <w:rFonts w:ascii="Times New Roman" w:eastAsia="Calibri" w:hAnsi="Times New Roman"/>
          <w:szCs w:val="22"/>
        </w:rPr>
        <w:t>11</w:t>
      </w:r>
      <w:r w:rsidR="00171242" w:rsidRPr="0085799C">
        <w:rPr>
          <w:rFonts w:ascii="Times New Roman" w:eastAsia="Calibri" w:hAnsi="Times New Roman"/>
          <w:szCs w:val="22"/>
        </w:rPr>
        <w:t>7 923</w:t>
      </w:r>
      <w:r w:rsidR="004D21E6">
        <w:rPr>
          <w:rFonts w:ascii="Times New Roman" w:eastAsia="Calibri" w:hAnsi="Times New Roman"/>
          <w:szCs w:val="22"/>
        </w:rPr>
        <w:t> </w:t>
      </w:r>
      <w:r w:rsidR="00171242" w:rsidRPr="0085799C">
        <w:rPr>
          <w:rFonts w:ascii="Times New Roman" w:eastAsia="Calibri" w:hAnsi="Times New Roman"/>
          <w:szCs w:val="22"/>
        </w:rPr>
        <w:t>tis.</w:t>
      </w:r>
      <w:r w:rsidR="004D21E6">
        <w:rPr>
          <w:rFonts w:ascii="Times New Roman" w:eastAsia="Calibri" w:hAnsi="Times New Roman"/>
          <w:szCs w:val="22"/>
        </w:rPr>
        <w:t> </w:t>
      </w:r>
      <w:r w:rsidRPr="0085799C">
        <w:rPr>
          <w:rFonts w:ascii="Times New Roman" w:eastAsia="Calibri" w:hAnsi="Times New Roman"/>
          <w:szCs w:val="22"/>
        </w:rPr>
        <w:t>eur a hodnota pozemkov úhrnom o</w:t>
      </w:r>
      <w:r w:rsidR="00305FC9" w:rsidRPr="0085799C">
        <w:rPr>
          <w:rFonts w:ascii="Times New Roman" w:eastAsia="Calibri" w:hAnsi="Times New Roman"/>
          <w:szCs w:val="22"/>
        </w:rPr>
        <w:t> 39</w:t>
      </w:r>
      <w:r w:rsidR="004D21E6">
        <w:rPr>
          <w:rFonts w:ascii="Times New Roman" w:eastAsia="Calibri" w:hAnsi="Times New Roman"/>
          <w:szCs w:val="22"/>
        </w:rPr>
        <w:t> </w:t>
      </w:r>
      <w:r w:rsidR="00305FC9" w:rsidRPr="0085799C">
        <w:rPr>
          <w:rFonts w:ascii="Times New Roman" w:eastAsia="Calibri" w:hAnsi="Times New Roman"/>
          <w:szCs w:val="22"/>
        </w:rPr>
        <w:t>471</w:t>
      </w:r>
      <w:r w:rsidR="004D21E6">
        <w:rPr>
          <w:rFonts w:ascii="Times New Roman" w:eastAsia="Calibri" w:hAnsi="Times New Roman"/>
          <w:szCs w:val="22"/>
        </w:rPr>
        <w:t> </w:t>
      </w:r>
      <w:r w:rsidR="00305FC9" w:rsidRPr="0085799C">
        <w:rPr>
          <w:rFonts w:ascii="Times New Roman" w:eastAsia="Calibri" w:hAnsi="Times New Roman"/>
          <w:szCs w:val="22"/>
        </w:rPr>
        <w:t>tis.</w:t>
      </w:r>
      <w:r w:rsidR="004D21E6">
        <w:rPr>
          <w:rFonts w:ascii="Times New Roman" w:eastAsia="Calibri" w:hAnsi="Times New Roman"/>
          <w:szCs w:val="22"/>
        </w:rPr>
        <w:t> </w:t>
      </w:r>
      <w:r w:rsidRPr="0085799C">
        <w:rPr>
          <w:rFonts w:ascii="Times New Roman" w:eastAsia="Calibri" w:hAnsi="Times New Roman"/>
          <w:szCs w:val="22"/>
        </w:rPr>
        <w:t>eur.</w:t>
      </w:r>
    </w:p>
    <w:p w14:paraId="16A30FE5" w14:textId="6D07945A" w:rsidR="00647542" w:rsidRPr="00907622" w:rsidRDefault="00647542" w:rsidP="69262B40">
      <w:pPr>
        <w:spacing w:after="120" w:line="240" w:lineRule="auto"/>
        <w:jc w:val="both"/>
        <w:rPr>
          <w:rFonts w:ascii="Times New Roman" w:hAnsi="Times New Roman"/>
          <w:highlight w:val="green"/>
          <w:lang w:eastAsia="sk-SK"/>
        </w:rPr>
      </w:pPr>
      <w:r w:rsidRPr="00907622">
        <w:rPr>
          <w:rFonts w:ascii="Times New Roman" w:hAnsi="Times New Roman"/>
          <w:lang w:eastAsia="sk-SK"/>
        </w:rPr>
        <w:t>Najväčší prírastok hmotného majetku zaznamenala ústredná správa spolu so svojimi štátnymi podnikmi a obchodnými spoločnosťami, a to o </w:t>
      </w:r>
      <w:r w:rsidR="003A23F7">
        <w:rPr>
          <w:rFonts w:ascii="Times New Roman" w:hAnsi="Times New Roman"/>
          <w:lang w:eastAsia="sk-SK"/>
        </w:rPr>
        <w:t>1 85</w:t>
      </w:r>
      <w:r w:rsidR="00181873">
        <w:rPr>
          <w:rFonts w:ascii="Times New Roman" w:hAnsi="Times New Roman"/>
          <w:lang w:eastAsia="sk-SK"/>
        </w:rPr>
        <w:t>2 922</w:t>
      </w:r>
      <w:r w:rsidRPr="00907622">
        <w:rPr>
          <w:rFonts w:ascii="Times New Roman" w:hAnsi="Times New Roman"/>
          <w:lang w:eastAsia="sk-SK"/>
        </w:rPr>
        <w:t> tis. eur, z toho účtovná netto hodnota stavieb vzrástla medziročne o </w:t>
      </w:r>
      <w:r w:rsidR="0095311E" w:rsidRPr="0085799C">
        <w:rPr>
          <w:rFonts w:ascii="Times New Roman" w:eastAsia="Calibri" w:hAnsi="Times New Roman"/>
        </w:rPr>
        <w:t>295 272</w:t>
      </w:r>
      <w:r w:rsidRPr="00907622">
        <w:rPr>
          <w:rFonts w:ascii="Times New Roman" w:hAnsi="Times New Roman"/>
          <w:lang w:eastAsia="sk-SK"/>
        </w:rPr>
        <w:t> tis. eur, hodnota pozemkov o </w:t>
      </w:r>
      <w:r w:rsidR="00A66E45" w:rsidRPr="0085799C">
        <w:rPr>
          <w:rFonts w:ascii="Times New Roman" w:eastAsia="Calibri" w:hAnsi="Times New Roman"/>
        </w:rPr>
        <w:t>58 717</w:t>
      </w:r>
      <w:r w:rsidRPr="00907622">
        <w:rPr>
          <w:rFonts w:ascii="Times New Roman" w:hAnsi="Times New Roman"/>
          <w:lang w:eastAsia="sk-SK"/>
        </w:rPr>
        <w:t> tis. eur, hodnota samostatných hnuteľných vecí o </w:t>
      </w:r>
      <w:r w:rsidR="00C4130B" w:rsidRPr="0085799C">
        <w:rPr>
          <w:rFonts w:ascii="Times New Roman" w:eastAsia="Calibri" w:hAnsi="Times New Roman"/>
        </w:rPr>
        <w:t>383 67</w:t>
      </w:r>
      <w:r w:rsidR="00426C14" w:rsidRPr="0085799C">
        <w:rPr>
          <w:rFonts w:ascii="Times New Roman" w:eastAsia="Calibri" w:hAnsi="Times New Roman"/>
        </w:rPr>
        <w:t>9</w:t>
      </w:r>
      <w:r w:rsidR="00C4130B" w:rsidRPr="0085799C">
        <w:rPr>
          <w:rFonts w:ascii="Times New Roman" w:eastAsia="Calibri" w:hAnsi="Times New Roman"/>
        </w:rPr>
        <w:t xml:space="preserve"> </w:t>
      </w:r>
      <w:r w:rsidRPr="00907622">
        <w:rPr>
          <w:rFonts w:ascii="Times New Roman" w:hAnsi="Times New Roman"/>
          <w:lang w:eastAsia="sk-SK"/>
        </w:rPr>
        <w:t xml:space="preserve">tis. eur, </w:t>
      </w:r>
      <w:r w:rsidR="00DE47C9" w:rsidRPr="0085799C">
        <w:rPr>
          <w:rFonts w:ascii="Times New Roman" w:eastAsia="Calibri" w:hAnsi="Times New Roman"/>
        </w:rPr>
        <w:t xml:space="preserve">dopravných prostriedkoch o 116 180 tis. eur, </w:t>
      </w:r>
      <w:r w:rsidRPr="00907622">
        <w:rPr>
          <w:rFonts w:ascii="Times New Roman" w:hAnsi="Times New Roman"/>
          <w:lang w:eastAsia="sk-SK"/>
        </w:rPr>
        <w:t>poskytnutých preddavkov na majetok o </w:t>
      </w:r>
      <w:r w:rsidR="00970A92" w:rsidRPr="0085799C">
        <w:rPr>
          <w:rFonts w:ascii="Times New Roman" w:eastAsia="Calibri" w:hAnsi="Times New Roman"/>
        </w:rPr>
        <w:t>340</w:t>
      </w:r>
      <w:r w:rsidR="00C950E8" w:rsidRPr="0085799C">
        <w:rPr>
          <w:rFonts w:ascii="Times New Roman" w:eastAsia="Calibri" w:hAnsi="Times New Roman"/>
        </w:rPr>
        <w:t> </w:t>
      </w:r>
      <w:r w:rsidR="00970A92" w:rsidRPr="0085799C">
        <w:rPr>
          <w:rFonts w:ascii="Times New Roman" w:eastAsia="Calibri" w:hAnsi="Times New Roman"/>
        </w:rPr>
        <w:t>59</w:t>
      </w:r>
      <w:r w:rsidR="00C950E8" w:rsidRPr="0085799C">
        <w:rPr>
          <w:rFonts w:ascii="Times New Roman" w:eastAsia="Calibri" w:hAnsi="Times New Roman"/>
        </w:rPr>
        <w:t xml:space="preserve">4 </w:t>
      </w:r>
      <w:r w:rsidRPr="00907622">
        <w:rPr>
          <w:rFonts w:ascii="Times New Roman" w:hAnsi="Times New Roman"/>
          <w:lang w:eastAsia="sk-SK"/>
        </w:rPr>
        <w:t>tis. eur a majetku v procese obstarávania až o</w:t>
      </w:r>
      <w:r w:rsidR="004D21E6">
        <w:rPr>
          <w:rFonts w:ascii="Times New Roman" w:hAnsi="Times New Roman"/>
          <w:lang w:eastAsia="sk-SK"/>
        </w:rPr>
        <w:t> </w:t>
      </w:r>
      <w:r w:rsidR="002343BA">
        <w:rPr>
          <w:rFonts w:ascii="Times New Roman" w:hAnsi="Times New Roman"/>
          <w:lang w:eastAsia="sk-SK"/>
        </w:rPr>
        <w:t>651</w:t>
      </w:r>
      <w:r w:rsidR="004D21E6">
        <w:rPr>
          <w:rFonts w:ascii="Times New Roman" w:hAnsi="Times New Roman"/>
          <w:lang w:eastAsia="sk-SK"/>
        </w:rPr>
        <w:t> </w:t>
      </w:r>
      <w:r w:rsidR="00C15BDA">
        <w:rPr>
          <w:rFonts w:ascii="Times New Roman" w:hAnsi="Times New Roman"/>
          <w:lang w:eastAsia="sk-SK"/>
        </w:rPr>
        <w:t>754</w:t>
      </w:r>
      <w:r w:rsidRPr="00907622">
        <w:rPr>
          <w:rFonts w:ascii="Times New Roman" w:hAnsi="Times New Roman"/>
          <w:lang w:eastAsia="sk-SK"/>
        </w:rPr>
        <w:t> tis. eur.</w:t>
      </w:r>
      <w:r w:rsidRPr="00907622">
        <w:rPr>
          <w:rFonts w:ascii="Times New Roman" w:hAnsi="Times New Roman"/>
          <w:highlight w:val="green"/>
          <w:lang w:eastAsia="sk-SK"/>
        </w:rPr>
        <w:t xml:space="preserve"> </w:t>
      </w:r>
    </w:p>
    <w:p w14:paraId="08A58190" w14:textId="0EA0F187" w:rsidR="00647542" w:rsidRDefault="009B3BCC" w:rsidP="69262B40">
      <w:pPr>
        <w:spacing w:after="120" w:line="240" w:lineRule="auto"/>
        <w:jc w:val="both"/>
        <w:rPr>
          <w:rFonts w:ascii="Times New Roman" w:hAnsi="Times New Roman"/>
          <w:szCs w:val="22"/>
          <w:lang w:eastAsia="sk-SK"/>
        </w:rPr>
      </w:pPr>
      <w:r>
        <w:rPr>
          <w:rFonts w:ascii="Times New Roman" w:hAnsi="Times New Roman"/>
          <w:lang w:eastAsia="sk-SK"/>
        </w:rPr>
        <w:t>Územná s</w:t>
      </w:r>
      <w:r w:rsidR="00647542" w:rsidRPr="00907622">
        <w:rPr>
          <w:rFonts w:ascii="Times New Roman" w:hAnsi="Times New Roman"/>
          <w:lang w:eastAsia="sk-SK"/>
        </w:rPr>
        <w:t>amospráva zaznamen</w:t>
      </w:r>
      <w:r w:rsidR="00647542" w:rsidRPr="000B1C71">
        <w:rPr>
          <w:rFonts w:ascii="Times New Roman" w:hAnsi="Times New Roman"/>
          <w:lang w:eastAsia="sk-SK"/>
        </w:rPr>
        <w:t xml:space="preserve">ala prírastok spolu </w:t>
      </w:r>
      <w:r w:rsidR="000B1C71" w:rsidRPr="000B1C71">
        <w:rPr>
          <w:rFonts w:ascii="Times New Roman" w:hAnsi="Times New Roman"/>
          <w:lang w:eastAsia="sk-SK"/>
        </w:rPr>
        <w:t>500 281</w:t>
      </w:r>
      <w:r w:rsidR="00647542" w:rsidRPr="000B1C71">
        <w:rPr>
          <w:rFonts w:ascii="Times New Roman" w:hAnsi="Times New Roman"/>
          <w:lang w:eastAsia="sk-SK"/>
        </w:rPr>
        <w:t xml:space="preserve"> tis. eur, z toho obce a ich organizácie </w:t>
      </w:r>
      <w:r w:rsidR="000B1C71" w:rsidRPr="000B1C71">
        <w:rPr>
          <w:rFonts w:ascii="Times New Roman" w:hAnsi="Times New Roman"/>
          <w:lang w:eastAsia="sk-SK"/>
        </w:rPr>
        <w:t>345</w:t>
      </w:r>
      <w:r w:rsidR="004D21E6">
        <w:rPr>
          <w:rFonts w:ascii="Times New Roman" w:hAnsi="Times New Roman"/>
          <w:lang w:eastAsia="sk-SK"/>
        </w:rPr>
        <w:t> </w:t>
      </w:r>
      <w:r w:rsidR="000B1C71" w:rsidRPr="000B1C71">
        <w:rPr>
          <w:rFonts w:ascii="Times New Roman" w:hAnsi="Times New Roman"/>
          <w:lang w:eastAsia="sk-SK"/>
        </w:rPr>
        <w:t>710</w:t>
      </w:r>
      <w:r w:rsidR="00647542" w:rsidRPr="000B1C71">
        <w:rPr>
          <w:rFonts w:ascii="Times New Roman" w:hAnsi="Times New Roman"/>
          <w:lang w:eastAsia="sk-SK"/>
        </w:rPr>
        <w:t xml:space="preserve"> tis. eur a VÚC </w:t>
      </w:r>
      <w:r w:rsidR="000B1C71" w:rsidRPr="0085799C">
        <w:rPr>
          <w:rFonts w:ascii="Times New Roman" w:hAnsi="Times New Roman"/>
          <w:lang w:eastAsia="sk-SK"/>
        </w:rPr>
        <w:t>154</w:t>
      </w:r>
      <w:r w:rsidR="004D21E6">
        <w:rPr>
          <w:rFonts w:ascii="Times New Roman" w:hAnsi="Times New Roman"/>
          <w:lang w:eastAsia="sk-SK"/>
        </w:rPr>
        <w:t> </w:t>
      </w:r>
      <w:r w:rsidR="000B1C71" w:rsidRPr="0085799C">
        <w:rPr>
          <w:rFonts w:ascii="Times New Roman" w:hAnsi="Times New Roman"/>
          <w:lang w:eastAsia="sk-SK"/>
        </w:rPr>
        <w:t>571</w:t>
      </w:r>
      <w:r w:rsidR="00647542" w:rsidRPr="000B1C71">
        <w:rPr>
          <w:rFonts w:ascii="Times New Roman" w:hAnsi="Times New Roman"/>
          <w:lang w:eastAsia="sk-SK"/>
        </w:rPr>
        <w:t> tis. eur. Obdobne</w:t>
      </w:r>
      <w:r w:rsidR="00647542" w:rsidRPr="00CE5993">
        <w:rPr>
          <w:rFonts w:ascii="Times New Roman" w:hAnsi="Times New Roman"/>
          <w:lang w:eastAsia="sk-SK"/>
        </w:rPr>
        <w:t xml:space="preserve"> ako pri ústrednej správe, boli najväčšie prírastky na položkách stavby, samostatne hnuteľné veci, dopravné prostriedky a obstaranie nového majetku. Nárast majetku je možné zdôvodniť najmä zaraďovaním majetku, ktorý bol obstarávaný v predchádzajúcom období</w:t>
      </w:r>
      <w:r w:rsidR="00647542" w:rsidRPr="00907622">
        <w:rPr>
          <w:rFonts w:ascii="Times New Roman" w:hAnsi="Times New Roman"/>
          <w:lang w:eastAsia="sk-SK"/>
        </w:rPr>
        <w:t>.</w:t>
      </w:r>
    </w:p>
    <w:p w14:paraId="790AB42B" w14:textId="3D3FF2D3" w:rsidR="00B168C8" w:rsidRPr="008143FA" w:rsidDel="00AC7F24" w:rsidRDefault="00B168C8" w:rsidP="00EC3644">
      <w:pPr>
        <w:pStyle w:val="Pismenka"/>
        <w:tabs>
          <w:tab w:val="clear" w:pos="426"/>
        </w:tabs>
        <w:spacing w:after="120"/>
        <w:ind w:left="0" w:firstLine="0"/>
        <w:jc w:val="left"/>
        <w:rPr>
          <w:sz w:val="22"/>
          <w:szCs w:val="28"/>
        </w:rPr>
      </w:pPr>
      <w:r w:rsidRPr="0085799C">
        <w:t>Tabuľka 4</w:t>
      </w:r>
    </w:p>
    <w:tbl>
      <w:tblPr>
        <w:tblW w:w="5000" w:type="pct"/>
        <w:jc w:val="center"/>
        <w:tblCellMar>
          <w:left w:w="70" w:type="dxa"/>
          <w:right w:w="70" w:type="dxa"/>
        </w:tblCellMar>
        <w:tblLook w:val="04A0" w:firstRow="1" w:lastRow="0" w:firstColumn="1" w:lastColumn="0" w:noHBand="0" w:noVBand="1"/>
      </w:tblPr>
      <w:tblGrid>
        <w:gridCol w:w="4402"/>
        <w:gridCol w:w="1557"/>
        <w:gridCol w:w="1557"/>
        <w:gridCol w:w="1555"/>
      </w:tblGrid>
      <w:tr w:rsidR="00B168C8" w:rsidRPr="00B168C8" w14:paraId="238DBEC1" w14:textId="77777777" w:rsidTr="00B168C8">
        <w:trPr>
          <w:trHeight w:val="227"/>
          <w:jc w:val="center"/>
        </w:trPr>
        <w:tc>
          <w:tcPr>
            <w:tcW w:w="2427" w:type="pct"/>
            <w:tcBorders>
              <w:top w:val="single" w:sz="8" w:space="0" w:color="auto"/>
              <w:left w:val="nil"/>
              <w:bottom w:val="single" w:sz="8" w:space="0" w:color="auto"/>
              <w:right w:val="nil"/>
            </w:tcBorders>
            <w:shd w:val="clear" w:color="000000" w:fill="F4B084"/>
            <w:noWrap/>
            <w:vAlign w:val="center"/>
            <w:hideMark/>
          </w:tcPr>
          <w:p w14:paraId="2AAEBFCC" w14:textId="77777777" w:rsidR="00B168C8" w:rsidRPr="00B168C8" w:rsidRDefault="00B168C8" w:rsidP="00B168C8">
            <w:pPr>
              <w:spacing w:after="0" w:line="240" w:lineRule="auto"/>
              <w:rPr>
                <w:rFonts w:ascii="Times New Roman" w:hAnsi="Times New Roman"/>
                <w:b/>
                <w:bCs/>
                <w:color w:val="000000"/>
                <w:sz w:val="18"/>
                <w:szCs w:val="18"/>
                <w:lang w:eastAsia="sk-SK"/>
              </w:rPr>
            </w:pPr>
            <w:r w:rsidRPr="00B168C8">
              <w:rPr>
                <w:rFonts w:ascii="Times New Roman" w:hAnsi="Times New Roman"/>
                <w:b/>
                <w:bCs/>
                <w:color w:val="000000"/>
                <w:sz w:val="18"/>
                <w:szCs w:val="18"/>
                <w:lang w:eastAsia="sk-SK"/>
              </w:rPr>
              <w:t>Dlhodobý hmotný majetok súhrnného celku</w:t>
            </w:r>
          </w:p>
        </w:tc>
        <w:tc>
          <w:tcPr>
            <w:tcW w:w="858" w:type="pct"/>
            <w:tcBorders>
              <w:top w:val="single" w:sz="8" w:space="0" w:color="auto"/>
              <w:left w:val="nil"/>
              <w:bottom w:val="single" w:sz="8" w:space="0" w:color="auto"/>
              <w:right w:val="nil"/>
            </w:tcBorders>
            <w:shd w:val="clear" w:color="000000" w:fill="F4B084"/>
            <w:noWrap/>
            <w:vAlign w:val="center"/>
            <w:hideMark/>
          </w:tcPr>
          <w:p w14:paraId="0D00B76D" w14:textId="77777777" w:rsidR="00B168C8" w:rsidRPr="00B168C8" w:rsidRDefault="00B168C8" w:rsidP="00B168C8">
            <w:pPr>
              <w:spacing w:after="0" w:line="240" w:lineRule="auto"/>
              <w:rPr>
                <w:rFonts w:ascii="Times New Roman" w:hAnsi="Times New Roman"/>
                <w:b/>
                <w:bCs/>
                <w:color w:val="000000"/>
                <w:sz w:val="18"/>
                <w:szCs w:val="18"/>
                <w:lang w:eastAsia="sk-SK"/>
              </w:rPr>
            </w:pPr>
            <w:r w:rsidRPr="00B168C8">
              <w:rPr>
                <w:rFonts w:ascii="Times New Roman" w:hAnsi="Times New Roman"/>
                <w:b/>
                <w:bCs/>
                <w:color w:val="000000"/>
                <w:sz w:val="18"/>
                <w:szCs w:val="18"/>
                <w:lang w:eastAsia="sk-SK"/>
              </w:rPr>
              <w:t> </w:t>
            </w:r>
          </w:p>
        </w:tc>
        <w:tc>
          <w:tcPr>
            <w:tcW w:w="858" w:type="pct"/>
            <w:tcBorders>
              <w:top w:val="single" w:sz="8" w:space="0" w:color="auto"/>
              <w:left w:val="nil"/>
              <w:bottom w:val="single" w:sz="8" w:space="0" w:color="auto"/>
              <w:right w:val="nil"/>
            </w:tcBorders>
            <w:shd w:val="clear" w:color="000000" w:fill="F4B084"/>
            <w:noWrap/>
            <w:vAlign w:val="center"/>
            <w:hideMark/>
          </w:tcPr>
          <w:p w14:paraId="6F897A8E" w14:textId="77777777" w:rsidR="00B168C8" w:rsidRPr="00B168C8" w:rsidRDefault="00B168C8" w:rsidP="00B168C8">
            <w:pPr>
              <w:spacing w:after="0" w:line="240" w:lineRule="auto"/>
              <w:jc w:val="center"/>
              <w:rPr>
                <w:rFonts w:ascii="Times New Roman" w:hAnsi="Times New Roman"/>
                <w:b/>
                <w:bCs/>
                <w:color w:val="000000"/>
                <w:sz w:val="18"/>
                <w:szCs w:val="18"/>
                <w:lang w:eastAsia="sk-SK"/>
              </w:rPr>
            </w:pPr>
            <w:r w:rsidRPr="00B168C8">
              <w:rPr>
                <w:rFonts w:ascii="Times New Roman" w:hAnsi="Times New Roman"/>
                <w:b/>
                <w:bCs/>
                <w:color w:val="000000"/>
                <w:sz w:val="18"/>
                <w:szCs w:val="18"/>
                <w:lang w:eastAsia="sk-SK"/>
              </w:rPr>
              <w:t>(v tis. eur)</w:t>
            </w:r>
          </w:p>
        </w:tc>
        <w:tc>
          <w:tcPr>
            <w:tcW w:w="858" w:type="pct"/>
            <w:tcBorders>
              <w:top w:val="single" w:sz="8" w:space="0" w:color="auto"/>
              <w:left w:val="nil"/>
              <w:bottom w:val="single" w:sz="8" w:space="0" w:color="auto"/>
              <w:right w:val="nil"/>
            </w:tcBorders>
            <w:shd w:val="clear" w:color="000000" w:fill="F4B084"/>
            <w:noWrap/>
            <w:vAlign w:val="center"/>
            <w:hideMark/>
          </w:tcPr>
          <w:p w14:paraId="082F8F01" w14:textId="77777777" w:rsidR="00B168C8" w:rsidRPr="00B168C8" w:rsidRDefault="00B168C8" w:rsidP="00B168C8">
            <w:pPr>
              <w:spacing w:after="0" w:line="240" w:lineRule="auto"/>
              <w:rPr>
                <w:rFonts w:ascii="Times New Roman" w:hAnsi="Times New Roman"/>
                <w:b/>
                <w:bCs/>
                <w:color w:val="000000"/>
                <w:sz w:val="18"/>
                <w:szCs w:val="18"/>
                <w:lang w:eastAsia="sk-SK"/>
              </w:rPr>
            </w:pPr>
            <w:r w:rsidRPr="00B168C8">
              <w:rPr>
                <w:rFonts w:ascii="Times New Roman" w:hAnsi="Times New Roman"/>
                <w:b/>
                <w:bCs/>
                <w:color w:val="000000"/>
                <w:sz w:val="18"/>
                <w:szCs w:val="18"/>
                <w:lang w:eastAsia="sk-SK"/>
              </w:rPr>
              <w:t> </w:t>
            </w:r>
          </w:p>
        </w:tc>
      </w:tr>
      <w:tr w:rsidR="00B168C8" w:rsidRPr="00B168C8" w14:paraId="101959A4" w14:textId="77777777" w:rsidTr="00B168C8">
        <w:trPr>
          <w:trHeight w:val="227"/>
          <w:jc w:val="center"/>
        </w:trPr>
        <w:tc>
          <w:tcPr>
            <w:tcW w:w="2427" w:type="pct"/>
            <w:tcBorders>
              <w:top w:val="nil"/>
              <w:left w:val="nil"/>
              <w:bottom w:val="single" w:sz="8" w:space="0" w:color="auto"/>
              <w:right w:val="nil"/>
            </w:tcBorders>
            <w:shd w:val="clear" w:color="000000" w:fill="BDD7EE"/>
            <w:noWrap/>
            <w:vAlign w:val="center"/>
            <w:hideMark/>
          </w:tcPr>
          <w:p w14:paraId="0FDBBE18" w14:textId="77777777" w:rsidR="00B168C8" w:rsidRPr="00B168C8" w:rsidRDefault="00B168C8" w:rsidP="00B168C8">
            <w:pPr>
              <w:spacing w:after="0" w:line="240" w:lineRule="auto"/>
              <w:rPr>
                <w:rFonts w:ascii="Times New Roman" w:hAnsi="Times New Roman"/>
                <w:b/>
                <w:bCs/>
                <w:color w:val="000000"/>
                <w:sz w:val="18"/>
                <w:szCs w:val="18"/>
                <w:lang w:eastAsia="sk-SK"/>
              </w:rPr>
            </w:pPr>
            <w:r w:rsidRPr="00B168C8">
              <w:rPr>
                <w:rFonts w:ascii="Times New Roman" w:hAnsi="Times New Roman"/>
                <w:b/>
                <w:bCs/>
                <w:color w:val="000000"/>
                <w:sz w:val="18"/>
                <w:szCs w:val="18"/>
                <w:lang w:eastAsia="sk-SK"/>
              </w:rPr>
              <w:t>Druh hmotného majetku</w:t>
            </w:r>
          </w:p>
        </w:tc>
        <w:tc>
          <w:tcPr>
            <w:tcW w:w="858" w:type="pct"/>
            <w:tcBorders>
              <w:top w:val="nil"/>
              <w:left w:val="nil"/>
              <w:bottom w:val="single" w:sz="8" w:space="0" w:color="auto"/>
              <w:right w:val="nil"/>
            </w:tcBorders>
            <w:shd w:val="clear" w:color="000000" w:fill="BDD7EE"/>
            <w:noWrap/>
            <w:vAlign w:val="center"/>
            <w:hideMark/>
          </w:tcPr>
          <w:p w14:paraId="7C18593C" w14:textId="77777777" w:rsidR="00B168C8" w:rsidRPr="00B168C8" w:rsidRDefault="00B168C8" w:rsidP="00B168C8">
            <w:pPr>
              <w:spacing w:after="0" w:line="240" w:lineRule="auto"/>
              <w:jc w:val="center"/>
              <w:rPr>
                <w:rFonts w:ascii="Times New Roman" w:hAnsi="Times New Roman"/>
                <w:b/>
                <w:bCs/>
                <w:color w:val="000000"/>
                <w:sz w:val="18"/>
                <w:szCs w:val="18"/>
                <w:lang w:eastAsia="sk-SK"/>
              </w:rPr>
            </w:pPr>
            <w:r w:rsidRPr="00B168C8">
              <w:rPr>
                <w:rFonts w:ascii="Times New Roman" w:hAnsi="Times New Roman"/>
                <w:b/>
                <w:bCs/>
                <w:color w:val="000000"/>
                <w:sz w:val="18"/>
                <w:szCs w:val="18"/>
                <w:lang w:eastAsia="sk-SK"/>
              </w:rPr>
              <w:t>2024</w:t>
            </w:r>
          </w:p>
        </w:tc>
        <w:tc>
          <w:tcPr>
            <w:tcW w:w="858" w:type="pct"/>
            <w:tcBorders>
              <w:top w:val="nil"/>
              <w:left w:val="nil"/>
              <w:bottom w:val="single" w:sz="8" w:space="0" w:color="auto"/>
              <w:right w:val="nil"/>
            </w:tcBorders>
            <w:shd w:val="clear" w:color="000000" w:fill="BDD7EE"/>
            <w:noWrap/>
            <w:vAlign w:val="center"/>
            <w:hideMark/>
          </w:tcPr>
          <w:p w14:paraId="4D244DAE" w14:textId="77777777" w:rsidR="00B168C8" w:rsidRPr="00B168C8" w:rsidRDefault="00B168C8" w:rsidP="00B168C8">
            <w:pPr>
              <w:spacing w:after="0" w:line="240" w:lineRule="auto"/>
              <w:jc w:val="center"/>
              <w:rPr>
                <w:rFonts w:ascii="Times New Roman" w:hAnsi="Times New Roman"/>
                <w:b/>
                <w:bCs/>
                <w:color w:val="000000"/>
                <w:sz w:val="18"/>
                <w:szCs w:val="18"/>
                <w:lang w:eastAsia="sk-SK"/>
              </w:rPr>
            </w:pPr>
            <w:r w:rsidRPr="00B168C8">
              <w:rPr>
                <w:rFonts w:ascii="Times New Roman" w:hAnsi="Times New Roman"/>
                <w:b/>
                <w:bCs/>
                <w:color w:val="000000"/>
                <w:sz w:val="18"/>
                <w:szCs w:val="18"/>
                <w:lang w:eastAsia="sk-SK"/>
              </w:rPr>
              <w:t>2023</w:t>
            </w:r>
          </w:p>
        </w:tc>
        <w:tc>
          <w:tcPr>
            <w:tcW w:w="858" w:type="pct"/>
            <w:tcBorders>
              <w:top w:val="nil"/>
              <w:left w:val="nil"/>
              <w:bottom w:val="single" w:sz="8" w:space="0" w:color="auto"/>
              <w:right w:val="nil"/>
            </w:tcBorders>
            <w:shd w:val="clear" w:color="000000" w:fill="BDD7EE"/>
            <w:vAlign w:val="center"/>
            <w:hideMark/>
          </w:tcPr>
          <w:p w14:paraId="04C4E1DC" w14:textId="77777777" w:rsidR="00B168C8" w:rsidRPr="00B168C8" w:rsidRDefault="00B168C8" w:rsidP="00B168C8">
            <w:pPr>
              <w:spacing w:after="0" w:line="240" w:lineRule="auto"/>
              <w:jc w:val="center"/>
              <w:rPr>
                <w:rFonts w:ascii="Times New Roman" w:hAnsi="Times New Roman"/>
                <w:b/>
                <w:bCs/>
                <w:color w:val="000000"/>
                <w:sz w:val="18"/>
                <w:szCs w:val="18"/>
                <w:lang w:eastAsia="sk-SK"/>
              </w:rPr>
            </w:pPr>
            <w:r w:rsidRPr="00B168C8">
              <w:rPr>
                <w:rFonts w:ascii="Times New Roman" w:hAnsi="Times New Roman"/>
                <w:b/>
                <w:bCs/>
                <w:color w:val="000000"/>
                <w:sz w:val="18"/>
                <w:szCs w:val="18"/>
                <w:lang w:eastAsia="sk-SK"/>
              </w:rPr>
              <w:t>Δ 2024-2023</w:t>
            </w:r>
          </w:p>
        </w:tc>
      </w:tr>
      <w:tr w:rsidR="00B168C8" w:rsidRPr="00B168C8" w14:paraId="122F06DE" w14:textId="77777777" w:rsidTr="00B168C8">
        <w:trPr>
          <w:trHeight w:val="227"/>
          <w:jc w:val="center"/>
        </w:trPr>
        <w:tc>
          <w:tcPr>
            <w:tcW w:w="2427" w:type="pct"/>
            <w:tcBorders>
              <w:top w:val="nil"/>
              <w:left w:val="nil"/>
              <w:bottom w:val="nil"/>
              <w:right w:val="nil"/>
            </w:tcBorders>
            <w:vAlign w:val="center"/>
            <w:hideMark/>
          </w:tcPr>
          <w:p w14:paraId="37909C34" w14:textId="77777777" w:rsidR="00B168C8" w:rsidRPr="00B168C8" w:rsidRDefault="00B168C8" w:rsidP="00B168C8">
            <w:pPr>
              <w:spacing w:after="0" w:line="240" w:lineRule="auto"/>
              <w:rPr>
                <w:rFonts w:ascii="Times New Roman" w:hAnsi="Times New Roman"/>
                <w:color w:val="000000"/>
                <w:sz w:val="18"/>
                <w:szCs w:val="18"/>
                <w:lang w:eastAsia="sk-SK"/>
              </w:rPr>
            </w:pPr>
            <w:r w:rsidRPr="00B168C8">
              <w:rPr>
                <w:rFonts w:ascii="Times New Roman" w:hAnsi="Times New Roman"/>
                <w:color w:val="000000"/>
                <w:sz w:val="18"/>
                <w:szCs w:val="18"/>
                <w:lang w:eastAsia="sk-SK"/>
              </w:rPr>
              <w:t>Stavby</w:t>
            </w:r>
          </w:p>
        </w:tc>
        <w:tc>
          <w:tcPr>
            <w:tcW w:w="858" w:type="pct"/>
            <w:tcBorders>
              <w:top w:val="nil"/>
              <w:left w:val="nil"/>
              <w:bottom w:val="nil"/>
              <w:right w:val="nil"/>
            </w:tcBorders>
            <w:vAlign w:val="center"/>
            <w:hideMark/>
          </w:tcPr>
          <w:p w14:paraId="41C55680" w14:textId="77777777" w:rsidR="00B168C8" w:rsidRPr="00B168C8" w:rsidRDefault="00B168C8" w:rsidP="00B168C8">
            <w:pPr>
              <w:spacing w:after="0" w:line="240" w:lineRule="auto"/>
              <w:jc w:val="right"/>
              <w:rPr>
                <w:rFonts w:ascii="Times New Roman" w:hAnsi="Times New Roman"/>
                <w:color w:val="000000"/>
                <w:sz w:val="18"/>
                <w:szCs w:val="18"/>
                <w:lang w:eastAsia="sk-SK"/>
              </w:rPr>
            </w:pPr>
            <w:r w:rsidRPr="00B168C8">
              <w:rPr>
                <w:rFonts w:ascii="Times New Roman" w:hAnsi="Times New Roman"/>
                <w:color w:val="000000"/>
                <w:sz w:val="18"/>
                <w:szCs w:val="18"/>
                <w:lang w:eastAsia="sk-SK"/>
              </w:rPr>
              <w:t>33 949 584</w:t>
            </w:r>
          </w:p>
        </w:tc>
        <w:tc>
          <w:tcPr>
            <w:tcW w:w="858" w:type="pct"/>
            <w:tcBorders>
              <w:top w:val="nil"/>
              <w:left w:val="nil"/>
              <w:bottom w:val="nil"/>
              <w:right w:val="nil"/>
            </w:tcBorders>
            <w:vAlign w:val="center"/>
            <w:hideMark/>
          </w:tcPr>
          <w:p w14:paraId="4A943DA6" w14:textId="77777777" w:rsidR="00B168C8" w:rsidRPr="00B168C8" w:rsidRDefault="00B168C8" w:rsidP="00B168C8">
            <w:pPr>
              <w:spacing w:after="0" w:line="240" w:lineRule="auto"/>
              <w:jc w:val="right"/>
              <w:rPr>
                <w:rFonts w:ascii="Times New Roman" w:hAnsi="Times New Roman"/>
                <w:color w:val="000000"/>
                <w:sz w:val="18"/>
                <w:szCs w:val="18"/>
                <w:lang w:eastAsia="sk-SK"/>
              </w:rPr>
            </w:pPr>
            <w:r w:rsidRPr="00B168C8">
              <w:rPr>
                <w:rFonts w:ascii="Times New Roman" w:hAnsi="Times New Roman"/>
                <w:color w:val="000000"/>
                <w:sz w:val="18"/>
                <w:szCs w:val="18"/>
                <w:lang w:eastAsia="sk-SK"/>
              </w:rPr>
              <w:t>32 866 132</w:t>
            </w:r>
          </w:p>
        </w:tc>
        <w:tc>
          <w:tcPr>
            <w:tcW w:w="858" w:type="pct"/>
            <w:tcBorders>
              <w:top w:val="nil"/>
              <w:left w:val="nil"/>
              <w:bottom w:val="nil"/>
              <w:right w:val="nil"/>
            </w:tcBorders>
            <w:vAlign w:val="center"/>
            <w:hideMark/>
          </w:tcPr>
          <w:p w14:paraId="340DD848" w14:textId="77777777" w:rsidR="00B168C8" w:rsidRPr="00B168C8" w:rsidRDefault="00B168C8" w:rsidP="00B168C8">
            <w:pPr>
              <w:spacing w:after="0" w:line="240" w:lineRule="auto"/>
              <w:jc w:val="right"/>
              <w:rPr>
                <w:rFonts w:ascii="Times New Roman" w:hAnsi="Times New Roman"/>
                <w:color w:val="000000"/>
                <w:sz w:val="18"/>
                <w:szCs w:val="18"/>
                <w:lang w:eastAsia="sk-SK"/>
              </w:rPr>
            </w:pPr>
            <w:r w:rsidRPr="00B168C8">
              <w:rPr>
                <w:rFonts w:ascii="Times New Roman" w:hAnsi="Times New Roman"/>
                <w:color w:val="000000"/>
                <w:sz w:val="18"/>
                <w:szCs w:val="18"/>
                <w:lang w:eastAsia="sk-SK"/>
              </w:rPr>
              <w:t>1 083 452</w:t>
            </w:r>
          </w:p>
        </w:tc>
      </w:tr>
      <w:tr w:rsidR="00B168C8" w:rsidRPr="00B168C8" w14:paraId="51347076" w14:textId="77777777" w:rsidTr="00B168C8">
        <w:trPr>
          <w:trHeight w:val="227"/>
          <w:jc w:val="center"/>
        </w:trPr>
        <w:tc>
          <w:tcPr>
            <w:tcW w:w="2427" w:type="pct"/>
            <w:tcBorders>
              <w:top w:val="nil"/>
              <w:left w:val="nil"/>
              <w:bottom w:val="nil"/>
              <w:right w:val="nil"/>
            </w:tcBorders>
            <w:vAlign w:val="center"/>
            <w:hideMark/>
          </w:tcPr>
          <w:p w14:paraId="31273BC8" w14:textId="77777777" w:rsidR="00B168C8" w:rsidRPr="00B168C8" w:rsidRDefault="00B168C8" w:rsidP="00B168C8">
            <w:pPr>
              <w:spacing w:after="0" w:line="240" w:lineRule="auto"/>
              <w:rPr>
                <w:rFonts w:ascii="Times New Roman" w:hAnsi="Times New Roman"/>
                <w:color w:val="000000"/>
                <w:sz w:val="18"/>
                <w:szCs w:val="18"/>
                <w:lang w:eastAsia="sk-SK"/>
              </w:rPr>
            </w:pPr>
            <w:r w:rsidRPr="00B168C8">
              <w:rPr>
                <w:rFonts w:ascii="Times New Roman" w:hAnsi="Times New Roman"/>
                <w:color w:val="000000"/>
                <w:sz w:val="18"/>
                <w:szCs w:val="18"/>
                <w:lang w:eastAsia="sk-SK"/>
              </w:rPr>
              <w:t>Pozemky</w:t>
            </w:r>
          </w:p>
        </w:tc>
        <w:tc>
          <w:tcPr>
            <w:tcW w:w="858" w:type="pct"/>
            <w:tcBorders>
              <w:top w:val="nil"/>
              <w:left w:val="nil"/>
              <w:bottom w:val="nil"/>
              <w:right w:val="nil"/>
            </w:tcBorders>
            <w:vAlign w:val="center"/>
            <w:hideMark/>
          </w:tcPr>
          <w:p w14:paraId="492D25EC" w14:textId="77777777" w:rsidR="00B168C8" w:rsidRPr="00B168C8" w:rsidRDefault="00B168C8" w:rsidP="00B168C8">
            <w:pPr>
              <w:spacing w:after="0" w:line="240" w:lineRule="auto"/>
              <w:jc w:val="right"/>
              <w:rPr>
                <w:rFonts w:ascii="Times New Roman" w:hAnsi="Times New Roman"/>
                <w:color w:val="000000"/>
                <w:sz w:val="18"/>
                <w:szCs w:val="18"/>
                <w:lang w:eastAsia="sk-SK"/>
              </w:rPr>
            </w:pPr>
            <w:r w:rsidRPr="00B168C8">
              <w:rPr>
                <w:rFonts w:ascii="Times New Roman" w:hAnsi="Times New Roman"/>
                <w:color w:val="000000"/>
                <w:sz w:val="18"/>
                <w:szCs w:val="18"/>
                <w:lang w:eastAsia="sk-SK"/>
              </w:rPr>
              <w:t>10 375 122</w:t>
            </w:r>
          </w:p>
        </w:tc>
        <w:tc>
          <w:tcPr>
            <w:tcW w:w="858" w:type="pct"/>
            <w:tcBorders>
              <w:top w:val="nil"/>
              <w:left w:val="nil"/>
              <w:bottom w:val="nil"/>
              <w:right w:val="nil"/>
            </w:tcBorders>
            <w:vAlign w:val="center"/>
            <w:hideMark/>
          </w:tcPr>
          <w:p w14:paraId="6414A666" w14:textId="77777777" w:rsidR="00B168C8" w:rsidRPr="00B168C8" w:rsidRDefault="00B168C8" w:rsidP="00B168C8">
            <w:pPr>
              <w:spacing w:after="0" w:line="240" w:lineRule="auto"/>
              <w:jc w:val="right"/>
              <w:rPr>
                <w:rFonts w:ascii="Times New Roman" w:hAnsi="Times New Roman"/>
                <w:color w:val="000000"/>
                <w:sz w:val="18"/>
                <w:szCs w:val="18"/>
                <w:lang w:eastAsia="sk-SK"/>
              </w:rPr>
            </w:pPr>
            <w:r w:rsidRPr="00B168C8">
              <w:rPr>
                <w:rFonts w:ascii="Times New Roman" w:hAnsi="Times New Roman"/>
                <w:color w:val="000000"/>
                <w:sz w:val="18"/>
                <w:szCs w:val="18"/>
                <w:lang w:eastAsia="sk-SK"/>
              </w:rPr>
              <w:t>10 335 651</w:t>
            </w:r>
          </w:p>
        </w:tc>
        <w:tc>
          <w:tcPr>
            <w:tcW w:w="858" w:type="pct"/>
            <w:tcBorders>
              <w:top w:val="nil"/>
              <w:left w:val="nil"/>
              <w:bottom w:val="nil"/>
              <w:right w:val="nil"/>
            </w:tcBorders>
            <w:vAlign w:val="center"/>
            <w:hideMark/>
          </w:tcPr>
          <w:p w14:paraId="074084D4" w14:textId="77777777" w:rsidR="00B168C8" w:rsidRPr="00B168C8" w:rsidRDefault="00B168C8" w:rsidP="00B168C8">
            <w:pPr>
              <w:spacing w:after="0" w:line="240" w:lineRule="auto"/>
              <w:jc w:val="right"/>
              <w:rPr>
                <w:rFonts w:ascii="Times New Roman" w:hAnsi="Times New Roman"/>
                <w:color w:val="000000"/>
                <w:sz w:val="18"/>
                <w:szCs w:val="18"/>
                <w:lang w:eastAsia="sk-SK"/>
              </w:rPr>
            </w:pPr>
            <w:r w:rsidRPr="00B168C8">
              <w:rPr>
                <w:rFonts w:ascii="Times New Roman" w:hAnsi="Times New Roman"/>
                <w:color w:val="000000"/>
                <w:sz w:val="18"/>
                <w:szCs w:val="18"/>
                <w:lang w:eastAsia="sk-SK"/>
              </w:rPr>
              <w:t>39 471</w:t>
            </w:r>
          </w:p>
        </w:tc>
      </w:tr>
      <w:tr w:rsidR="00B168C8" w:rsidRPr="00B168C8" w14:paraId="4360C7B2" w14:textId="77777777" w:rsidTr="00B168C8">
        <w:trPr>
          <w:trHeight w:val="227"/>
          <w:jc w:val="center"/>
        </w:trPr>
        <w:tc>
          <w:tcPr>
            <w:tcW w:w="2427" w:type="pct"/>
            <w:tcBorders>
              <w:top w:val="nil"/>
              <w:left w:val="nil"/>
              <w:bottom w:val="nil"/>
              <w:right w:val="nil"/>
            </w:tcBorders>
            <w:vAlign w:val="center"/>
            <w:hideMark/>
          </w:tcPr>
          <w:p w14:paraId="63CB4897" w14:textId="77777777" w:rsidR="00B168C8" w:rsidRPr="00B168C8" w:rsidRDefault="00B168C8" w:rsidP="00B168C8">
            <w:pPr>
              <w:spacing w:after="0" w:line="240" w:lineRule="auto"/>
              <w:rPr>
                <w:rFonts w:ascii="Times New Roman" w:hAnsi="Times New Roman"/>
                <w:color w:val="000000"/>
                <w:sz w:val="18"/>
                <w:szCs w:val="18"/>
                <w:lang w:eastAsia="sk-SK"/>
              </w:rPr>
            </w:pPr>
            <w:r w:rsidRPr="00B168C8">
              <w:rPr>
                <w:rFonts w:ascii="Times New Roman" w:hAnsi="Times New Roman"/>
                <w:color w:val="000000"/>
                <w:sz w:val="18"/>
                <w:szCs w:val="18"/>
                <w:lang w:eastAsia="sk-SK"/>
              </w:rPr>
              <w:t>Samostatné hnuteľné veci a súbory hnuteľných vecí</w:t>
            </w:r>
          </w:p>
        </w:tc>
        <w:tc>
          <w:tcPr>
            <w:tcW w:w="858" w:type="pct"/>
            <w:tcBorders>
              <w:top w:val="nil"/>
              <w:left w:val="nil"/>
              <w:bottom w:val="nil"/>
              <w:right w:val="nil"/>
            </w:tcBorders>
            <w:vAlign w:val="center"/>
            <w:hideMark/>
          </w:tcPr>
          <w:p w14:paraId="08ACAE03" w14:textId="77777777" w:rsidR="00B168C8" w:rsidRPr="00B168C8" w:rsidRDefault="00B168C8" w:rsidP="00B168C8">
            <w:pPr>
              <w:spacing w:after="0" w:line="240" w:lineRule="auto"/>
              <w:jc w:val="right"/>
              <w:rPr>
                <w:rFonts w:ascii="Times New Roman" w:hAnsi="Times New Roman"/>
                <w:color w:val="000000"/>
                <w:sz w:val="18"/>
                <w:szCs w:val="18"/>
                <w:lang w:eastAsia="sk-SK"/>
              </w:rPr>
            </w:pPr>
            <w:r w:rsidRPr="00B168C8">
              <w:rPr>
                <w:rFonts w:ascii="Times New Roman" w:hAnsi="Times New Roman"/>
                <w:color w:val="000000"/>
                <w:sz w:val="18"/>
                <w:szCs w:val="18"/>
                <w:lang w:eastAsia="sk-SK"/>
              </w:rPr>
              <w:t>3 814 256</w:t>
            </w:r>
          </w:p>
        </w:tc>
        <w:tc>
          <w:tcPr>
            <w:tcW w:w="858" w:type="pct"/>
            <w:tcBorders>
              <w:top w:val="nil"/>
              <w:left w:val="nil"/>
              <w:bottom w:val="nil"/>
              <w:right w:val="nil"/>
            </w:tcBorders>
            <w:vAlign w:val="center"/>
            <w:hideMark/>
          </w:tcPr>
          <w:p w14:paraId="639C64CE" w14:textId="77777777" w:rsidR="00B168C8" w:rsidRPr="00B168C8" w:rsidRDefault="00B168C8" w:rsidP="00B168C8">
            <w:pPr>
              <w:spacing w:after="0" w:line="240" w:lineRule="auto"/>
              <w:jc w:val="right"/>
              <w:rPr>
                <w:rFonts w:ascii="Times New Roman" w:hAnsi="Times New Roman"/>
                <w:color w:val="000000"/>
                <w:sz w:val="18"/>
                <w:szCs w:val="18"/>
                <w:lang w:eastAsia="sk-SK"/>
              </w:rPr>
            </w:pPr>
            <w:r w:rsidRPr="00B168C8">
              <w:rPr>
                <w:rFonts w:ascii="Times New Roman" w:hAnsi="Times New Roman"/>
                <w:color w:val="000000"/>
                <w:sz w:val="18"/>
                <w:szCs w:val="18"/>
                <w:lang w:eastAsia="sk-SK"/>
              </w:rPr>
              <w:t>3 384 613</w:t>
            </w:r>
          </w:p>
        </w:tc>
        <w:tc>
          <w:tcPr>
            <w:tcW w:w="858" w:type="pct"/>
            <w:tcBorders>
              <w:top w:val="nil"/>
              <w:left w:val="nil"/>
              <w:bottom w:val="nil"/>
              <w:right w:val="nil"/>
            </w:tcBorders>
            <w:vAlign w:val="center"/>
            <w:hideMark/>
          </w:tcPr>
          <w:p w14:paraId="01D42A20" w14:textId="77777777" w:rsidR="00B168C8" w:rsidRPr="00B168C8" w:rsidRDefault="00B168C8" w:rsidP="00B168C8">
            <w:pPr>
              <w:spacing w:after="0" w:line="240" w:lineRule="auto"/>
              <w:jc w:val="right"/>
              <w:rPr>
                <w:rFonts w:ascii="Times New Roman" w:hAnsi="Times New Roman"/>
                <w:color w:val="000000"/>
                <w:sz w:val="18"/>
                <w:szCs w:val="18"/>
                <w:lang w:eastAsia="sk-SK"/>
              </w:rPr>
            </w:pPr>
            <w:r w:rsidRPr="00B168C8">
              <w:rPr>
                <w:rFonts w:ascii="Times New Roman" w:hAnsi="Times New Roman"/>
                <w:color w:val="000000"/>
                <w:sz w:val="18"/>
                <w:szCs w:val="18"/>
                <w:lang w:eastAsia="sk-SK"/>
              </w:rPr>
              <w:t>429 643</w:t>
            </w:r>
          </w:p>
        </w:tc>
      </w:tr>
      <w:tr w:rsidR="00B168C8" w:rsidRPr="00B168C8" w14:paraId="7D150016" w14:textId="77777777" w:rsidTr="00B168C8">
        <w:trPr>
          <w:trHeight w:val="227"/>
          <w:jc w:val="center"/>
        </w:trPr>
        <w:tc>
          <w:tcPr>
            <w:tcW w:w="2427" w:type="pct"/>
            <w:tcBorders>
              <w:top w:val="nil"/>
              <w:left w:val="nil"/>
              <w:bottom w:val="nil"/>
              <w:right w:val="nil"/>
            </w:tcBorders>
            <w:vAlign w:val="center"/>
            <w:hideMark/>
          </w:tcPr>
          <w:p w14:paraId="72D9C8BC" w14:textId="77777777" w:rsidR="00B168C8" w:rsidRPr="00B168C8" w:rsidRDefault="00B168C8" w:rsidP="00B168C8">
            <w:pPr>
              <w:spacing w:after="0" w:line="240" w:lineRule="auto"/>
              <w:rPr>
                <w:rFonts w:ascii="Times New Roman" w:hAnsi="Times New Roman"/>
                <w:color w:val="000000"/>
                <w:sz w:val="18"/>
                <w:szCs w:val="18"/>
                <w:lang w:eastAsia="sk-SK"/>
              </w:rPr>
            </w:pPr>
            <w:r w:rsidRPr="00B168C8">
              <w:rPr>
                <w:rFonts w:ascii="Times New Roman" w:hAnsi="Times New Roman"/>
                <w:color w:val="000000"/>
                <w:sz w:val="18"/>
                <w:szCs w:val="18"/>
                <w:lang w:eastAsia="sk-SK"/>
              </w:rPr>
              <w:t>Dopravné prostriedky</w:t>
            </w:r>
          </w:p>
        </w:tc>
        <w:tc>
          <w:tcPr>
            <w:tcW w:w="858" w:type="pct"/>
            <w:tcBorders>
              <w:top w:val="nil"/>
              <w:left w:val="nil"/>
              <w:bottom w:val="nil"/>
              <w:right w:val="nil"/>
            </w:tcBorders>
            <w:vAlign w:val="center"/>
            <w:hideMark/>
          </w:tcPr>
          <w:p w14:paraId="27F6D9AC" w14:textId="77777777" w:rsidR="00B168C8" w:rsidRPr="00B168C8" w:rsidRDefault="00B168C8" w:rsidP="00B168C8">
            <w:pPr>
              <w:spacing w:after="0" w:line="240" w:lineRule="auto"/>
              <w:jc w:val="right"/>
              <w:rPr>
                <w:rFonts w:ascii="Times New Roman" w:hAnsi="Times New Roman"/>
                <w:color w:val="000000"/>
                <w:sz w:val="18"/>
                <w:szCs w:val="18"/>
                <w:lang w:eastAsia="sk-SK"/>
              </w:rPr>
            </w:pPr>
            <w:r w:rsidRPr="00B168C8">
              <w:rPr>
                <w:rFonts w:ascii="Times New Roman" w:hAnsi="Times New Roman"/>
                <w:color w:val="000000"/>
                <w:sz w:val="18"/>
                <w:szCs w:val="18"/>
                <w:lang w:eastAsia="sk-SK"/>
              </w:rPr>
              <w:t>2 381 538</w:t>
            </w:r>
          </w:p>
        </w:tc>
        <w:tc>
          <w:tcPr>
            <w:tcW w:w="858" w:type="pct"/>
            <w:tcBorders>
              <w:top w:val="nil"/>
              <w:left w:val="nil"/>
              <w:bottom w:val="nil"/>
              <w:right w:val="nil"/>
            </w:tcBorders>
            <w:vAlign w:val="center"/>
            <w:hideMark/>
          </w:tcPr>
          <w:p w14:paraId="44095B40" w14:textId="77777777" w:rsidR="00B168C8" w:rsidRPr="00B168C8" w:rsidRDefault="00B168C8" w:rsidP="00B168C8">
            <w:pPr>
              <w:spacing w:after="0" w:line="240" w:lineRule="auto"/>
              <w:jc w:val="right"/>
              <w:rPr>
                <w:rFonts w:ascii="Times New Roman" w:hAnsi="Times New Roman"/>
                <w:color w:val="000000"/>
                <w:sz w:val="18"/>
                <w:szCs w:val="18"/>
                <w:lang w:eastAsia="sk-SK"/>
              </w:rPr>
            </w:pPr>
            <w:r w:rsidRPr="00B168C8">
              <w:rPr>
                <w:rFonts w:ascii="Times New Roman" w:hAnsi="Times New Roman"/>
                <w:color w:val="000000"/>
                <w:sz w:val="18"/>
                <w:szCs w:val="18"/>
                <w:lang w:eastAsia="sk-SK"/>
              </w:rPr>
              <w:t>2 263 615</w:t>
            </w:r>
          </w:p>
        </w:tc>
        <w:tc>
          <w:tcPr>
            <w:tcW w:w="858" w:type="pct"/>
            <w:tcBorders>
              <w:top w:val="nil"/>
              <w:left w:val="nil"/>
              <w:bottom w:val="nil"/>
              <w:right w:val="nil"/>
            </w:tcBorders>
            <w:vAlign w:val="center"/>
            <w:hideMark/>
          </w:tcPr>
          <w:p w14:paraId="35FE6FD5" w14:textId="77777777" w:rsidR="00B168C8" w:rsidRPr="00B168C8" w:rsidRDefault="00B168C8" w:rsidP="00B168C8">
            <w:pPr>
              <w:spacing w:after="0" w:line="240" w:lineRule="auto"/>
              <w:jc w:val="right"/>
              <w:rPr>
                <w:rFonts w:ascii="Times New Roman" w:hAnsi="Times New Roman"/>
                <w:color w:val="000000"/>
                <w:sz w:val="18"/>
                <w:szCs w:val="18"/>
                <w:lang w:eastAsia="sk-SK"/>
              </w:rPr>
            </w:pPr>
            <w:r w:rsidRPr="00B168C8">
              <w:rPr>
                <w:rFonts w:ascii="Times New Roman" w:hAnsi="Times New Roman"/>
                <w:color w:val="000000"/>
                <w:sz w:val="18"/>
                <w:szCs w:val="18"/>
                <w:lang w:eastAsia="sk-SK"/>
              </w:rPr>
              <w:t>117 923</w:t>
            </w:r>
          </w:p>
        </w:tc>
      </w:tr>
      <w:tr w:rsidR="00B168C8" w:rsidRPr="00B168C8" w14:paraId="451C58F9" w14:textId="77777777" w:rsidTr="00B168C8">
        <w:trPr>
          <w:trHeight w:val="227"/>
          <w:jc w:val="center"/>
        </w:trPr>
        <w:tc>
          <w:tcPr>
            <w:tcW w:w="2427" w:type="pct"/>
            <w:tcBorders>
              <w:top w:val="nil"/>
              <w:left w:val="nil"/>
              <w:bottom w:val="nil"/>
              <w:right w:val="nil"/>
            </w:tcBorders>
            <w:vAlign w:val="center"/>
            <w:hideMark/>
          </w:tcPr>
          <w:p w14:paraId="29B157A9" w14:textId="77777777" w:rsidR="00B168C8" w:rsidRPr="00B168C8" w:rsidRDefault="00B168C8" w:rsidP="00B168C8">
            <w:pPr>
              <w:spacing w:after="0" w:line="240" w:lineRule="auto"/>
              <w:rPr>
                <w:rFonts w:ascii="Times New Roman" w:hAnsi="Times New Roman"/>
                <w:color w:val="000000"/>
                <w:sz w:val="18"/>
                <w:szCs w:val="18"/>
                <w:lang w:eastAsia="sk-SK"/>
              </w:rPr>
            </w:pPr>
            <w:r w:rsidRPr="00B168C8">
              <w:rPr>
                <w:rFonts w:ascii="Times New Roman" w:hAnsi="Times New Roman"/>
                <w:color w:val="000000"/>
                <w:sz w:val="18"/>
                <w:szCs w:val="18"/>
                <w:lang w:eastAsia="sk-SK"/>
              </w:rPr>
              <w:t>Poskytnuté preddavky</w:t>
            </w:r>
          </w:p>
        </w:tc>
        <w:tc>
          <w:tcPr>
            <w:tcW w:w="858" w:type="pct"/>
            <w:tcBorders>
              <w:top w:val="nil"/>
              <w:left w:val="nil"/>
              <w:bottom w:val="nil"/>
              <w:right w:val="nil"/>
            </w:tcBorders>
            <w:vAlign w:val="center"/>
            <w:hideMark/>
          </w:tcPr>
          <w:p w14:paraId="137CB80D" w14:textId="77777777" w:rsidR="00B168C8" w:rsidRPr="00B168C8" w:rsidRDefault="00B168C8" w:rsidP="00B168C8">
            <w:pPr>
              <w:spacing w:after="0" w:line="240" w:lineRule="auto"/>
              <w:jc w:val="right"/>
              <w:rPr>
                <w:rFonts w:ascii="Times New Roman" w:hAnsi="Times New Roman"/>
                <w:color w:val="000000"/>
                <w:sz w:val="18"/>
                <w:szCs w:val="18"/>
                <w:lang w:eastAsia="sk-SK"/>
              </w:rPr>
            </w:pPr>
            <w:r w:rsidRPr="00B168C8">
              <w:rPr>
                <w:rFonts w:ascii="Times New Roman" w:hAnsi="Times New Roman"/>
                <w:color w:val="000000"/>
                <w:sz w:val="18"/>
                <w:szCs w:val="18"/>
                <w:lang w:eastAsia="sk-SK"/>
              </w:rPr>
              <w:t>2 877 680</w:t>
            </w:r>
          </w:p>
        </w:tc>
        <w:tc>
          <w:tcPr>
            <w:tcW w:w="858" w:type="pct"/>
            <w:tcBorders>
              <w:top w:val="nil"/>
              <w:left w:val="nil"/>
              <w:bottom w:val="nil"/>
              <w:right w:val="nil"/>
            </w:tcBorders>
            <w:vAlign w:val="center"/>
            <w:hideMark/>
          </w:tcPr>
          <w:p w14:paraId="32AD9367" w14:textId="77777777" w:rsidR="00B168C8" w:rsidRPr="00B168C8" w:rsidRDefault="00B168C8" w:rsidP="00B168C8">
            <w:pPr>
              <w:spacing w:after="0" w:line="240" w:lineRule="auto"/>
              <w:jc w:val="right"/>
              <w:rPr>
                <w:rFonts w:ascii="Times New Roman" w:hAnsi="Times New Roman"/>
                <w:color w:val="000000"/>
                <w:sz w:val="18"/>
                <w:szCs w:val="18"/>
                <w:lang w:eastAsia="sk-SK"/>
              </w:rPr>
            </w:pPr>
            <w:r w:rsidRPr="00B168C8">
              <w:rPr>
                <w:rFonts w:ascii="Times New Roman" w:hAnsi="Times New Roman"/>
                <w:color w:val="000000"/>
                <w:sz w:val="18"/>
                <w:szCs w:val="18"/>
                <w:lang w:eastAsia="sk-SK"/>
              </w:rPr>
              <w:t>2 611 138</w:t>
            </w:r>
          </w:p>
        </w:tc>
        <w:tc>
          <w:tcPr>
            <w:tcW w:w="858" w:type="pct"/>
            <w:tcBorders>
              <w:top w:val="nil"/>
              <w:left w:val="nil"/>
              <w:bottom w:val="nil"/>
              <w:right w:val="nil"/>
            </w:tcBorders>
            <w:vAlign w:val="center"/>
            <w:hideMark/>
          </w:tcPr>
          <w:p w14:paraId="47FCB79A" w14:textId="77777777" w:rsidR="00B168C8" w:rsidRPr="00B168C8" w:rsidRDefault="00B168C8" w:rsidP="00B168C8">
            <w:pPr>
              <w:spacing w:after="0" w:line="240" w:lineRule="auto"/>
              <w:jc w:val="right"/>
              <w:rPr>
                <w:rFonts w:ascii="Times New Roman" w:hAnsi="Times New Roman"/>
                <w:color w:val="000000"/>
                <w:sz w:val="18"/>
                <w:szCs w:val="18"/>
                <w:lang w:eastAsia="sk-SK"/>
              </w:rPr>
            </w:pPr>
            <w:r w:rsidRPr="00B168C8">
              <w:rPr>
                <w:rFonts w:ascii="Times New Roman" w:hAnsi="Times New Roman"/>
                <w:color w:val="000000"/>
                <w:sz w:val="18"/>
                <w:szCs w:val="18"/>
                <w:lang w:eastAsia="sk-SK"/>
              </w:rPr>
              <w:t>266 542</w:t>
            </w:r>
          </w:p>
        </w:tc>
      </w:tr>
      <w:tr w:rsidR="00B168C8" w:rsidRPr="00B168C8" w14:paraId="277E41C3" w14:textId="77777777" w:rsidTr="00B168C8">
        <w:trPr>
          <w:trHeight w:val="227"/>
          <w:jc w:val="center"/>
        </w:trPr>
        <w:tc>
          <w:tcPr>
            <w:tcW w:w="2427" w:type="pct"/>
            <w:tcBorders>
              <w:top w:val="nil"/>
              <w:left w:val="nil"/>
              <w:bottom w:val="nil"/>
              <w:right w:val="nil"/>
            </w:tcBorders>
            <w:vAlign w:val="center"/>
            <w:hideMark/>
          </w:tcPr>
          <w:p w14:paraId="6B8E33FA" w14:textId="77777777" w:rsidR="00B168C8" w:rsidRPr="00B168C8" w:rsidRDefault="00B168C8" w:rsidP="00B168C8">
            <w:pPr>
              <w:spacing w:after="0" w:line="240" w:lineRule="auto"/>
              <w:rPr>
                <w:rFonts w:ascii="Times New Roman" w:hAnsi="Times New Roman"/>
                <w:color w:val="000000"/>
                <w:sz w:val="18"/>
                <w:szCs w:val="18"/>
                <w:lang w:eastAsia="sk-SK"/>
              </w:rPr>
            </w:pPr>
            <w:r w:rsidRPr="00B168C8">
              <w:rPr>
                <w:rFonts w:ascii="Times New Roman" w:hAnsi="Times New Roman"/>
                <w:color w:val="000000"/>
                <w:sz w:val="18"/>
                <w:szCs w:val="18"/>
                <w:lang w:eastAsia="sk-SK"/>
              </w:rPr>
              <w:t>Obstaranie hmotného majetku</w:t>
            </w:r>
          </w:p>
        </w:tc>
        <w:tc>
          <w:tcPr>
            <w:tcW w:w="858" w:type="pct"/>
            <w:tcBorders>
              <w:top w:val="nil"/>
              <w:left w:val="nil"/>
              <w:bottom w:val="nil"/>
              <w:right w:val="nil"/>
            </w:tcBorders>
            <w:vAlign w:val="center"/>
            <w:hideMark/>
          </w:tcPr>
          <w:p w14:paraId="496CF0C3" w14:textId="77777777" w:rsidR="00B168C8" w:rsidRPr="00B168C8" w:rsidRDefault="00B168C8" w:rsidP="00B168C8">
            <w:pPr>
              <w:spacing w:after="0" w:line="240" w:lineRule="auto"/>
              <w:jc w:val="right"/>
              <w:rPr>
                <w:rFonts w:ascii="Times New Roman" w:hAnsi="Times New Roman"/>
                <w:color w:val="000000"/>
                <w:sz w:val="18"/>
                <w:szCs w:val="18"/>
                <w:lang w:eastAsia="sk-SK"/>
              </w:rPr>
            </w:pPr>
            <w:r w:rsidRPr="00B168C8">
              <w:rPr>
                <w:rFonts w:ascii="Times New Roman" w:hAnsi="Times New Roman"/>
                <w:color w:val="000000"/>
                <w:sz w:val="18"/>
                <w:szCs w:val="18"/>
                <w:lang w:eastAsia="sk-SK"/>
              </w:rPr>
              <w:t>6 792 729</w:t>
            </w:r>
          </w:p>
        </w:tc>
        <w:tc>
          <w:tcPr>
            <w:tcW w:w="858" w:type="pct"/>
            <w:tcBorders>
              <w:top w:val="nil"/>
              <w:left w:val="nil"/>
              <w:bottom w:val="nil"/>
              <w:right w:val="nil"/>
            </w:tcBorders>
            <w:vAlign w:val="center"/>
            <w:hideMark/>
          </w:tcPr>
          <w:p w14:paraId="735D34E4" w14:textId="77777777" w:rsidR="00B168C8" w:rsidRPr="00B168C8" w:rsidRDefault="00B168C8" w:rsidP="00B168C8">
            <w:pPr>
              <w:spacing w:after="0" w:line="240" w:lineRule="auto"/>
              <w:jc w:val="right"/>
              <w:rPr>
                <w:rFonts w:ascii="Times New Roman" w:hAnsi="Times New Roman"/>
                <w:color w:val="000000"/>
                <w:sz w:val="18"/>
                <w:szCs w:val="18"/>
                <w:lang w:eastAsia="sk-SK"/>
              </w:rPr>
            </w:pPr>
            <w:r w:rsidRPr="00B168C8">
              <w:rPr>
                <w:rFonts w:ascii="Times New Roman" w:hAnsi="Times New Roman"/>
                <w:color w:val="000000"/>
                <w:sz w:val="18"/>
                <w:szCs w:val="18"/>
                <w:lang w:eastAsia="sk-SK"/>
              </w:rPr>
              <w:t>6 359 835</w:t>
            </w:r>
          </w:p>
        </w:tc>
        <w:tc>
          <w:tcPr>
            <w:tcW w:w="858" w:type="pct"/>
            <w:tcBorders>
              <w:top w:val="nil"/>
              <w:left w:val="nil"/>
              <w:bottom w:val="nil"/>
              <w:right w:val="nil"/>
            </w:tcBorders>
            <w:vAlign w:val="center"/>
            <w:hideMark/>
          </w:tcPr>
          <w:p w14:paraId="59C2F6AD" w14:textId="77777777" w:rsidR="00B168C8" w:rsidRPr="00B168C8" w:rsidRDefault="00B168C8" w:rsidP="00B168C8">
            <w:pPr>
              <w:spacing w:after="0" w:line="240" w:lineRule="auto"/>
              <w:jc w:val="right"/>
              <w:rPr>
                <w:rFonts w:ascii="Times New Roman" w:hAnsi="Times New Roman"/>
                <w:color w:val="000000"/>
                <w:sz w:val="18"/>
                <w:szCs w:val="18"/>
                <w:lang w:eastAsia="sk-SK"/>
              </w:rPr>
            </w:pPr>
            <w:r w:rsidRPr="00B168C8">
              <w:rPr>
                <w:rFonts w:ascii="Times New Roman" w:hAnsi="Times New Roman"/>
                <w:color w:val="000000"/>
                <w:sz w:val="18"/>
                <w:szCs w:val="18"/>
                <w:lang w:eastAsia="sk-SK"/>
              </w:rPr>
              <w:t>432 894</w:t>
            </w:r>
          </w:p>
        </w:tc>
      </w:tr>
      <w:tr w:rsidR="00B168C8" w:rsidRPr="00B168C8" w14:paraId="6AB293A4" w14:textId="77777777" w:rsidTr="00B168C8">
        <w:trPr>
          <w:trHeight w:val="227"/>
          <w:jc w:val="center"/>
        </w:trPr>
        <w:tc>
          <w:tcPr>
            <w:tcW w:w="2427" w:type="pct"/>
            <w:tcBorders>
              <w:top w:val="nil"/>
              <w:left w:val="nil"/>
              <w:bottom w:val="single" w:sz="8" w:space="0" w:color="auto"/>
              <w:right w:val="nil"/>
            </w:tcBorders>
            <w:vAlign w:val="center"/>
            <w:hideMark/>
          </w:tcPr>
          <w:p w14:paraId="31AD936F" w14:textId="77777777" w:rsidR="00B168C8" w:rsidRPr="00B168C8" w:rsidRDefault="00B168C8" w:rsidP="00B168C8">
            <w:pPr>
              <w:spacing w:after="0" w:line="240" w:lineRule="auto"/>
              <w:rPr>
                <w:rFonts w:ascii="Times New Roman" w:hAnsi="Times New Roman"/>
                <w:color w:val="000000"/>
                <w:sz w:val="18"/>
                <w:szCs w:val="18"/>
                <w:lang w:eastAsia="sk-SK"/>
              </w:rPr>
            </w:pPr>
            <w:r w:rsidRPr="00B168C8">
              <w:rPr>
                <w:rFonts w:ascii="Times New Roman" w:hAnsi="Times New Roman"/>
                <w:color w:val="000000"/>
                <w:sz w:val="18"/>
                <w:szCs w:val="18"/>
                <w:lang w:eastAsia="sk-SK"/>
              </w:rPr>
              <w:t>Ostatný hmotný majetok</w:t>
            </w:r>
          </w:p>
        </w:tc>
        <w:tc>
          <w:tcPr>
            <w:tcW w:w="858" w:type="pct"/>
            <w:tcBorders>
              <w:top w:val="nil"/>
              <w:left w:val="nil"/>
              <w:bottom w:val="single" w:sz="8" w:space="0" w:color="auto"/>
              <w:right w:val="nil"/>
            </w:tcBorders>
            <w:vAlign w:val="center"/>
            <w:hideMark/>
          </w:tcPr>
          <w:p w14:paraId="6AFDC8A3" w14:textId="77777777" w:rsidR="00B168C8" w:rsidRPr="00B168C8" w:rsidRDefault="00B168C8" w:rsidP="00B168C8">
            <w:pPr>
              <w:spacing w:after="0" w:line="240" w:lineRule="auto"/>
              <w:jc w:val="right"/>
              <w:rPr>
                <w:rFonts w:ascii="Times New Roman" w:hAnsi="Times New Roman"/>
                <w:color w:val="000000"/>
                <w:sz w:val="18"/>
                <w:szCs w:val="18"/>
                <w:lang w:eastAsia="sk-SK"/>
              </w:rPr>
            </w:pPr>
            <w:r w:rsidRPr="00B168C8">
              <w:rPr>
                <w:rFonts w:ascii="Times New Roman" w:hAnsi="Times New Roman"/>
                <w:color w:val="000000"/>
                <w:sz w:val="18"/>
                <w:szCs w:val="18"/>
                <w:lang w:eastAsia="sk-SK"/>
              </w:rPr>
              <w:t>789 440</w:t>
            </w:r>
          </w:p>
        </w:tc>
        <w:tc>
          <w:tcPr>
            <w:tcW w:w="858" w:type="pct"/>
            <w:tcBorders>
              <w:top w:val="nil"/>
              <w:left w:val="nil"/>
              <w:bottom w:val="single" w:sz="8" w:space="0" w:color="auto"/>
              <w:right w:val="nil"/>
            </w:tcBorders>
            <w:vAlign w:val="center"/>
            <w:hideMark/>
          </w:tcPr>
          <w:p w14:paraId="250701B7" w14:textId="77777777" w:rsidR="00B168C8" w:rsidRPr="00B168C8" w:rsidRDefault="00B168C8" w:rsidP="00B168C8">
            <w:pPr>
              <w:spacing w:after="0" w:line="240" w:lineRule="auto"/>
              <w:jc w:val="right"/>
              <w:rPr>
                <w:rFonts w:ascii="Times New Roman" w:hAnsi="Times New Roman"/>
                <w:color w:val="000000"/>
                <w:sz w:val="18"/>
                <w:szCs w:val="18"/>
                <w:lang w:eastAsia="sk-SK"/>
              </w:rPr>
            </w:pPr>
            <w:r w:rsidRPr="00B168C8">
              <w:rPr>
                <w:rFonts w:ascii="Times New Roman" w:hAnsi="Times New Roman"/>
                <w:color w:val="000000"/>
                <w:sz w:val="18"/>
                <w:szCs w:val="18"/>
                <w:lang w:eastAsia="sk-SK"/>
              </w:rPr>
              <w:t>765 462</w:t>
            </w:r>
          </w:p>
        </w:tc>
        <w:tc>
          <w:tcPr>
            <w:tcW w:w="858" w:type="pct"/>
            <w:tcBorders>
              <w:top w:val="nil"/>
              <w:left w:val="nil"/>
              <w:bottom w:val="nil"/>
              <w:right w:val="nil"/>
            </w:tcBorders>
            <w:vAlign w:val="center"/>
            <w:hideMark/>
          </w:tcPr>
          <w:p w14:paraId="18D97D8F" w14:textId="77777777" w:rsidR="00B168C8" w:rsidRPr="00B168C8" w:rsidRDefault="00B168C8" w:rsidP="00B168C8">
            <w:pPr>
              <w:spacing w:after="0" w:line="240" w:lineRule="auto"/>
              <w:jc w:val="right"/>
              <w:rPr>
                <w:rFonts w:ascii="Times New Roman" w:hAnsi="Times New Roman"/>
                <w:color w:val="000000"/>
                <w:sz w:val="18"/>
                <w:szCs w:val="18"/>
                <w:lang w:eastAsia="sk-SK"/>
              </w:rPr>
            </w:pPr>
            <w:r w:rsidRPr="00B168C8">
              <w:rPr>
                <w:rFonts w:ascii="Times New Roman" w:hAnsi="Times New Roman"/>
                <w:color w:val="000000"/>
                <w:sz w:val="18"/>
                <w:szCs w:val="18"/>
                <w:lang w:eastAsia="sk-SK"/>
              </w:rPr>
              <w:t>23 978</w:t>
            </w:r>
          </w:p>
        </w:tc>
      </w:tr>
      <w:tr w:rsidR="00B168C8" w:rsidRPr="00B168C8" w14:paraId="4E864D68" w14:textId="77777777" w:rsidTr="00B168C8">
        <w:trPr>
          <w:trHeight w:val="227"/>
          <w:jc w:val="center"/>
        </w:trPr>
        <w:tc>
          <w:tcPr>
            <w:tcW w:w="2427" w:type="pct"/>
            <w:tcBorders>
              <w:top w:val="nil"/>
              <w:left w:val="nil"/>
              <w:bottom w:val="single" w:sz="8" w:space="0" w:color="000000"/>
              <w:right w:val="nil"/>
            </w:tcBorders>
            <w:vAlign w:val="center"/>
            <w:hideMark/>
          </w:tcPr>
          <w:p w14:paraId="5FD6D95C" w14:textId="77777777" w:rsidR="00B168C8" w:rsidRPr="00B168C8" w:rsidRDefault="00B168C8" w:rsidP="00B168C8">
            <w:pPr>
              <w:spacing w:after="0" w:line="240" w:lineRule="auto"/>
              <w:rPr>
                <w:rFonts w:ascii="Times New Roman" w:hAnsi="Times New Roman"/>
                <w:b/>
                <w:bCs/>
                <w:color w:val="000000"/>
                <w:sz w:val="18"/>
                <w:szCs w:val="18"/>
                <w:lang w:eastAsia="sk-SK"/>
              </w:rPr>
            </w:pPr>
            <w:r w:rsidRPr="00B168C8">
              <w:rPr>
                <w:rFonts w:ascii="Times New Roman" w:hAnsi="Times New Roman"/>
                <w:b/>
                <w:bCs/>
                <w:color w:val="000000"/>
                <w:sz w:val="18"/>
                <w:szCs w:val="18"/>
                <w:lang w:eastAsia="sk-SK"/>
              </w:rPr>
              <w:t>Spolu</w:t>
            </w:r>
          </w:p>
        </w:tc>
        <w:tc>
          <w:tcPr>
            <w:tcW w:w="858" w:type="pct"/>
            <w:tcBorders>
              <w:top w:val="nil"/>
              <w:left w:val="nil"/>
              <w:bottom w:val="single" w:sz="8" w:space="0" w:color="000000"/>
              <w:right w:val="nil"/>
            </w:tcBorders>
            <w:vAlign w:val="center"/>
            <w:hideMark/>
          </w:tcPr>
          <w:p w14:paraId="505D9602" w14:textId="77777777" w:rsidR="00B168C8" w:rsidRPr="00B168C8" w:rsidRDefault="00B168C8" w:rsidP="00B168C8">
            <w:pPr>
              <w:spacing w:after="0" w:line="240" w:lineRule="auto"/>
              <w:jc w:val="right"/>
              <w:rPr>
                <w:rFonts w:ascii="Times New Roman" w:hAnsi="Times New Roman"/>
                <w:b/>
                <w:bCs/>
                <w:color w:val="000000"/>
                <w:sz w:val="18"/>
                <w:szCs w:val="18"/>
                <w:lang w:eastAsia="sk-SK"/>
              </w:rPr>
            </w:pPr>
            <w:r w:rsidRPr="00B168C8">
              <w:rPr>
                <w:rFonts w:ascii="Times New Roman" w:hAnsi="Times New Roman"/>
                <w:b/>
                <w:bCs/>
                <w:color w:val="000000"/>
                <w:sz w:val="18"/>
                <w:szCs w:val="18"/>
                <w:lang w:eastAsia="sk-SK"/>
              </w:rPr>
              <w:t>60 980 349</w:t>
            </w:r>
          </w:p>
        </w:tc>
        <w:tc>
          <w:tcPr>
            <w:tcW w:w="858" w:type="pct"/>
            <w:tcBorders>
              <w:top w:val="nil"/>
              <w:left w:val="nil"/>
              <w:bottom w:val="single" w:sz="8" w:space="0" w:color="000000"/>
              <w:right w:val="nil"/>
            </w:tcBorders>
            <w:vAlign w:val="center"/>
            <w:hideMark/>
          </w:tcPr>
          <w:p w14:paraId="3150A0AC" w14:textId="77777777" w:rsidR="00B168C8" w:rsidRPr="00B168C8" w:rsidRDefault="00B168C8" w:rsidP="00B168C8">
            <w:pPr>
              <w:spacing w:after="0" w:line="240" w:lineRule="auto"/>
              <w:jc w:val="right"/>
              <w:rPr>
                <w:rFonts w:ascii="Times New Roman" w:hAnsi="Times New Roman"/>
                <w:b/>
                <w:bCs/>
                <w:color w:val="000000"/>
                <w:sz w:val="18"/>
                <w:szCs w:val="18"/>
                <w:lang w:eastAsia="sk-SK"/>
              </w:rPr>
            </w:pPr>
            <w:r w:rsidRPr="00B168C8">
              <w:rPr>
                <w:rFonts w:ascii="Times New Roman" w:hAnsi="Times New Roman"/>
                <w:b/>
                <w:bCs/>
                <w:color w:val="000000"/>
                <w:sz w:val="18"/>
                <w:szCs w:val="18"/>
                <w:lang w:eastAsia="sk-SK"/>
              </w:rPr>
              <w:t>58 586 446</w:t>
            </w:r>
          </w:p>
        </w:tc>
        <w:tc>
          <w:tcPr>
            <w:tcW w:w="858" w:type="pct"/>
            <w:tcBorders>
              <w:top w:val="single" w:sz="8" w:space="0" w:color="000000"/>
              <w:left w:val="nil"/>
              <w:bottom w:val="single" w:sz="8" w:space="0" w:color="000000"/>
              <w:right w:val="nil"/>
            </w:tcBorders>
            <w:vAlign w:val="center"/>
            <w:hideMark/>
          </w:tcPr>
          <w:p w14:paraId="7D30A712" w14:textId="77777777" w:rsidR="00B168C8" w:rsidRPr="00B168C8" w:rsidRDefault="00B168C8" w:rsidP="00B168C8">
            <w:pPr>
              <w:spacing w:after="0" w:line="240" w:lineRule="auto"/>
              <w:jc w:val="right"/>
              <w:rPr>
                <w:rFonts w:ascii="Times New Roman" w:hAnsi="Times New Roman"/>
                <w:b/>
                <w:bCs/>
                <w:color w:val="000000"/>
                <w:sz w:val="18"/>
                <w:szCs w:val="18"/>
                <w:lang w:eastAsia="sk-SK"/>
              </w:rPr>
            </w:pPr>
            <w:r w:rsidRPr="00B168C8">
              <w:rPr>
                <w:rFonts w:ascii="Times New Roman" w:hAnsi="Times New Roman"/>
                <w:b/>
                <w:bCs/>
                <w:color w:val="000000"/>
                <w:sz w:val="18"/>
                <w:szCs w:val="18"/>
                <w:lang w:eastAsia="sk-SK"/>
              </w:rPr>
              <w:t>2 393 903</w:t>
            </w:r>
          </w:p>
        </w:tc>
      </w:tr>
      <w:tr w:rsidR="00B168C8" w:rsidRPr="00B168C8" w14:paraId="6F5820C2" w14:textId="77777777" w:rsidTr="0085799C">
        <w:trPr>
          <w:trHeight w:val="227"/>
          <w:jc w:val="center"/>
        </w:trPr>
        <w:tc>
          <w:tcPr>
            <w:tcW w:w="5000" w:type="pct"/>
            <w:gridSpan w:val="4"/>
            <w:tcBorders>
              <w:top w:val="single" w:sz="8" w:space="0" w:color="000000"/>
              <w:left w:val="nil"/>
              <w:bottom w:val="nil"/>
              <w:right w:val="nil"/>
            </w:tcBorders>
            <w:noWrap/>
            <w:vAlign w:val="center"/>
            <w:hideMark/>
          </w:tcPr>
          <w:p w14:paraId="11546FF7" w14:textId="77777777" w:rsidR="00B168C8" w:rsidRPr="00B168C8" w:rsidRDefault="00B168C8" w:rsidP="00B168C8">
            <w:pPr>
              <w:spacing w:after="0" w:line="240" w:lineRule="auto"/>
              <w:jc w:val="right"/>
              <w:rPr>
                <w:rFonts w:ascii="Times New Roman" w:hAnsi="Times New Roman"/>
                <w:color w:val="000000"/>
                <w:sz w:val="16"/>
                <w:szCs w:val="16"/>
                <w:lang w:eastAsia="sk-SK"/>
              </w:rPr>
            </w:pPr>
            <w:r w:rsidRPr="00B168C8">
              <w:rPr>
                <w:rFonts w:ascii="Times New Roman" w:hAnsi="Times New Roman"/>
                <w:color w:val="000000"/>
                <w:sz w:val="16"/>
                <w:szCs w:val="16"/>
                <w:lang w:eastAsia="sk-SK"/>
              </w:rPr>
              <w:t>Zdroj: MF SR, Centrálny konsolidačný systém</w:t>
            </w:r>
          </w:p>
        </w:tc>
      </w:tr>
    </w:tbl>
    <w:p w14:paraId="0898FFC1" w14:textId="15CC81C8" w:rsidR="69262B40" w:rsidRPr="0085799C" w:rsidRDefault="69262B40" w:rsidP="008143FA">
      <w:pPr>
        <w:pStyle w:val="Pismenka"/>
        <w:tabs>
          <w:tab w:val="clear" w:pos="426"/>
        </w:tabs>
        <w:spacing w:after="120"/>
        <w:ind w:left="0" w:firstLine="0"/>
        <w:rPr>
          <w:b w:val="0"/>
          <w:bCs w:val="0"/>
          <w:sz w:val="28"/>
          <w:szCs w:val="28"/>
        </w:rPr>
      </w:pPr>
    </w:p>
    <w:p w14:paraId="1A2652C1" w14:textId="53681BE7" w:rsidR="00BB53B0" w:rsidRPr="0085799C" w:rsidRDefault="00BB53B0" w:rsidP="0085799C">
      <w:pPr>
        <w:pStyle w:val="Nadpis4"/>
        <w:numPr>
          <w:ilvl w:val="0"/>
          <w:numId w:val="54"/>
        </w:numPr>
        <w:ind w:left="426" w:hanging="426"/>
      </w:pPr>
      <w:bookmarkStart w:id="8" w:name="_Stavby"/>
      <w:bookmarkEnd w:id="8"/>
      <w:r>
        <w:t>Stavby</w:t>
      </w:r>
    </w:p>
    <w:p w14:paraId="61F8694F" w14:textId="52ACF651" w:rsidR="361A6E7A" w:rsidRPr="0085799C" w:rsidRDefault="004A4049" w:rsidP="0085799C">
      <w:pPr>
        <w:spacing w:after="120" w:line="240" w:lineRule="auto"/>
        <w:jc w:val="both"/>
        <w:rPr>
          <w:rFonts w:ascii="Times New Roman" w:eastAsia="Calibri" w:hAnsi="Times New Roman"/>
        </w:rPr>
      </w:pPr>
      <w:r w:rsidRPr="0085799C">
        <w:rPr>
          <w:rFonts w:ascii="Times New Roman" w:eastAsia="Calibri" w:hAnsi="Times New Roman"/>
        </w:rPr>
        <w:t>Hodnota stavieb súhrnného celku k 31.</w:t>
      </w:r>
      <w:r w:rsidR="00867606">
        <w:rPr>
          <w:rFonts w:ascii="Times New Roman" w:eastAsia="Calibri" w:hAnsi="Times New Roman"/>
        </w:rPr>
        <w:t xml:space="preserve"> </w:t>
      </w:r>
      <w:r w:rsidRPr="0085799C">
        <w:rPr>
          <w:rFonts w:ascii="Times New Roman" w:eastAsia="Calibri" w:hAnsi="Times New Roman"/>
        </w:rPr>
        <w:t>12.</w:t>
      </w:r>
      <w:r w:rsidR="00867606">
        <w:rPr>
          <w:rFonts w:ascii="Times New Roman" w:eastAsia="Calibri" w:hAnsi="Times New Roman"/>
        </w:rPr>
        <w:t xml:space="preserve"> </w:t>
      </w:r>
      <w:r w:rsidRPr="0085799C">
        <w:rPr>
          <w:rFonts w:ascii="Times New Roman" w:eastAsia="Calibri" w:hAnsi="Times New Roman"/>
        </w:rPr>
        <w:t xml:space="preserve">2024 dosiahla </w:t>
      </w:r>
      <w:r w:rsidR="002E1C58" w:rsidRPr="0085799C">
        <w:rPr>
          <w:rFonts w:ascii="Times New Roman" w:eastAsia="Calibri" w:hAnsi="Times New Roman"/>
        </w:rPr>
        <w:t>33 949</w:t>
      </w:r>
      <w:r w:rsidR="00B168C8">
        <w:rPr>
          <w:rFonts w:ascii="Times New Roman" w:eastAsia="Calibri" w:hAnsi="Times New Roman"/>
        </w:rPr>
        <w:t> </w:t>
      </w:r>
      <w:r w:rsidR="002E1C58" w:rsidRPr="0085799C">
        <w:rPr>
          <w:rFonts w:ascii="Times New Roman" w:eastAsia="Calibri" w:hAnsi="Times New Roman"/>
        </w:rPr>
        <w:t>584</w:t>
      </w:r>
      <w:r w:rsidR="00B168C8">
        <w:rPr>
          <w:rFonts w:ascii="Times New Roman" w:eastAsia="Calibri" w:hAnsi="Times New Roman"/>
        </w:rPr>
        <w:t> </w:t>
      </w:r>
      <w:r w:rsidR="002E1C58" w:rsidRPr="0085799C">
        <w:rPr>
          <w:rFonts w:ascii="Times New Roman" w:eastAsia="Calibri" w:hAnsi="Times New Roman"/>
        </w:rPr>
        <w:t>tis.</w:t>
      </w:r>
      <w:r w:rsidR="00B168C8">
        <w:rPr>
          <w:rFonts w:ascii="Times New Roman" w:eastAsia="Calibri" w:hAnsi="Times New Roman"/>
        </w:rPr>
        <w:t> </w:t>
      </w:r>
      <w:r w:rsidR="002E1C58" w:rsidRPr="0085799C">
        <w:rPr>
          <w:rFonts w:ascii="Times New Roman" w:eastAsia="Calibri" w:hAnsi="Times New Roman"/>
        </w:rPr>
        <w:t>eur a zaznamenala medziročný prírastok o 1 083 452 tis. eur.</w:t>
      </w:r>
      <w:r w:rsidR="00BF30F3" w:rsidRPr="0085799C">
        <w:rPr>
          <w:rFonts w:ascii="Times New Roman" w:eastAsia="Calibri" w:hAnsi="Times New Roman"/>
        </w:rPr>
        <w:t xml:space="preserve"> Najvyššia hodnota stavieb bola vykázaná v rámci </w:t>
      </w:r>
      <w:r w:rsidR="361A6E7A" w:rsidRPr="0085799C">
        <w:rPr>
          <w:rFonts w:ascii="Times New Roman" w:eastAsia="Calibri" w:hAnsi="Times New Roman"/>
        </w:rPr>
        <w:t xml:space="preserve">ústrednej správe </w:t>
      </w:r>
      <w:r w:rsidR="00067C56" w:rsidRPr="0085799C">
        <w:rPr>
          <w:rFonts w:ascii="Times New Roman" w:eastAsia="Calibri" w:hAnsi="Times New Roman"/>
        </w:rPr>
        <w:t>v sume</w:t>
      </w:r>
      <w:r w:rsidR="361A6E7A" w:rsidRPr="0085799C">
        <w:rPr>
          <w:rFonts w:ascii="Times New Roman" w:eastAsia="Calibri" w:hAnsi="Times New Roman"/>
        </w:rPr>
        <w:t xml:space="preserve"> 19 907</w:t>
      </w:r>
      <w:r w:rsidR="00930775" w:rsidRPr="0085799C">
        <w:rPr>
          <w:rFonts w:ascii="Times New Roman" w:eastAsia="Calibri" w:hAnsi="Times New Roman"/>
        </w:rPr>
        <w:t> </w:t>
      </w:r>
      <w:r w:rsidR="361A6E7A" w:rsidRPr="0085799C">
        <w:rPr>
          <w:rFonts w:ascii="Times New Roman" w:eastAsia="Calibri" w:hAnsi="Times New Roman"/>
        </w:rPr>
        <w:t>43</w:t>
      </w:r>
      <w:r w:rsidR="00930775" w:rsidRPr="0085799C">
        <w:rPr>
          <w:rFonts w:ascii="Times New Roman" w:eastAsia="Calibri" w:hAnsi="Times New Roman"/>
        </w:rPr>
        <w:t>6 tis.</w:t>
      </w:r>
      <w:r w:rsidR="361A6E7A" w:rsidRPr="0085799C">
        <w:rPr>
          <w:rFonts w:ascii="Times New Roman" w:eastAsia="Calibri" w:hAnsi="Times New Roman"/>
        </w:rPr>
        <w:t xml:space="preserve"> eur a zaznamenala medziročne celkový prírastok 295</w:t>
      </w:r>
      <w:r w:rsidR="00930775" w:rsidRPr="0085799C">
        <w:rPr>
          <w:rFonts w:ascii="Times New Roman" w:eastAsia="Calibri" w:hAnsi="Times New Roman"/>
        </w:rPr>
        <w:t> </w:t>
      </w:r>
      <w:r w:rsidR="361A6E7A" w:rsidRPr="0085799C">
        <w:rPr>
          <w:rFonts w:ascii="Times New Roman" w:eastAsia="Calibri" w:hAnsi="Times New Roman"/>
        </w:rPr>
        <w:t>27</w:t>
      </w:r>
      <w:r w:rsidR="00930775" w:rsidRPr="0085799C">
        <w:rPr>
          <w:rFonts w:ascii="Times New Roman" w:eastAsia="Calibri" w:hAnsi="Times New Roman"/>
        </w:rPr>
        <w:t>2</w:t>
      </w:r>
      <w:r w:rsidR="00B168C8">
        <w:rPr>
          <w:rFonts w:ascii="Times New Roman" w:eastAsia="Calibri" w:hAnsi="Times New Roman"/>
        </w:rPr>
        <w:t> </w:t>
      </w:r>
      <w:r w:rsidR="00930775" w:rsidRPr="0085799C">
        <w:rPr>
          <w:rFonts w:ascii="Times New Roman" w:eastAsia="Calibri" w:hAnsi="Times New Roman"/>
        </w:rPr>
        <w:t>tis.</w:t>
      </w:r>
      <w:r w:rsidR="00B168C8">
        <w:rPr>
          <w:rFonts w:ascii="Times New Roman" w:eastAsia="Calibri" w:hAnsi="Times New Roman"/>
        </w:rPr>
        <w:t> </w:t>
      </w:r>
      <w:r w:rsidR="361A6E7A" w:rsidRPr="0085799C">
        <w:rPr>
          <w:rFonts w:ascii="Times New Roman" w:eastAsia="Calibri" w:hAnsi="Times New Roman"/>
        </w:rPr>
        <w:t>eur. Z</w:t>
      </w:r>
      <w:r w:rsidR="003030D4" w:rsidRPr="6B29E46C">
        <w:rPr>
          <w:rFonts w:ascii="Times New Roman" w:eastAsia="Calibri" w:hAnsi="Times New Roman"/>
        </w:rPr>
        <w:t> </w:t>
      </w:r>
      <w:r w:rsidR="361A6E7A" w:rsidRPr="0085799C">
        <w:rPr>
          <w:rFonts w:ascii="Times New Roman" w:eastAsia="Calibri" w:hAnsi="Times New Roman"/>
        </w:rPr>
        <w:t xml:space="preserve">celkovej hodnoty stavieb vykázala rozhodujúci podiel </w:t>
      </w:r>
      <w:r w:rsidR="361A6E7A" w:rsidRPr="0085799C">
        <w:rPr>
          <w:rFonts w:ascii="Times New Roman" w:eastAsia="Calibri" w:hAnsi="Times New Roman"/>
          <w:u w:val="single"/>
        </w:rPr>
        <w:t>Národná diaľničná spoločnosť, a.s.</w:t>
      </w:r>
      <w:r w:rsidR="361A6E7A" w:rsidRPr="0085799C">
        <w:rPr>
          <w:rFonts w:ascii="Times New Roman" w:eastAsia="Calibri" w:hAnsi="Times New Roman"/>
        </w:rPr>
        <w:t xml:space="preserve"> 7</w:t>
      </w:r>
      <w:r w:rsidR="00B168C8">
        <w:rPr>
          <w:rFonts w:ascii="Times New Roman" w:eastAsia="Calibri" w:hAnsi="Times New Roman"/>
        </w:rPr>
        <w:t> </w:t>
      </w:r>
      <w:r w:rsidR="361A6E7A" w:rsidRPr="0085799C">
        <w:rPr>
          <w:rFonts w:ascii="Times New Roman" w:eastAsia="Calibri" w:hAnsi="Times New Roman"/>
        </w:rPr>
        <w:t>529</w:t>
      </w:r>
      <w:r w:rsidR="00B168C8">
        <w:rPr>
          <w:rFonts w:ascii="Times New Roman" w:eastAsia="Calibri" w:hAnsi="Times New Roman"/>
        </w:rPr>
        <w:t> </w:t>
      </w:r>
      <w:r w:rsidR="361A6E7A" w:rsidRPr="0085799C">
        <w:rPr>
          <w:rFonts w:ascii="Times New Roman" w:eastAsia="Calibri" w:hAnsi="Times New Roman"/>
        </w:rPr>
        <w:t>936</w:t>
      </w:r>
      <w:r w:rsidR="00B168C8">
        <w:rPr>
          <w:rFonts w:ascii="Times New Roman" w:eastAsia="Calibri" w:hAnsi="Times New Roman"/>
        </w:rPr>
        <w:t> </w:t>
      </w:r>
      <w:r w:rsidR="00930775" w:rsidRPr="0085799C">
        <w:rPr>
          <w:rFonts w:ascii="Times New Roman" w:eastAsia="Calibri" w:hAnsi="Times New Roman"/>
        </w:rPr>
        <w:t>tis.</w:t>
      </w:r>
      <w:r w:rsidR="00B168C8">
        <w:rPr>
          <w:rFonts w:ascii="Times New Roman" w:eastAsia="Calibri" w:hAnsi="Times New Roman"/>
        </w:rPr>
        <w:t> </w:t>
      </w:r>
      <w:r w:rsidR="361A6E7A" w:rsidRPr="0085799C">
        <w:rPr>
          <w:rFonts w:ascii="Times New Roman" w:eastAsia="Calibri" w:hAnsi="Times New Roman"/>
        </w:rPr>
        <w:t xml:space="preserve">eur, </w:t>
      </w:r>
      <w:r w:rsidR="361A6E7A" w:rsidRPr="0085799C">
        <w:rPr>
          <w:rFonts w:ascii="Times New Roman" w:eastAsia="Calibri" w:hAnsi="Times New Roman"/>
          <w:u w:val="single"/>
        </w:rPr>
        <w:t>Železnice Slovenskej republiky</w:t>
      </w:r>
      <w:r w:rsidR="361A6E7A" w:rsidRPr="0085799C">
        <w:rPr>
          <w:rFonts w:ascii="Times New Roman" w:eastAsia="Calibri" w:hAnsi="Times New Roman"/>
        </w:rPr>
        <w:t xml:space="preserve"> 2</w:t>
      </w:r>
      <w:r w:rsidR="00B168C8">
        <w:rPr>
          <w:rFonts w:ascii="Times New Roman" w:eastAsia="Calibri" w:hAnsi="Times New Roman"/>
        </w:rPr>
        <w:t> </w:t>
      </w:r>
      <w:r w:rsidR="361A6E7A" w:rsidRPr="0085799C">
        <w:rPr>
          <w:rFonts w:ascii="Times New Roman" w:eastAsia="Calibri" w:hAnsi="Times New Roman"/>
        </w:rPr>
        <w:t>542</w:t>
      </w:r>
      <w:r w:rsidR="00B168C8">
        <w:rPr>
          <w:rFonts w:ascii="Times New Roman" w:eastAsia="Calibri" w:hAnsi="Times New Roman"/>
        </w:rPr>
        <w:t> </w:t>
      </w:r>
      <w:r w:rsidR="361A6E7A" w:rsidRPr="0085799C">
        <w:rPr>
          <w:rFonts w:ascii="Times New Roman" w:eastAsia="Calibri" w:hAnsi="Times New Roman"/>
        </w:rPr>
        <w:t>391</w:t>
      </w:r>
      <w:r w:rsidR="00B168C8">
        <w:rPr>
          <w:rFonts w:ascii="Times New Roman" w:eastAsia="Calibri" w:hAnsi="Times New Roman"/>
        </w:rPr>
        <w:t> </w:t>
      </w:r>
      <w:r w:rsidR="009B294D" w:rsidRPr="0085799C">
        <w:rPr>
          <w:rFonts w:ascii="Times New Roman" w:eastAsia="Calibri" w:hAnsi="Times New Roman"/>
        </w:rPr>
        <w:t>tis.</w:t>
      </w:r>
      <w:r w:rsidR="00B168C8" w:rsidRPr="00B168C8">
        <w:rPr>
          <w:rFonts w:ascii="Times New Roman" w:eastAsia="Calibri" w:hAnsi="Times New Roman"/>
        </w:rPr>
        <w:t xml:space="preserve"> </w:t>
      </w:r>
      <w:r w:rsidR="00B168C8">
        <w:rPr>
          <w:rFonts w:ascii="Times New Roman" w:eastAsia="Calibri" w:hAnsi="Times New Roman"/>
        </w:rPr>
        <w:t> </w:t>
      </w:r>
      <w:r w:rsidR="361A6E7A" w:rsidRPr="0085799C">
        <w:rPr>
          <w:rFonts w:ascii="Times New Roman" w:eastAsia="Calibri" w:hAnsi="Times New Roman"/>
        </w:rPr>
        <w:t xml:space="preserve">eur, </w:t>
      </w:r>
      <w:r w:rsidR="361A6E7A" w:rsidRPr="0085799C">
        <w:rPr>
          <w:rFonts w:ascii="Times New Roman" w:eastAsia="Calibri" w:hAnsi="Times New Roman"/>
          <w:u w:val="single"/>
        </w:rPr>
        <w:t>Ministerstvo dopravy SR</w:t>
      </w:r>
      <w:r w:rsidR="361A6E7A" w:rsidRPr="0085799C">
        <w:rPr>
          <w:rFonts w:ascii="Times New Roman" w:eastAsia="Calibri" w:hAnsi="Times New Roman"/>
        </w:rPr>
        <w:t xml:space="preserve"> 2</w:t>
      </w:r>
      <w:r w:rsidR="00B168C8">
        <w:rPr>
          <w:rFonts w:ascii="Times New Roman" w:eastAsia="Calibri" w:hAnsi="Times New Roman"/>
        </w:rPr>
        <w:t> </w:t>
      </w:r>
      <w:r w:rsidR="361A6E7A" w:rsidRPr="0085799C">
        <w:rPr>
          <w:rFonts w:ascii="Times New Roman" w:eastAsia="Calibri" w:hAnsi="Times New Roman"/>
        </w:rPr>
        <w:t>013</w:t>
      </w:r>
      <w:r w:rsidR="00B168C8">
        <w:rPr>
          <w:rFonts w:ascii="Times New Roman" w:eastAsia="Calibri" w:hAnsi="Times New Roman"/>
        </w:rPr>
        <w:t> </w:t>
      </w:r>
      <w:r w:rsidR="361A6E7A" w:rsidRPr="0085799C">
        <w:rPr>
          <w:rFonts w:ascii="Times New Roman" w:eastAsia="Calibri" w:hAnsi="Times New Roman"/>
        </w:rPr>
        <w:t>294</w:t>
      </w:r>
      <w:r w:rsidR="00B168C8">
        <w:rPr>
          <w:rFonts w:ascii="Times New Roman" w:eastAsia="Calibri" w:hAnsi="Times New Roman"/>
        </w:rPr>
        <w:t> </w:t>
      </w:r>
      <w:r w:rsidR="009B294D" w:rsidRPr="0085799C">
        <w:rPr>
          <w:rFonts w:ascii="Times New Roman" w:eastAsia="Calibri" w:hAnsi="Times New Roman"/>
        </w:rPr>
        <w:t>tis.</w:t>
      </w:r>
      <w:r w:rsidR="00B168C8">
        <w:rPr>
          <w:rFonts w:ascii="Times New Roman" w:eastAsia="Calibri" w:hAnsi="Times New Roman"/>
        </w:rPr>
        <w:t> </w:t>
      </w:r>
      <w:r w:rsidR="361A6E7A" w:rsidRPr="0085799C">
        <w:rPr>
          <w:rFonts w:ascii="Times New Roman" w:eastAsia="Calibri" w:hAnsi="Times New Roman"/>
        </w:rPr>
        <w:t xml:space="preserve">eur, </w:t>
      </w:r>
      <w:r w:rsidR="361A6E7A" w:rsidRPr="0085799C">
        <w:rPr>
          <w:rFonts w:ascii="Times New Roman" w:eastAsia="Calibri" w:hAnsi="Times New Roman"/>
          <w:u w:val="single"/>
        </w:rPr>
        <w:t>Slovenská správa ciest</w:t>
      </w:r>
      <w:r w:rsidR="361A6E7A" w:rsidRPr="0085799C">
        <w:rPr>
          <w:rFonts w:ascii="Times New Roman" w:eastAsia="Calibri" w:hAnsi="Times New Roman"/>
        </w:rPr>
        <w:t xml:space="preserve"> 1 680 260 </w:t>
      </w:r>
      <w:r w:rsidR="009B294D" w:rsidRPr="0085799C">
        <w:rPr>
          <w:rFonts w:ascii="Times New Roman" w:eastAsia="Calibri" w:hAnsi="Times New Roman"/>
        </w:rPr>
        <w:t>tis.</w:t>
      </w:r>
      <w:r w:rsidR="361A6E7A" w:rsidRPr="0085799C">
        <w:rPr>
          <w:rFonts w:ascii="Times New Roman" w:eastAsia="Calibri" w:hAnsi="Times New Roman"/>
        </w:rPr>
        <w:t xml:space="preserve"> eur, Slovenský vodohospodársky podnik, </w:t>
      </w:r>
      <w:proofErr w:type="spellStart"/>
      <w:r w:rsidR="361A6E7A" w:rsidRPr="0085799C">
        <w:rPr>
          <w:rFonts w:ascii="Times New Roman" w:eastAsia="Calibri" w:hAnsi="Times New Roman"/>
        </w:rPr>
        <w:t>š.p</w:t>
      </w:r>
      <w:proofErr w:type="spellEnd"/>
      <w:r w:rsidR="361A6E7A" w:rsidRPr="0085799C">
        <w:rPr>
          <w:rFonts w:ascii="Times New Roman" w:eastAsia="Calibri" w:hAnsi="Times New Roman"/>
        </w:rPr>
        <w:t>. 1</w:t>
      </w:r>
      <w:r w:rsidR="00B168C8">
        <w:rPr>
          <w:rFonts w:ascii="Times New Roman" w:eastAsia="Calibri" w:hAnsi="Times New Roman"/>
        </w:rPr>
        <w:t> </w:t>
      </w:r>
      <w:r w:rsidR="361A6E7A" w:rsidRPr="0085799C">
        <w:rPr>
          <w:rFonts w:ascii="Times New Roman" w:eastAsia="Calibri" w:hAnsi="Times New Roman"/>
        </w:rPr>
        <w:t>020</w:t>
      </w:r>
      <w:r w:rsidR="00B168C8">
        <w:rPr>
          <w:rFonts w:ascii="Times New Roman" w:eastAsia="Calibri" w:hAnsi="Times New Roman"/>
        </w:rPr>
        <w:t> </w:t>
      </w:r>
      <w:r w:rsidR="361A6E7A" w:rsidRPr="0085799C">
        <w:rPr>
          <w:rFonts w:ascii="Times New Roman" w:eastAsia="Calibri" w:hAnsi="Times New Roman"/>
        </w:rPr>
        <w:t>026</w:t>
      </w:r>
      <w:r w:rsidR="00B168C8">
        <w:rPr>
          <w:rFonts w:ascii="Times New Roman" w:eastAsia="Calibri" w:hAnsi="Times New Roman"/>
        </w:rPr>
        <w:t> </w:t>
      </w:r>
      <w:r w:rsidR="009B294D" w:rsidRPr="0085799C">
        <w:rPr>
          <w:rFonts w:ascii="Times New Roman" w:eastAsia="Calibri" w:hAnsi="Times New Roman"/>
        </w:rPr>
        <w:t>tis.</w:t>
      </w:r>
      <w:r w:rsidR="00B168C8" w:rsidRPr="00B168C8">
        <w:rPr>
          <w:rFonts w:ascii="Times New Roman" w:eastAsia="Calibri" w:hAnsi="Times New Roman"/>
        </w:rPr>
        <w:t xml:space="preserve"> </w:t>
      </w:r>
      <w:r w:rsidR="00B168C8">
        <w:rPr>
          <w:rFonts w:ascii="Times New Roman" w:eastAsia="Calibri" w:hAnsi="Times New Roman"/>
        </w:rPr>
        <w:t> </w:t>
      </w:r>
      <w:r w:rsidR="361A6E7A" w:rsidRPr="0085799C">
        <w:rPr>
          <w:rFonts w:ascii="Times New Roman" w:eastAsia="Calibri" w:hAnsi="Times New Roman"/>
        </w:rPr>
        <w:t xml:space="preserve">eur, </w:t>
      </w:r>
      <w:r w:rsidR="361A6E7A" w:rsidRPr="0085799C">
        <w:rPr>
          <w:rFonts w:ascii="Times New Roman" w:eastAsia="Calibri" w:hAnsi="Times New Roman"/>
          <w:u w:val="single"/>
        </w:rPr>
        <w:t xml:space="preserve">Vodohospodárska výstavba, </w:t>
      </w:r>
      <w:proofErr w:type="spellStart"/>
      <w:r w:rsidR="361A6E7A" w:rsidRPr="0085799C">
        <w:rPr>
          <w:rFonts w:ascii="Times New Roman" w:eastAsia="Calibri" w:hAnsi="Times New Roman"/>
          <w:u w:val="single"/>
        </w:rPr>
        <w:t>š.p</w:t>
      </w:r>
      <w:proofErr w:type="spellEnd"/>
      <w:r w:rsidR="361A6E7A" w:rsidRPr="0085799C">
        <w:rPr>
          <w:rFonts w:ascii="Times New Roman" w:eastAsia="Calibri" w:hAnsi="Times New Roman"/>
          <w:u w:val="single"/>
        </w:rPr>
        <w:t>.</w:t>
      </w:r>
      <w:r w:rsidR="361A6E7A" w:rsidRPr="0085799C">
        <w:rPr>
          <w:rFonts w:ascii="Times New Roman" w:eastAsia="Calibri" w:hAnsi="Times New Roman"/>
        </w:rPr>
        <w:t xml:space="preserve"> 830 819 </w:t>
      </w:r>
      <w:r w:rsidR="009B294D" w:rsidRPr="0085799C">
        <w:rPr>
          <w:rFonts w:ascii="Times New Roman" w:eastAsia="Calibri" w:hAnsi="Times New Roman"/>
        </w:rPr>
        <w:t>tis.</w:t>
      </w:r>
      <w:r w:rsidR="361A6E7A" w:rsidRPr="0085799C">
        <w:rPr>
          <w:rFonts w:ascii="Times New Roman" w:eastAsia="Calibri" w:hAnsi="Times New Roman"/>
        </w:rPr>
        <w:t xml:space="preserve"> eur a </w:t>
      </w:r>
      <w:r w:rsidR="361A6E7A" w:rsidRPr="0085799C">
        <w:rPr>
          <w:rFonts w:ascii="Times New Roman" w:eastAsia="Calibri" w:hAnsi="Times New Roman"/>
          <w:u w:val="single"/>
        </w:rPr>
        <w:t>Slovenská elektrizačná prenosová sústava, a.s.</w:t>
      </w:r>
      <w:r w:rsidR="361A6E7A" w:rsidRPr="0085799C">
        <w:rPr>
          <w:rFonts w:ascii="Times New Roman" w:eastAsia="Calibri" w:hAnsi="Times New Roman"/>
          <w:b/>
          <w:i/>
        </w:rPr>
        <w:t xml:space="preserve"> </w:t>
      </w:r>
      <w:r w:rsidR="361A6E7A" w:rsidRPr="0085799C">
        <w:rPr>
          <w:rFonts w:ascii="Times New Roman" w:eastAsia="Calibri" w:hAnsi="Times New Roman"/>
        </w:rPr>
        <w:t>535</w:t>
      </w:r>
      <w:r w:rsidR="003030D4" w:rsidRPr="6B29E46C">
        <w:rPr>
          <w:rFonts w:ascii="Times New Roman" w:eastAsia="Calibri" w:hAnsi="Times New Roman"/>
        </w:rPr>
        <w:t> </w:t>
      </w:r>
      <w:r w:rsidR="361A6E7A" w:rsidRPr="0085799C">
        <w:rPr>
          <w:rFonts w:ascii="Times New Roman" w:eastAsia="Calibri" w:hAnsi="Times New Roman"/>
        </w:rPr>
        <w:t>00</w:t>
      </w:r>
      <w:r w:rsidR="00E55785" w:rsidRPr="0085799C">
        <w:rPr>
          <w:rFonts w:ascii="Times New Roman" w:eastAsia="Calibri" w:hAnsi="Times New Roman"/>
        </w:rPr>
        <w:t>1</w:t>
      </w:r>
      <w:r w:rsidR="361A6E7A" w:rsidRPr="0085799C">
        <w:rPr>
          <w:rFonts w:ascii="Times New Roman" w:eastAsia="Calibri" w:hAnsi="Times New Roman"/>
        </w:rPr>
        <w:t xml:space="preserve"> </w:t>
      </w:r>
      <w:r w:rsidR="00E55785" w:rsidRPr="0085799C">
        <w:rPr>
          <w:rFonts w:ascii="Times New Roman" w:eastAsia="Calibri" w:hAnsi="Times New Roman"/>
        </w:rPr>
        <w:t>tis.</w:t>
      </w:r>
      <w:r w:rsidR="361A6E7A" w:rsidRPr="0085799C">
        <w:rPr>
          <w:rFonts w:ascii="Times New Roman" w:eastAsia="Calibri" w:hAnsi="Times New Roman"/>
        </w:rPr>
        <w:t xml:space="preserve"> eur.</w:t>
      </w:r>
      <w:r w:rsidR="0037444E" w:rsidRPr="0085799C">
        <w:rPr>
          <w:rFonts w:ascii="Times New Roman" w:eastAsia="Calibri" w:hAnsi="Times New Roman"/>
        </w:rPr>
        <w:t xml:space="preserve"> Druhu najvyššiu hodnotu vykázal</w:t>
      </w:r>
      <w:r w:rsidR="006D417C" w:rsidRPr="0085799C">
        <w:rPr>
          <w:rFonts w:ascii="Times New Roman" w:eastAsia="Calibri" w:hAnsi="Times New Roman"/>
        </w:rPr>
        <w:t xml:space="preserve">i obce v sume </w:t>
      </w:r>
      <w:r w:rsidR="00F2749A" w:rsidRPr="0085799C">
        <w:rPr>
          <w:rFonts w:ascii="Times New Roman" w:eastAsia="Calibri" w:hAnsi="Times New Roman"/>
        </w:rPr>
        <w:t>10 382</w:t>
      </w:r>
      <w:r w:rsidR="00B168C8">
        <w:rPr>
          <w:rFonts w:ascii="Times New Roman" w:eastAsia="Calibri" w:hAnsi="Times New Roman"/>
        </w:rPr>
        <w:t> </w:t>
      </w:r>
      <w:r w:rsidR="00F2749A" w:rsidRPr="0085799C">
        <w:rPr>
          <w:rFonts w:ascii="Times New Roman" w:eastAsia="Calibri" w:hAnsi="Times New Roman"/>
        </w:rPr>
        <w:t>506</w:t>
      </w:r>
      <w:r w:rsidR="00B168C8">
        <w:rPr>
          <w:rFonts w:ascii="Times New Roman" w:eastAsia="Calibri" w:hAnsi="Times New Roman"/>
        </w:rPr>
        <w:t> </w:t>
      </w:r>
      <w:r w:rsidR="00F2749A" w:rsidRPr="0085799C">
        <w:rPr>
          <w:rFonts w:ascii="Times New Roman" w:eastAsia="Calibri" w:hAnsi="Times New Roman"/>
        </w:rPr>
        <w:t>tis</w:t>
      </w:r>
      <w:r w:rsidR="00B168C8">
        <w:rPr>
          <w:rFonts w:ascii="Times New Roman" w:eastAsia="Calibri" w:hAnsi="Times New Roman"/>
        </w:rPr>
        <w:t>. </w:t>
      </w:r>
      <w:r w:rsidR="00F2749A" w:rsidRPr="0085799C">
        <w:rPr>
          <w:rFonts w:ascii="Times New Roman" w:eastAsia="Calibri" w:hAnsi="Times New Roman"/>
        </w:rPr>
        <w:t>eur.</w:t>
      </w:r>
    </w:p>
    <w:p w14:paraId="1C24CCFE" w14:textId="6EE75958" w:rsidR="361A6E7A" w:rsidRPr="0085799C" w:rsidRDefault="361A6E7A" w:rsidP="0085799C">
      <w:pPr>
        <w:spacing w:after="120" w:line="240" w:lineRule="auto"/>
        <w:jc w:val="both"/>
        <w:rPr>
          <w:rFonts w:ascii="Times New Roman" w:eastAsia="Calibri" w:hAnsi="Times New Roman"/>
        </w:rPr>
      </w:pPr>
      <w:r w:rsidRPr="0085799C">
        <w:rPr>
          <w:rFonts w:ascii="Times New Roman" w:eastAsia="Calibri" w:hAnsi="Times New Roman"/>
          <w:u w:val="single"/>
        </w:rPr>
        <w:t>Kapitola Ministerstva dopravy SR</w:t>
      </w:r>
      <w:r w:rsidRPr="0085799C">
        <w:rPr>
          <w:rFonts w:ascii="Times New Roman" w:eastAsia="Calibri" w:hAnsi="Times New Roman"/>
        </w:rPr>
        <w:t xml:space="preserve"> vykázala na položke stavby hodnotu 14 083 501 </w:t>
      </w:r>
      <w:r w:rsidR="00E55785" w:rsidRPr="0085799C">
        <w:rPr>
          <w:rFonts w:ascii="Times New Roman" w:eastAsia="Calibri" w:hAnsi="Times New Roman"/>
        </w:rPr>
        <w:t>tis.</w:t>
      </w:r>
      <w:r w:rsidRPr="0085799C">
        <w:rPr>
          <w:rFonts w:ascii="Times New Roman" w:eastAsia="Calibri" w:hAnsi="Times New Roman"/>
        </w:rPr>
        <w:t xml:space="preserve"> eur. Najvyšší prírastok v rámci kapitoly zaznamenala Slovenská správa ciest o 258</w:t>
      </w:r>
      <w:r w:rsidR="00E55785" w:rsidRPr="0085799C">
        <w:rPr>
          <w:rFonts w:ascii="Times New Roman" w:eastAsia="Calibri" w:hAnsi="Times New Roman"/>
        </w:rPr>
        <w:t> </w:t>
      </w:r>
      <w:r w:rsidRPr="0085799C">
        <w:rPr>
          <w:rFonts w:ascii="Times New Roman" w:eastAsia="Calibri" w:hAnsi="Times New Roman"/>
        </w:rPr>
        <w:t>89</w:t>
      </w:r>
      <w:r w:rsidR="00E55785" w:rsidRPr="0085799C">
        <w:rPr>
          <w:rFonts w:ascii="Times New Roman" w:eastAsia="Calibri" w:hAnsi="Times New Roman"/>
        </w:rPr>
        <w:t>4 tis.</w:t>
      </w:r>
      <w:r w:rsidRPr="0085799C">
        <w:rPr>
          <w:rFonts w:ascii="Times New Roman" w:eastAsia="Calibri" w:hAnsi="Times New Roman"/>
        </w:rPr>
        <w:t xml:space="preserve"> eur, Železnice Slovenskej republiky o 104 981 </w:t>
      </w:r>
      <w:r w:rsidR="00E55785" w:rsidRPr="0085799C">
        <w:rPr>
          <w:rFonts w:ascii="Times New Roman" w:eastAsia="Calibri" w:hAnsi="Times New Roman"/>
        </w:rPr>
        <w:t>tis.</w:t>
      </w:r>
      <w:r w:rsidRPr="0085799C">
        <w:rPr>
          <w:rFonts w:ascii="Times New Roman" w:eastAsia="Calibri" w:hAnsi="Times New Roman"/>
        </w:rPr>
        <w:t xml:space="preserve"> eur a Železničná spoločnosť Cargo Slovakia a.s. o 8 354 </w:t>
      </w:r>
      <w:r w:rsidR="00E55785" w:rsidRPr="0085799C">
        <w:rPr>
          <w:rFonts w:ascii="Times New Roman" w:eastAsia="Calibri" w:hAnsi="Times New Roman"/>
        </w:rPr>
        <w:t>tis.</w:t>
      </w:r>
      <w:r w:rsidRPr="0085799C">
        <w:rPr>
          <w:rFonts w:ascii="Times New Roman" w:eastAsia="Arial" w:hAnsi="Times New Roman"/>
        </w:rPr>
        <w:t xml:space="preserve"> eur </w:t>
      </w:r>
      <w:r w:rsidRPr="0085799C">
        <w:rPr>
          <w:rFonts w:ascii="Times New Roman" w:eastAsia="Calibri" w:hAnsi="Times New Roman"/>
        </w:rPr>
        <w:t>a najvyšší úbytok na účte stavby vykázala Národná diaľničná spoločnosť, a.s. až o 102</w:t>
      </w:r>
      <w:r w:rsidR="00E55785" w:rsidRPr="0085799C">
        <w:rPr>
          <w:rFonts w:ascii="Times New Roman" w:eastAsia="Calibri" w:hAnsi="Times New Roman"/>
        </w:rPr>
        <w:t> </w:t>
      </w:r>
      <w:r w:rsidRPr="0085799C">
        <w:rPr>
          <w:rFonts w:ascii="Times New Roman" w:eastAsia="Calibri" w:hAnsi="Times New Roman"/>
        </w:rPr>
        <w:t>17</w:t>
      </w:r>
      <w:r w:rsidR="00E55785" w:rsidRPr="0085799C">
        <w:rPr>
          <w:rFonts w:ascii="Times New Roman" w:eastAsia="Calibri" w:hAnsi="Times New Roman"/>
        </w:rPr>
        <w:t>4 tis.</w:t>
      </w:r>
      <w:r w:rsidRPr="0085799C">
        <w:rPr>
          <w:rFonts w:ascii="Times New Roman" w:eastAsia="Calibri" w:hAnsi="Times New Roman"/>
        </w:rPr>
        <w:t xml:space="preserve"> eur. </w:t>
      </w:r>
    </w:p>
    <w:p w14:paraId="5FC696D7" w14:textId="7F3D381E" w:rsidR="361A6E7A" w:rsidRPr="0085799C" w:rsidRDefault="361A6E7A" w:rsidP="0085799C">
      <w:pPr>
        <w:spacing w:after="120" w:line="240" w:lineRule="auto"/>
        <w:jc w:val="both"/>
        <w:rPr>
          <w:rFonts w:ascii="Times New Roman" w:eastAsia="Calibri" w:hAnsi="Times New Roman"/>
        </w:rPr>
      </w:pPr>
      <w:bookmarkStart w:id="9" w:name="_Hlk212447583"/>
      <w:r w:rsidRPr="0085799C">
        <w:rPr>
          <w:rFonts w:ascii="Times New Roman" w:eastAsia="Calibri" w:hAnsi="Times New Roman"/>
          <w:u w:val="single"/>
        </w:rPr>
        <w:t>Národná diaľničná spoločnosť, a.s.</w:t>
      </w:r>
      <w:r w:rsidRPr="0085799C">
        <w:rPr>
          <w:rFonts w:ascii="Times New Roman" w:eastAsia="Calibri" w:hAnsi="Times New Roman"/>
        </w:rPr>
        <w:t xml:space="preserve"> vykázala na položke stavby úseky diaľnic a rýchlostných ciest </w:t>
      </w:r>
      <w:r w:rsidR="00A73EE2">
        <w:rPr>
          <w:rFonts w:ascii="Times New Roman" w:eastAsia="Calibri" w:hAnsi="Times New Roman"/>
        </w:rPr>
        <w:t xml:space="preserve">v </w:t>
      </w:r>
      <w:r w:rsidRPr="0085799C">
        <w:rPr>
          <w:rFonts w:ascii="Times New Roman" w:eastAsia="Calibri" w:hAnsi="Times New Roman"/>
        </w:rPr>
        <w:t>hodnot</w:t>
      </w:r>
      <w:r w:rsidR="00A73EE2">
        <w:rPr>
          <w:rFonts w:ascii="Times New Roman" w:eastAsia="Calibri" w:hAnsi="Times New Roman"/>
        </w:rPr>
        <w:t>e</w:t>
      </w:r>
      <w:r w:rsidRPr="0085799C">
        <w:rPr>
          <w:rFonts w:ascii="Times New Roman" w:eastAsia="Calibri" w:hAnsi="Times New Roman"/>
        </w:rPr>
        <w:t xml:space="preserve"> 7 529 936 </w:t>
      </w:r>
      <w:r w:rsidR="00E55785" w:rsidRPr="0085799C">
        <w:rPr>
          <w:rFonts w:ascii="Times New Roman" w:eastAsia="Calibri" w:hAnsi="Times New Roman"/>
        </w:rPr>
        <w:t>tis.</w:t>
      </w:r>
      <w:r w:rsidRPr="0085799C">
        <w:rPr>
          <w:rFonts w:ascii="Times New Roman" w:eastAsia="Calibri" w:hAnsi="Times New Roman"/>
        </w:rPr>
        <w:t xml:space="preserve"> eur. </w:t>
      </w:r>
      <w:bookmarkEnd w:id="9"/>
      <w:r w:rsidRPr="0085799C">
        <w:rPr>
          <w:rFonts w:ascii="Times New Roman" w:eastAsia="Calibri" w:hAnsi="Times New Roman"/>
        </w:rPr>
        <w:t xml:space="preserve">Medzi najvýznamnejšie stavby v netto hodnote patria úsek D1 Hričovské </w:t>
      </w:r>
      <w:r w:rsidRPr="0085799C">
        <w:rPr>
          <w:rFonts w:ascii="Times New Roman" w:eastAsia="Calibri" w:hAnsi="Times New Roman"/>
        </w:rPr>
        <w:lastRenderedPageBreak/>
        <w:t xml:space="preserve">Podhradie - Lietavská Lúčka, D1 Prešov západ - Prešov juh, D3 Svrčinovec - Skalité, D1 Mierová - Senecká VSP a D3 Čadca Bukov - Svrčinovec. Medziročný rozdiel stavieb predstavujú prírastky v celkovej hodnote 46 361 </w:t>
      </w:r>
      <w:r w:rsidR="00110285" w:rsidRPr="0085799C">
        <w:rPr>
          <w:rFonts w:ascii="Times New Roman" w:eastAsia="Calibri" w:hAnsi="Times New Roman"/>
        </w:rPr>
        <w:t>tis.</w:t>
      </w:r>
      <w:r w:rsidRPr="0085799C">
        <w:rPr>
          <w:rFonts w:ascii="Times New Roman" w:eastAsia="Calibri" w:hAnsi="Times New Roman"/>
        </w:rPr>
        <w:t xml:space="preserve"> eur - úsek D1, D2, D3, R1, R2, R3, R4, R5, YT.</w:t>
      </w:r>
    </w:p>
    <w:p w14:paraId="58037B8B" w14:textId="7D6E6531" w:rsidR="361A6E7A" w:rsidRPr="0085799C" w:rsidRDefault="361A6E7A" w:rsidP="0085799C">
      <w:pPr>
        <w:spacing w:after="120" w:line="240" w:lineRule="auto"/>
        <w:jc w:val="both"/>
        <w:rPr>
          <w:rFonts w:ascii="Times New Roman" w:eastAsia="Calibri" w:hAnsi="Times New Roman"/>
        </w:rPr>
      </w:pPr>
      <w:r w:rsidRPr="0085799C">
        <w:rPr>
          <w:rFonts w:ascii="Times New Roman" w:eastAsia="Calibri" w:hAnsi="Times New Roman"/>
          <w:u w:val="single"/>
        </w:rPr>
        <w:t>Železnice Slovenskej republiky</w:t>
      </w:r>
      <w:r w:rsidRPr="0085799C">
        <w:rPr>
          <w:rFonts w:ascii="Times New Roman" w:eastAsia="Calibri" w:hAnsi="Times New Roman"/>
          <w:b/>
          <w:i/>
        </w:rPr>
        <w:t xml:space="preserve"> </w:t>
      </w:r>
      <w:r w:rsidRPr="0085799C">
        <w:rPr>
          <w:rFonts w:ascii="Times New Roman" w:eastAsia="Calibri" w:hAnsi="Times New Roman"/>
        </w:rPr>
        <w:t xml:space="preserve">vykázali hodnotu stavieb vo výške 2 542 391 </w:t>
      </w:r>
      <w:r w:rsidR="00FB4E79" w:rsidRPr="0085799C">
        <w:rPr>
          <w:rFonts w:ascii="Times New Roman" w:eastAsia="Calibri" w:hAnsi="Times New Roman"/>
        </w:rPr>
        <w:t>tis.</w:t>
      </w:r>
      <w:r w:rsidRPr="0085799C">
        <w:rPr>
          <w:rFonts w:ascii="Times New Roman" w:eastAsia="Calibri" w:hAnsi="Times New Roman"/>
        </w:rPr>
        <w:t xml:space="preserve"> eur a celkový prírastok o hodnotu 104 981 </w:t>
      </w:r>
      <w:r w:rsidR="00FB4E79" w:rsidRPr="0085799C">
        <w:rPr>
          <w:rFonts w:ascii="Times New Roman" w:eastAsia="Calibri" w:hAnsi="Times New Roman"/>
        </w:rPr>
        <w:t>tis.</w:t>
      </w:r>
      <w:r w:rsidRPr="0085799C">
        <w:rPr>
          <w:rFonts w:ascii="Times New Roman" w:eastAsia="Calibri" w:hAnsi="Times New Roman"/>
        </w:rPr>
        <w:t xml:space="preserve"> eur. Celkovú hodnotu stavieb tvoril najmä majetok železničnej infraštruktúry (budovy, železničný zvršok, železničný spodok, mosty, tunely a iné) v modernizovanom úseku ŽST Trnovec nad Váhom a ZŠT Tvrdošovce, v modernizovanom úseku Púchov – Žilina, v</w:t>
      </w:r>
      <w:r w:rsidR="003030D4" w:rsidRPr="67D61268">
        <w:rPr>
          <w:rFonts w:ascii="Times New Roman" w:eastAsia="Calibri" w:hAnsi="Times New Roman"/>
        </w:rPr>
        <w:t> </w:t>
      </w:r>
      <w:r w:rsidRPr="0085799C">
        <w:rPr>
          <w:rFonts w:ascii="Times New Roman" w:eastAsia="Calibri" w:hAnsi="Times New Roman"/>
        </w:rPr>
        <w:t>modernizovanom úseku Trnava - Nové Mesto nad Váhom, v modernizovanom úseku Bratislava Rača – Trnava. Medziročný rozdiel tvorili prírastky v hodnote 217</w:t>
      </w:r>
      <w:r w:rsidR="00FB4E79" w:rsidRPr="0085799C">
        <w:rPr>
          <w:rFonts w:ascii="Times New Roman" w:eastAsia="Calibri" w:hAnsi="Times New Roman"/>
        </w:rPr>
        <w:t> </w:t>
      </w:r>
      <w:r w:rsidRPr="0085799C">
        <w:rPr>
          <w:rFonts w:ascii="Times New Roman" w:eastAsia="Calibri" w:hAnsi="Times New Roman"/>
        </w:rPr>
        <w:t>97</w:t>
      </w:r>
      <w:r w:rsidR="00FB4E79" w:rsidRPr="0085799C">
        <w:rPr>
          <w:rFonts w:ascii="Times New Roman" w:eastAsia="Calibri" w:hAnsi="Times New Roman"/>
        </w:rPr>
        <w:t>6 tis.</w:t>
      </w:r>
      <w:r w:rsidRPr="0085799C">
        <w:rPr>
          <w:rFonts w:ascii="Times New Roman" w:eastAsia="Calibri" w:hAnsi="Times New Roman"/>
        </w:rPr>
        <w:t xml:space="preserve"> eur a predstavujú hodnoty zaradené do majetku, najmä Modernizácia trate Púchov – Žilina</w:t>
      </w:r>
      <w:r w:rsidR="00410E2C" w:rsidRPr="0085799C">
        <w:rPr>
          <w:rFonts w:ascii="Times New Roman" w:eastAsia="Calibri" w:hAnsi="Times New Roman"/>
        </w:rPr>
        <w:t>,</w:t>
      </w:r>
      <w:r w:rsidRPr="0085799C">
        <w:rPr>
          <w:rFonts w:ascii="Times New Roman" w:eastAsia="Calibri" w:hAnsi="Times New Roman"/>
        </w:rPr>
        <w:t xml:space="preserve">   mosty, miestne kabelizácie, tunel, </w:t>
      </w:r>
      <w:proofErr w:type="spellStart"/>
      <w:r w:rsidRPr="0085799C">
        <w:rPr>
          <w:rFonts w:ascii="Times New Roman" w:eastAsia="Calibri" w:hAnsi="Times New Roman"/>
        </w:rPr>
        <w:t>zárubné</w:t>
      </w:r>
      <w:proofErr w:type="spellEnd"/>
      <w:r w:rsidRPr="0085799C">
        <w:rPr>
          <w:rFonts w:ascii="Times New Roman" w:eastAsia="Calibri" w:hAnsi="Times New Roman"/>
        </w:rPr>
        <w:t xml:space="preserve"> múry, Dostavby zriaďovacej stanice Žilina Teplička (Uzol Žilina)</w:t>
      </w:r>
      <w:r w:rsidR="00410E2C" w:rsidRPr="0085799C">
        <w:rPr>
          <w:rFonts w:ascii="Times New Roman" w:eastAsia="Calibri" w:hAnsi="Times New Roman"/>
        </w:rPr>
        <w:t>,</w:t>
      </w:r>
      <w:r w:rsidRPr="0085799C">
        <w:rPr>
          <w:rFonts w:ascii="Times New Roman" w:eastAsia="Calibri" w:hAnsi="Times New Roman"/>
        </w:rPr>
        <w:t xml:space="preserve"> mosty, podchody, priepusty, miestne kabelizácie) a Komplexnej rekonštrukcie koľaje č. 1 a 2 na trati ŽST Trnovec nad Váhom a ŽST Tvrdošovce</w:t>
      </w:r>
      <w:r w:rsidR="00410E2C" w:rsidRPr="0085799C">
        <w:rPr>
          <w:rFonts w:ascii="Times New Roman" w:eastAsia="Calibri" w:hAnsi="Times New Roman"/>
        </w:rPr>
        <w:t xml:space="preserve">, </w:t>
      </w:r>
      <w:r w:rsidRPr="0085799C">
        <w:rPr>
          <w:rFonts w:ascii="Times New Roman" w:eastAsia="Calibri" w:hAnsi="Times New Roman"/>
        </w:rPr>
        <w:t>železničný spodok, mosty, vonkajšie osvetlenie. Úbytky v celkovej hodnote 12</w:t>
      </w:r>
      <w:r w:rsidR="00410E2C" w:rsidRPr="0085799C">
        <w:rPr>
          <w:rFonts w:ascii="Times New Roman" w:eastAsia="Calibri" w:hAnsi="Times New Roman"/>
        </w:rPr>
        <w:t> </w:t>
      </w:r>
      <w:r w:rsidRPr="0085799C">
        <w:rPr>
          <w:rFonts w:ascii="Times New Roman" w:eastAsia="Calibri" w:hAnsi="Times New Roman"/>
        </w:rPr>
        <w:t>13</w:t>
      </w:r>
      <w:r w:rsidR="00410E2C" w:rsidRPr="0085799C">
        <w:rPr>
          <w:rFonts w:ascii="Times New Roman" w:eastAsia="Calibri" w:hAnsi="Times New Roman"/>
        </w:rPr>
        <w:t>8 tis.</w:t>
      </w:r>
      <w:r w:rsidRPr="0085799C">
        <w:rPr>
          <w:rFonts w:ascii="Times New Roman" w:eastAsia="Calibri" w:hAnsi="Times New Roman"/>
        </w:rPr>
        <w:t xml:space="preserve"> eur predstavujú vyradenie majetku, najmä vyradenie majetku darom, a to konkrétne Lávky pre peších Púchov - Nosice. Prevažná časť majetkov bola vyradená likvidáciou, ako napr. Most v oblasti Kútov štátna hranica. Medziročná zmena oprávok k stavbám v hodnote 100</w:t>
      </w:r>
      <w:r w:rsidR="00134698" w:rsidRPr="0085799C">
        <w:rPr>
          <w:rFonts w:ascii="Times New Roman" w:eastAsia="Calibri" w:hAnsi="Times New Roman"/>
        </w:rPr>
        <w:t> </w:t>
      </w:r>
      <w:r w:rsidRPr="0085799C">
        <w:rPr>
          <w:rFonts w:ascii="Times New Roman" w:eastAsia="Calibri" w:hAnsi="Times New Roman"/>
        </w:rPr>
        <w:t>49</w:t>
      </w:r>
      <w:r w:rsidR="00134698" w:rsidRPr="0085799C">
        <w:rPr>
          <w:rFonts w:ascii="Times New Roman" w:eastAsia="Calibri" w:hAnsi="Times New Roman"/>
        </w:rPr>
        <w:t>6 tis.</w:t>
      </w:r>
      <w:r w:rsidRPr="0085799C">
        <w:rPr>
          <w:rFonts w:ascii="Times New Roman" w:eastAsia="Calibri" w:hAnsi="Times New Roman"/>
        </w:rPr>
        <w:t xml:space="preserve"> eur predstavuje zaúčtovanie opotrebenia majetku (odpisov), vyradenie majetkov a úpravu majetku o úroky z úverov za rok 2024. </w:t>
      </w:r>
    </w:p>
    <w:p w14:paraId="719B49BD" w14:textId="68A40961" w:rsidR="361A6E7A" w:rsidRPr="0085799C" w:rsidRDefault="361A6E7A" w:rsidP="0085799C">
      <w:pPr>
        <w:spacing w:after="120" w:line="240" w:lineRule="auto"/>
        <w:jc w:val="both"/>
        <w:rPr>
          <w:rFonts w:ascii="Times New Roman" w:eastAsia="Calibri" w:hAnsi="Times New Roman"/>
        </w:rPr>
      </w:pPr>
      <w:r w:rsidRPr="0085799C">
        <w:rPr>
          <w:rFonts w:ascii="Times New Roman" w:eastAsia="Calibri" w:hAnsi="Times New Roman"/>
          <w:u w:val="single"/>
        </w:rPr>
        <w:t>Ministerstvo dopravy SR</w:t>
      </w:r>
      <w:r w:rsidRPr="0085799C">
        <w:rPr>
          <w:rFonts w:ascii="Times New Roman" w:eastAsia="Calibri" w:hAnsi="Times New Roman"/>
        </w:rPr>
        <w:t xml:space="preserve"> vykázalo hodnotu stavieb vo výške 2 013 294 </w:t>
      </w:r>
      <w:r w:rsidR="005E476E" w:rsidRPr="0085799C">
        <w:rPr>
          <w:rFonts w:ascii="Times New Roman" w:eastAsia="Calibri" w:hAnsi="Times New Roman"/>
        </w:rPr>
        <w:t>tis.</w:t>
      </w:r>
      <w:r w:rsidRPr="0085799C">
        <w:rPr>
          <w:rFonts w:ascii="Times New Roman" w:eastAsia="Calibri" w:hAnsi="Times New Roman"/>
        </w:rPr>
        <w:t xml:space="preserve"> eur a medziročný pokles o</w:t>
      </w:r>
      <w:r w:rsidR="003030D4" w:rsidRPr="793AD165">
        <w:rPr>
          <w:rFonts w:ascii="Times New Roman" w:eastAsia="Calibri" w:hAnsi="Times New Roman"/>
        </w:rPr>
        <w:t> </w:t>
      </w:r>
      <w:r w:rsidRPr="0085799C">
        <w:rPr>
          <w:rFonts w:ascii="Times New Roman" w:eastAsia="Calibri" w:hAnsi="Times New Roman"/>
        </w:rPr>
        <w:t>66</w:t>
      </w:r>
      <w:r w:rsidR="005E476E" w:rsidRPr="0085799C">
        <w:rPr>
          <w:rFonts w:ascii="Times New Roman" w:eastAsia="Calibri" w:hAnsi="Times New Roman"/>
        </w:rPr>
        <w:t> </w:t>
      </w:r>
      <w:r w:rsidRPr="0085799C">
        <w:rPr>
          <w:rFonts w:ascii="Times New Roman" w:eastAsia="Calibri" w:hAnsi="Times New Roman"/>
        </w:rPr>
        <w:t>64</w:t>
      </w:r>
      <w:r w:rsidR="005E476E" w:rsidRPr="0085799C">
        <w:rPr>
          <w:rFonts w:ascii="Times New Roman" w:eastAsia="Calibri" w:hAnsi="Times New Roman"/>
        </w:rPr>
        <w:t>2 tis.</w:t>
      </w:r>
      <w:r w:rsidRPr="0085799C">
        <w:rPr>
          <w:rFonts w:ascii="Times New Roman" w:eastAsia="Calibri" w:hAnsi="Times New Roman"/>
        </w:rPr>
        <w:t xml:space="preserve"> eur. V celkovej netto hodnote sú vykázané budovy Ministerstva dopravy SR v Bratislave s ich príslušenstvom</w:t>
      </w:r>
      <w:r w:rsidR="00557CC3">
        <w:rPr>
          <w:rFonts w:ascii="Times New Roman" w:eastAsia="Calibri" w:hAnsi="Times New Roman"/>
        </w:rPr>
        <w:t>, avšak aj</w:t>
      </w:r>
      <w:r w:rsidRPr="0085799C">
        <w:rPr>
          <w:rFonts w:ascii="Times New Roman" w:eastAsia="Calibri" w:hAnsi="Times New Roman"/>
        </w:rPr>
        <w:t xml:space="preserve"> komunikác</w:t>
      </w:r>
      <w:r w:rsidR="00557CC3">
        <w:rPr>
          <w:rFonts w:ascii="Times New Roman" w:eastAsia="Calibri" w:hAnsi="Times New Roman"/>
        </w:rPr>
        <w:t>ie</w:t>
      </w:r>
      <w:r w:rsidRPr="0085799C">
        <w:rPr>
          <w:rFonts w:ascii="Times New Roman" w:eastAsia="Calibri" w:hAnsi="Times New Roman"/>
        </w:rPr>
        <w:t xml:space="preserve"> s rýchlostnými cestami vrátane ich vybavenosti (preložky vedení, káblové vedenia, dažďové kanalizácie, oporné múry, protihlukové steny, mosty, križovatky a pod.). </w:t>
      </w:r>
    </w:p>
    <w:p w14:paraId="2BD524FB" w14:textId="18014D50" w:rsidR="361A6E7A" w:rsidRPr="0085799C" w:rsidRDefault="361A6E7A" w:rsidP="0085799C">
      <w:pPr>
        <w:spacing w:after="120" w:line="240" w:lineRule="auto"/>
        <w:jc w:val="both"/>
        <w:rPr>
          <w:rFonts w:ascii="Times New Roman" w:eastAsia="Calibri" w:hAnsi="Times New Roman"/>
        </w:rPr>
      </w:pPr>
      <w:r w:rsidRPr="0085799C">
        <w:rPr>
          <w:rFonts w:ascii="Times New Roman" w:eastAsia="Calibri" w:hAnsi="Times New Roman"/>
          <w:u w:val="single"/>
        </w:rPr>
        <w:t>Slovenská správa ciest</w:t>
      </w:r>
      <w:r w:rsidRPr="0085799C">
        <w:rPr>
          <w:rFonts w:ascii="Times New Roman" w:eastAsia="Calibri" w:hAnsi="Times New Roman"/>
        </w:rPr>
        <w:t xml:space="preserve"> vykázala na účte stavby sumu 1 680 260 </w:t>
      </w:r>
      <w:r w:rsidR="00514791" w:rsidRPr="0085799C">
        <w:rPr>
          <w:rFonts w:ascii="Times New Roman" w:eastAsia="Calibri" w:hAnsi="Times New Roman"/>
        </w:rPr>
        <w:t>tis.</w:t>
      </w:r>
      <w:r w:rsidRPr="0085799C">
        <w:rPr>
          <w:rFonts w:ascii="Times New Roman" w:eastAsia="Calibri" w:hAnsi="Times New Roman"/>
        </w:rPr>
        <w:t xml:space="preserve"> eur s medziročným nárastom v</w:t>
      </w:r>
      <w:r w:rsidR="003030D4" w:rsidRPr="793AD165">
        <w:rPr>
          <w:rFonts w:ascii="Times New Roman" w:eastAsia="Calibri" w:hAnsi="Times New Roman"/>
        </w:rPr>
        <w:t> </w:t>
      </w:r>
      <w:r w:rsidRPr="0085799C">
        <w:rPr>
          <w:rFonts w:ascii="Times New Roman" w:eastAsia="Calibri" w:hAnsi="Times New Roman"/>
        </w:rPr>
        <w:t>hodnote 258 89</w:t>
      </w:r>
      <w:r w:rsidR="009337B6" w:rsidRPr="0085799C">
        <w:rPr>
          <w:rFonts w:ascii="Times New Roman" w:eastAsia="Calibri" w:hAnsi="Times New Roman"/>
        </w:rPr>
        <w:t>4</w:t>
      </w:r>
      <w:r w:rsidRPr="0085799C">
        <w:rPr>
          <w:rFonts w:ascii="Times New Roman" w:eastAsia="Calibri" w:hAnsi="Times New Roman"/>
        </w:rPr>
        <w:t xml:space="preserve"> </w:t>
      </w:r>
      <w:r w:rsidR="009337B6" w:rsidRPr="0085799C">
        <w:rPr>
          <w:rFonts w:ascii="Times New Roman" w:eastAsia="Calibri" w:hAnsi="Times New Roman"/>
        </w:rPr>
        <w:t>tis.</w:t>
      </w:r>
      <w:r w:rsidRPr="0085799C">
        <w:rPr>
          <w:rFonts w:ascii="Times New Roman" w:eastAsia="Calibri" w:hAnsi="Times New Roman"/>
        </w:rPr>
        <w:t xml:space="preserve"> eur. Významné prírastky predstavuje preložka cesty I/68 v Plavnici, realizácia II. etapy 1. úseku obchvatu I/66 v Brezne, realizácia obchvatu na ceste I/75 v Galante, ďalej zvyšovanie pasívnej bezpečnosti na cestách I. triedy v Žilinskom samosprávnom kraji a Trenčianskom samosprávnom kraji v rámci II. etapy I/18 Ratkovo a na cestách I. triedy v Banskobystrickom samosprávnom kraji v rámci II. etapy (I/66). Významným úbytkom bol v roku 2024 prevod administratívnej budovy na </w:t>
      </w:r>
      <w:proofErr w:type="spellStart"/>
      <w:r w:rsidRPr="0085799C">
        <w:rPr>
          <w:rFonts w:ascii="Times New Roman" w:eastAsia="Calibri" w:hAnsi="Times New Roman"/>
        </w:rPr>
        <w:t>Miletičovej</w:t>
      </w:r>
      <w:proofErr w:type="spellEnd"/>
      <w:r w:rsidRPr="0085799C">
        <w:rPr>
          <w:rFonts w:ascii="Times New Roman" w:eastAsia="Calibri" w:hAnsi="Times New Roman"/>
        </w:rPr>
        <w:t xml:space="preserve"> ulici na Ministerstvo dopravy a bezodplatný prevod cesty I/18, hranica okresov Čadca/Žilina a Žilina/Martin na Žilinský samosprávny kraj. </w:t>
      </w:r>
      <w:r w:rsidR="00A73EE2">
        <w:rPr>
          <w:rFonts w:ascii="Times New Roman" w:eastAsia="Calibri" w:hAnsi="Times New Roman"/>
        </w:rPr>
        <w:t>K</w:t>
      </w:r>
      <w:r w:rsidRPr="0085799C">
        <w:rPr>
          <w:rFonts w:ascii="Times New Roman" w:eastAsia="Calibri" w:hAnsi="Times New Roman"/>
        </w:rPr>
        <w:t xml:space="preserve"> </w:t>
      </w:r>
      <w:r w:rsidR="00F418A2">
        <w:rPr>
          <w:rFonts w:ascii="Times New Roman" w:eastAsia="Calibri" w:hAnsi="Times New Roman"/>
        </w:rPr>
        <w:t>31.</w:t>
      </w:r>
      <w:r w:rsidR="00A73EE2">
        <w:rPr>
          <w:rFonts w:ascii="Times New Roman" w:eastAsia="Calibri" w:hAnsi="Times New Roman"/>
        </w:rPr>
        <w:t xml:space="preserve"> </w:t>
      </w:r>
      <w:r w:rsidR="00F418A2">
        <w:rPr>
          <w:rFonts w:ascii="Times New Roman" w:eastAsia="Calibri" w:hAnsi="Times New Roman"/>
        </w:rPr>
        <w:t>12.</w:t>
      </w:r>
      <w:r w:rsidR="00A73EE2">
        <w:rPr>
          <w:rFonts w:ascii="Times New Roman" w:eastAsia="Calibri" w:hAnsi="Times New Roman"/>
        </w:rPr>
        <w:t xml:space="preserve"> </w:t>
      </w:r>
      <w:r w:rsidR="00F418A2">
        <w:rPr>
          <w:rFonts w:ascii="Times New Roman" w:eastAsia="Calibri" w:hAnsi="Times New Roman"/>
        </w:rPr>
        <w:t>2024</w:t>
      </w:r>
      <w:r w:rsidRPr="0085799C">
        <w:rPr>
          <w:rFonts w:ascii="Times New Roman" w:eastAsia="Calibri" w:hAnsi="Times New Roman"/>
        </w:rPr>
        <w:t xml:space="preserve"> bol zaradený do používania </w:t>
      </w:r>
      <w:r w:rsidR="00A73EE2">
        <w:rPr>
          <w:rFonts w:ascii="Times New Roman" w:eastAsia="Calibri" w:hAnsi="Times New Roman"/>
        </w:rPr>
        <w:t xml:space="preserve">aj </w:t>
      </w:r>
      <w:r w:rsidRPr="0085799C">
        <w:rPr>
          <w:rFonts w:ascii="Times New Roman" w:eastAsia="Calibri" w:hAnsi="Times New Roman"/>
        </w:rPr>
        <w:t>dlhodobý hmotný majetok, ktorý spĺňal podmienky na zaradenie do používania  v minulých účtovných obdobiach v sume 204</w:t>
      </w:r>
      <w:r w:rsidR="007C4F92" w:rsidRPr="0085799C">
        <w:rPr>
          <w:rFonts w:ascii="Times New Roman" w:eastAsia="Calibri" w:hAnsi="Times New Roman"/>
        </w:rPr>
        <w:t> </w:t>
      </w:r>
      <w:r w:rsidRPr="0085799C">
        <w:rPr>
          <w:rFonts w:ascii="Times New Roman" w:eastAsia="Calibri" w:hAnsi="Times New Roman"/>
        </w:rPr>
        <w:t>15</w:t>
      </w:r>
      <w:r w:rsidR="007C4F92" w:rsidRPr="0085799C">
        <w:rPr>
          <w:rFonts w:ascii="Times New Roman" w:eastAsia="Calibri" w:hAnsi="Times New Roman"/>
        </w:rPr>
        <w:t>9 tis.</w:t>
      </w:r>
      <w:r w:rsidRPr="0085799C">
        <w:rPr>
          <w:rFonts w:ascii="Times New Roman" w:eastAsia="Calibri" w:hAnsi="Times New Roman"/>
        </w:rPr>
        <w:t xml:space="preserve"> eur</w:t>
      </w:r>
      <w:r w:rsidR="00A73EE2">
        <w:rPr>
          <w:rFonts w:ascii="Times New Roman" w:eastAsia="Calibri" w:hAnsi="Times New Roman"/>
        </w:rPr>
        <w:t>, pričom boli zároveň vykázané</w:t>
      </w:r>
      <w:r w:rsidRPr="0085799C">
        <w:rPr>
          <w:rFonts w:ascii="Times New Roman" w:eastAsia="Calibri" w:hAnsi="Times New Roman"/>
        </w:rPr>
        <w:t xml:space="preserve"> oprávky </w:t>
      </w:r>
      <w:r w:rsidR="00A73EE2">
        <w:rPr>
          <w:rFonts w:ascii="Times New Roman" w:eastAsia="Calibri" w:hAnsi="Times New Roman"/>
        </w:rPr>
        <w:t xml:space="preserve">s týmto majetkom </w:t>
      </w:r>
      <w:r w:rsidRPr="0085799C">
        <w:rPr>
          <w:rFonts w:ascii="Times New Roman" w:eastAsia="Calibri" w:hAnsi="Times New Roman"/>
        </w:rPr>
        <w:t>v sume 8</w:t>
      </w:r>
      <w:r w:rsidR="00B168C8">
        <w:rPr>
          <w:rFonts w:ascii="Times New Roman" w:eastAsia="Calibri" w:hAnsi="Times New Roman"/>
        </w:rPr>
        <w:t> </w:t>
      </w:r>
      <w:r w:rsidRPr="0085799C">
        <w:rPr>
          <w:rFonts w:ascii="Times New Roman" w:eastAsia="Calibri" w:hAnsi="Times New Roman"/>
        </w:rPr>
        <w:t>966</w:t>
      </w:r>
      <w:r w:rsidR="00B168C8">
        <w:rPr>
          <w:rFonts w:ascii="Times New Roman" w:eastAsia="Calibri" w:hAnsi="Times New Roman"/>
        </w:rPr>
        <w:t> </w:t>
      </w:r>
      <w:r w:rsidR="00900268" w:rsidRPr="0085799C">
        <w:rPr>
          <w:rFonts w:ascii="Times New Roman" w:eastAsia="Calibri" w:hAnsi="Times New Roman"/>
        </w:rPr>
        <w:t>tis.</w:t>
      </w:r>
      <w:r w:rsidR="00B168C8">
        <w:rPr>
          <w:rFonts w:ascii="Times New Roman" w:eastAsia="Calibri" w:hAnsi="Times New Roman"/>
        </w:rPr>
        <w:t> </w:t>
      </w:r>
      <w:r w:rsidRPr="0085799C">
        <w:rPr>
          <w:rFonts w:ascii="Times New Roman" w:eastAsia="Calibri" w:hAnsi="Times New Roman"/>
        </w:rPr>
        <w:t>eur.</w:t>
      </w:r>
    </w:p>
    <w:p w14:paraId="0CEC3289" w14:textId="5E34CF05" w:rsidR="361A6E7A" w:rsidRPr="0085799C" w:rsidRDefault="361A6E7A" w:rsidP="0085799C">
      <w:pPr>
        <w:spacing w:after="120" w:line="240" w:lineRule="auto"/>
        <w:jc w:val="both"/>
        <w:rPr>
          <w:rFonts w:ascii="Times New Roman" w:eastAsia="Calibri" w:hAnsi="Times New Roman"/>
        </w:rPr>
      </w:pPr>
      <w:r w:rsidRPr="0085799C">
        <w:rPr>
          <w:rFonts w:ascii="Times New Roman" w:eastAsia="Calibri" w:hAnsi="Times New Roman"/>
        </w:rPr>
        <w:t xml:space="preserve">Na hodnote stavieb sa významne podieľala tiež </w:t>
      </w:r>
      <w:r w:rsidRPr="0085799C">
        <w:rPr>
          <w:rFonts w:ascii="Times New Roman" w:eastAsia="Calibri" w:hAnsi="Times New Roman"/>
          <w:u w:val="single"/>
        </w:rPr>
        <w:t>kapitola Ministerstva životného prostredia SR</w:t>
      </w:r>
      <w:r w:rsidRPr="0085799C">
        <w:rPr>
          <w:rFonts w:ascii="Times New Roman" w:eastAsia="Calibri" w:hAnsi="Times New Roman"/>
        </w:rPr>
        <w:t xml:space="preserve">, ktorá vykázala 1 929 723 </w:t>
      </w:r>
      <w:r w:rsidR="00990410" w:rsidRPr="0085799C">
        <w:rPr>
          <w:rFonts w:ascii="Times New Roman" w:eastAsia="Calibri" w:hAnsi="Times New Roman"/>
        </w:rPr>
        <w:t>tis.</w:t>
      </w:r>
      <w:r w:rsidRPr="0085799C">
        <w:rPr>
          <w:rFonts w:ascii="Times New Roman" w:eastAsia="Calibri" w:hAnsi="Times New Roman"/>
        </w:rPr>
        <w:t xml:space="preserve"> eur a oproti roku 2023 došlo k poklesu o 18 960 </w:t>
      </w:r>
      <w:r w:rsidR="005F312A" w:rsidRPr="0085799C">
        <w:rPr>
          <w:rFonts w:ascii="Times New Roman" w:eastAsia="Calibri" w:hAnsi="Times New Roman"/>
        </w:rPr>
        <w:t>tis.</w:t>
      </w:r>
      <w:r w:rsidRPr="0085799C">
        <w:rPr>
          <w:rFonts w:ascii="Times New Roman" w:eastAsia="Calibri" w:hAnsi="Times New Roman"/>
        </w:rPr>
        <w:t xml:space="preserve"> eur.</w:t>
      </w:r>
      <w:r w:rsidRPr="0085799C">
        <w:rPr>
          <w:rFonts w:ascii="Times New Roman" w:eastAsia="Aptos Narrow" w:hAnsi="Times New Roman"/>
          <w:color w:val="70AD47"/>
        </w:rPr>
        <w:t xml:space="preserve"> </w:t>
      </w:r>
      <w:r w:rsidRPr="0085799C">
        <w:rPr>
          <w:rFonts w:ascii="Times New Roman" w:eastAsia="Calibri" w:hAnsi="Times New Roman"/>
        </w:rPr>
        <w:t xml:space="preserve">V rámci nej najvyššiu sumu vykázal </w:t>
      </w:r>
      <w:r w:rsidRPr="0085799C">
        <w:rPr>
          <w:rFonts w:ascii="Times New Roman" w:eastAsia="Calibri" w:hAnsi="Times New Roman"/>
          <w:u w:val="single"/>
        </w:rPr>
        <w:t xml:space="preserve">Slovenský vodohospodársky podnik, </w:t>
      </w:r>
      <w:proofErr w:type="spellStart"/>
      <w:r w:rsidRPr="0085799C">
        <w:rPr>
          <w:rFonts w:ascii="Times New Roman" w:eastAsia="Calibri" w:hAnsi="Times New Roman"/>
          <w:u w:val="single"/>
        </w:rPr>
        <w:t>š.p</w:t>
      </w:r>
      <w:proofErr w:type="spellEnd"/>
      <w:r w:rsidRPr="0085799C">
        <w:rPr>
          <w:rFonts w:ascii="Times New Roman" w:eastAsia="Calibri" w:hAnsi="Times New Roman"/>
          <w:u w:val="single"/>
        </w:rPr>
        <w:t>.</w:t>
      </w:r>
      <w:r w:rsidRPr="0085799C">
        <w:rPr>
          <w:rFonts w:ascii="Times New Roman" w:eastAsia="Calibri" w:hAnsi="Times New Roman"/>
        </w:rPr>
        <w:t xml:space="preserve"> v sume 1 020 026 </w:t>
      </w:r>
      <w:r w:rsidR="00844DE1" w:rsidRPr="0085799C">
        <w:rPr>
          <w:rFonts w:ascii="Times New Roman" w:eastAsia="Calibri" w:hAnsi="Times New Roman"/>
        </w:rPr>
        <w:t>tis.</w:t>
      </w:r>
      <w:r w:rsidRPr="0085799C">
        <w:rPr>
          <w:rFonts w:ascii="Times New Roman" w:eastAsia="Calibri" w:hAnsi="Times New Roman"/>
        </w:rPr>
        <w:t xml:space="preserve"> eur, ide o stavebné objekty Protipovodňovej ochrany Banská Bystrica, 1. a 2. úsek, Protipovodňovej ochrany Malý Dunaj, </w:t>
      </w:r>
      <w:proofErr w:type="spellStart"/>
      <w:r w:rsidRPr="0085799C">
        <w:rPr>
          <w:rFonts w:ascii="Times New Roman" w:eastAsia="Calibri" w:hAnsi="Times New Roman"/>
        </w:rPr>
        <w:t>Klátovské</w:t>
      </w:r>
      <w:proofErr w:type="spellEnd"/>
      <w:r w:rsidRPr="0085799C">
        <w:rPr>
          <w:rFonts w:ascii="Times New Roman" w:eastAsia="Calibri" w:hAnsi="Times New Roman"/>
        </w:rPr>
        <w:t xml:space="preserve"> rameno, Protipovodňovej ochrany Prešov, úprava potoka Košecké Podhradie a Polder Čechy. </w:t>
      </w:r>
      <w:r w:rsidRPr="0085799C">
        <w:rPr>
          <w:rFonts w:ascii="Times New Roman" w:eastAsia="Calibri" w:hAnsi="Times New Roman"/>
          <w:u w:val="single"/>
        </w:rPr>
        <w:t xml:space="preserve">Vodohospodárska výstavba, </w:t>
      </w:r>
      <w:proofErr w:type="spellStart"/>
      <w:r w:rsidRPr="0085799C">
        <w:rPr>
          <w:rFonts w:ascii="Times New Roman" w:eastAsia="Calibri" w:hAnsi="Times New Roman"/>
          <w:u w:val="single"/>
        </w:rPr>
        <w:t>š.p</w:t>
      </w:r>
      <w:proofErr w:type="spellEnd"/>
      <w:r w:rsidRPr="0085799C">
        <w:rPr>
          <w:rFonts w:ascii="Times New Roman" w:eastAsia="Calibri" w:hAnsi="Times New Roman"/>
          <w:u w:val="single"/>
        </w:rPr>
        <w:t>.</w:t>
      </w:r>
      <w:r w:rsidRPr="0085799C">
        <w:rPr>
          <w:rFonts w:ascii="Times New Roman" w:eastAsia="Calibri" w:hAnsi="Times New Roman"/>
        </w:rPr>
        <w:t xml:space="preserve"> vykázala hodnotu stavieb 830 819 </w:t>
      </w:r>
      <w:r w:rsidR="00844DE1" w:rsidRPr="0085799C">
        <w:rPr>
          <w:rFonts w:ascii="Times New Roman" w:eastAsia="Calibri" w:hAnsi="Times New Roman"/>
        </w:rPr>
        <w:t>tis.</w:t>
      </w:r>
      <w:r w:rsidRPr="0085799C">
        <w:rPr>
          <w:rFonts w:ascii="Times New Roman" w:eastAsia="Calibri" w:hAnsi="Times New Roman"/>
        </w:rPr>
        <w:t xml:space="preserve"> eur, pričom na účte vykazuje najmä stavebné objekty vodného diela Gabčíkovo, vodného diela Žilina a ostatné administratívne budovy a objekty. V priebehu roka 2024 Vodohospodárska výstavba, š. p. zaradila </w:t>
      </w:r>
      <w:r w:rsidR="00844DE1" w:rsidRPr="0085799C">
        <w:rPr>
          <w:rFonts w:ascii="Times New Roman" w:eastAsia="Calibri" w:hAnsi="Times New Roman"/>
        </w:rPr>
        <w:t xml:space="preserve">medzi </w:t>
      </w:r>
      <w:r w:rsidRPr="0085799C">
        <w:rPr>
          <w:rFonts w:ascii="Times New Roman" w:eastAsia="Calibri" w:hAnsi="Times New Roman"/>
        </w:rPr>
        <w:t>stavby administratívn</w:t>
      </w:r>
      <w:r w:rsidR="00844DE1" w:rsidRPr="0085799C">
        <w:rPr>
          <w:rFonts w:ascii="Times New Roman" w:eastAsia="Calibri" w:hAnsi="Times New Roman"/>
        </w:rPr>
        <w:t>u</w:t>
      </w:r>
      <w:r w:rsidRPr="0085799C">
        <w:rPr>
          <w:rFonts w:ascii="Times New Roman" w:eastAsia="Calibri" w:hAnsi="Times New Roman"/>
        </w:rPr>
        <w:t xml:space="preserve"> budov</w:t>
      </w:r>
      <w:r w:rsidR="00844DE1" w:rsidRPr="0085799C">
        <w:rPr>
          <w:rFonts w:ascii="Times New Roman" w:eastAsia="Calibri" w:hAnsi="Times New Roman"/>
        </w:rPr>
        <w:t>u</w:t>
      </w:r>
      <w:r w:rsidRPr="0085799C">
        <w:rPr>
          <w:rFonts w:ascii="Times New Roman" w:eastAsia="Calibri" w:hAnsi="Times New Roman"/>
        </w:rPr>
        <w:t xml:space="preserve"> Modra a stavebné objekty vodného diela Gabčíkovo (rekonštrukcia odlučovača ropných látok).</w:t>
      </w:r>
    </w:p>
    <w:p w14:paraId="5215AB1D" w14:textId="30F2F79D" w:rsidR="00647542" w:rsidRPr="00907622" w:rsidRDefault="00647542" w:rsidP="00647542">
      <w:pPr>
        <w:spacing w:after="120" w:line="240" w:lineRule="auto"/>
        <w:jc w:val="both"/>
        <w:rPr>
          <w:rFonts w:ascii="Times New Roman" w:hAnsi="Times New Roman"/>
          <w:szCs w:val="22"/>
          <w:lang w:eastAsia="sk-SK"/>
        </w:rPr>
      </w:pPr>
      <w:r w:rsidRPr="00907622">
        <w:rPr>
          <w:rFonts w:ascii="Times New Roman" w:hAnsi="Times New Roman"/>
          <w:szCs w:val="22"/>
          <w:lang w:eastAsia="sk-SK"/>
        </w:rPr>
        <w:t>Obce a ich organizácie majú vo vlastníctve stavby v hodnote 10 </w:t>
      </w:r>
      <w:r w:rsidR="00B86BF8">
        <w:rPr>
          <w:rFonts w:ascii="Times New Roman" w:hAnsi="Times New Roman"/>
          <w:szCs w:val="22"/>
          <w:lang w:eastAsia="sk-SK"/>
        </w:rPr>
        <w:t>382 506</w:t>
      </w:r>
      <w:r w:rsidRPr="00907622">
        <w:rPr>
          <w:rFonts w:ascii="Times New Roman" w:hAnsi="Times New Roman"/>
          <w:szCs w:val="22"/>
          <w:lang w:eastAsia="sk-SK"/>
        </w:rPr>
        <w:t> tis. eur, vyššie územné celky 2 </w:t>
      </w:r>
      <w:r w:rsidR="00461C64">
        <w:rPr>
          <w:rFonts w:ascii="Times New Roman" w:hAnsi="Times New Roman"/>
          <w:szCs w:val="22"/>
          <w:lang w:eastAsia="sk-SK"/>
        </w:rPr>
        <w:t>440 385</w:t>
      </w:r>
      <w:r w:rsidRPr="00907622">
        <w:rPr>
          <w:rFonts w:ascii="Times New Roman" w:hAnsi="Times New Roman"/>
          <w:szCs w:val="22"/>
          <w:lang w:eastAsia="sk-SK"/>
        </w:rPr>
        <w:t> tis. e</w:t>
      </w:r>
      <w:r w:rsidRPr="001D7967">
        <w:rPr>
          <w:rFonts w:ascii="Times New Roman" w:hAnsi="Times New Roman"/>
          <w:szCs w:val="22"/>
          <w:lang w:eastAsia="sk-SK"/>
        </w:rPr>
        <w:t>ur a </w:t>
      </w:r>
      <w:r w:rsidRPr="00E31BD6">
        <w:rPr>
          <w:rFonts w:ascii="Times New Roman" w:hAnsi="Times New Roman"/>
          <w:szCs w:val="22"/>
          <w:lang w:eastAsia="sk-SK"/>
        </w:rPr>
        <w:t>ostatné subjekty súhrnného celku 1 </w:t>
      </w:r>
      <w:r w:rsidR="00461C64" w:rsidRPr="00E31BD6">
        <w:rPr>
          <w:rFonts w:ascii="Times New Roman" w:hAnsi="Times New Roman"/>
          <w:szCs w:val="22"/>
          <w:lang w:eastAsia="sk-SK"/>
        </w:rPr>
        <w:t xml:space="preserve">219 </w:t>
      </w:r>
      <w:r w:rsidR="00334A4A" w:rsidRPr="00E31BD6">
        <w:rPr>
          <w:rFonts w:ascii="Times New Roman" w:hAnsi="Times New Roman"/>
          <w:szCs w:val="22"/>
          <w:lang w:eastAsia="sk-SK"/>
        </w:rPr>
        <w:t>257</w:t>
      </w:r>
      <w:r w:rsidRPr="00E31BD6">
        <w:rPr>
          <w:rFonts w:ascii="Times New Roman" w:hAnsi="Times New Roman"/>
          <w:szCs w:val="22"/>
          <w:lang w:eastAsia="sk-SK"/>
        </w:rPr>
        <w:t> tis. eur (z toho verejné vysoké školy 9</w:t>
      </w:r>
      <w:r w:rsidR="001D7967" w:rsidRPr="0085799C">
        <w:rPr>
          <w:rFonts w:ascii="Times New Roman" w:hAnsi="Times New Roman"/>
          <w:szCs w:val="22"/>
          <w:lang w:eastAsia="sk-SK"/>
        </w:rPr>
        <w:t>74 135</w:t>
      </w:r>
      <w:r w:rsidRPr="00E31BD6">
        <w:rPr>
          <w:rFonts w:ascii="Times New Roman" w:hAnsi="Times New Roman"/>
          <w:szCs w:val="22"/>
          <w:lang w:eastAsia="sk-SK"/>
        </w:rPr>
        <w:t xml:space="preserve"> tis. eur). Celkový medziročný prírastok stavieb v prípade subjektov územnej samosprávy predstavuje </w:t>
      </w:r>
      <w:r w:rsidR="001235B6" w:rsidRPr="0085799C">
        <w:rPr>
          <w:rFonts w:ascii="Times New Roman" w:hAnsi="Times New Roman"/>
          <w:szCs w:val="22"/>
          <w:lang w:eastAsia="sk-SK"/>
        </w:rPr>
        <w:t>739 040</w:t>
      </w:r>
      <w:r w:rsidRPr="00E31BD6">
        <w:rPr>
          <w:rFonts w:ascii="Times New Roman" w:hAnsi="Times New Roman"/>
          <w:szCs w:val="22"/>
          <w:lang w:eastAsia="sk-SK"/>
        </w:rPr>
        <w:t xml:space="preserve"> tis. eur (z toho obce vrátane ich organizácií </w:t>
      </w:r>
      <w:r w:rsidR="00E31BD6" w:rsidRPr="0085799C">
        <w:rPr>
          <w:rFonts w:ascii="Times New Roman" w:hAnsi="Times New Roman"/>
          <w:szCs w:val="22"/>
          <w:lang w:eastAsia="sk-SK"/>
        </w:rPr>
        <w:t>358 547</w:t>
      </w:r>
      <w:r w:rsidRPr="00E31BD6">
        <w:rPr>
          <w:rFonts w:ascii="Times New Roman" w:hAnsi="Times New Roman"/>
          <w:szCs w:val="22"/>
          <w:lang w:eastAsia="sk-SK"/>
        </w:rPr>
        <w:t xml:space="preserve"> tis. eur a vyššie územné celky vrátanej subjektov v ich pôsobnosti </w:t>
      </w:r>
      <w:r w:rsidR="00E31BD6" w:rsidRPr="0085799C">
        <w:rPr>
          <w:rFonts w:ascii="Times New Roman" w:hAnsi="Times New Roman"/>
          <w:szCs w:val="22"/>
          <w:lang w:eastAsia="sk-SK"/>
        </w:rPr>
        <w:t>380 493</w:t>
      </w:r>
      <w:r w:rsidRPr="00E31BD6">
        <w:rPr>
          <w:rFonts w:ascii="Times New Roman" w:hAnsi="Times New Roman"/>
          <w:szCs w:val="22"/>
          <w:lang w:eastAsia="sk-SK"/>
        </w:rPr>
        <w:t xml:space="preserve"> tis. eur).</w:t>
      </w:r>
    </w:p>
    <w:p w14:paraId="3B25474F" w14:textId="77777777" w:rsidR="00BB53B0" w:rsidRDefault="00BB53B0" w:rsidP="00BB53B0">
      <w:pPr>
        <w:pStyle w:val="Pismenka"/>
        <w:tabs>
          <w:tab w:val="clear" w:pos="426"/>
        </w:tabs>
        <w:spacing w:after="120"/>
        <w:ind w:left="0" w:firstLine="0"/>
        <w:rPr>
          <w:b w:val="0"/>
          <w:bCs w:val="0"/>
          <w:sz w:val="22"/>
          <w:szCs w:val="22"/>
        </w:rPr>
      </w:pPr>
    </w:p>
    <w:p w14:paraId="0BD7EF96" w14:textId="54872C11" w:rsidR="00BB53B0" w:rsidRPr="00986521" w:rsidRDefault="00BB53B0" w:rsidP="0085799C">
      <w:pPr>
        <w:pStyle w:val="Nadpis4"/>
        <w:numPr>
          <w:ilvl w:val="0"/>
          <w:numId w:val="54"/>
        </w:numPr>
        <w:ind w:left="426" w:hanging="426"/>
      </w:pPr>
      <w:bookmarkStart w:id="10" w:name="_Pozemky"/>
      <w:bookmarkEnd w:id="10"/>
      <w:r>
        <w:lastRenderedPageBreak/>
        <w:t>Pozemky</w:t>
      </w:r>
    </w:p>
    <w:p w14:paraId="3346009F" w14:textId="6B8B7A7D" w:rsidR="35DDE4F3" w:rsidRPr="0085799C" w:rsidRDefault="35DDE4F3" w:rsidP="0085799C">
      <w:pPr>
        <w:spacing w:after="120" w:line="240" w:lineRule="auto"/>
        <w:jc w:val="both"/>
        <w:rPr>
          <w:rFonts w:ascii="Times New Roman" w:eastAsia="Calibri" w:hAnsi="Times New Roman"/>
          <w:szCs w:val="22"/>
        </w:rPr>
      </w:pPr>
      <w:r w:rsidRPr="0085799C">
        <w:rPr>
          <w:rFonts w:ascii="Times New Roman" w:eastAsia="Calibri" w:hAnsi="Times New Roman"/>
          <w:szCs w:val="22"/>
        </w:rPr>
        <w:t xml:space="preserve">Celková hodnota pozemkov </w:t>
      </w:r>
      <w:r w:rsidR="00802D6D" w:rsidRPr="0085799C">
        <w:rPr>
          <w:rFonts w:ascii="Times New Roman" w:eastAsia="Calibri" w:hAnsi="Times New Roman"/>
          <w:szCs w:val="22"/>
        </w:rPr>
        <w:t>súhrnného</w:t>
      </w:r>
      <w:r w:rsidRPr="0085799C">
        <w:rPr>
          <w:rFonts w:ascii="Times New Roman" w:eastAsia="Calibri" w:hAnsi="Times New Roman"/>
          <w:szCs w:val="22"/>
        </w:rPr>
        <w:t xml:space="preserve"> celku sa medziročne zvýšila o</w:t>
      </w:r>
      <w:r w:rsidR="00802D6D" w:rsidRPr="0085799C">
        <w:rPr>
          <w:rFonts w:ascii="Times New Roman" w:eastAsia="Calibri" w:hAnsi="Times New Roman"/>
          <w:szCs w:val="22"/>
        </w:rPr>
        <w:t> 39</w:t>
      </w:r>
      <w:r w:rsidR="00A366D7">
        <w:rPr>
          <w:rFonts w:ascii="Times New Roman" w:eastAsia="Calibri" w:hAnsi="Times New Roman"/>
          <w:szCs w:val="22"/>
        </w:rPr>
        <w:t> </w:t>
      </w:r>
      <w:r w:rsidR="00802D6D" w:rsidRPr="0085799C">
        <w:rPr>
          <w:rFonts w:ascii="Times New Roman" w:eastAsia="Calibri" w:hAnsi="Times New Roman"/>
          <w:szCs w:val="22"/>
        </w:rPr>
        <w:t>471</w:t>
      </w:r>
      <w:r w:rsidR="00A366D7">
        <w:rPr>
          <w:rFonts w:ascii="Times New Roman" w:eastAsia="Calibri" w:hAnsi="Times New Roman"/>
          <w:szCs w:val="22"/>
        </w:rPr>
        <w:t> </w:t>
      </w:r>
      <w:r w:rsidR="00802D6D" w:rsidRPr="0085799C">
        <w:rPr>
          <w:rFonts w:ascii="Times New Roman" w:eastAsia="Calibri" w:hAnsi="Times New Roman"/>
          <w:szCs w:val="22"/>
        </w:rPr>
        <w:t>tis.</w:t>
      </w:r>
      <w:r w:rsidRPr="0085799C">
        <w:rPr>
          <w:rFonts w:ascii="Times New Roman" w:eastAsia="Calibri" w:hAnsi="Times New Roman"/>
          <w:szCs w:val="22"/>
        </w:rPr>
        <w:t xml:space="preserve"> eur, na hodnotu </w:t>
      </w:r>
      <w:r w:rsidR="00802D6D" w:rsidRPr="0085799C">
        <w:rPr>
          <w:rFonts w:ascii="Times New Roman" w:eastAsia="Calibri" w:hAnsi="Times New Roman"/>
          <w:szCs w:val="22"/>
        </w:rPr>
        <w:t>10</w:t>
      </w:r>
      <w:r w:rsidR="00302087">
        <w:rPr>
          <w:rFonts w:ascii="Times New Roman" w:eastAsia="Calibri" w:hAnsi="Times New Roman"/>
          <w:szCs w:val="22"/>
        </w:rPr>
        <w:t> </w:t>
      </w:r>
      <w:r w:rsidR="00802D6D" w:rsidRPr="0085799C">
        <w:rPr>
          <w:rFonts w:ascii="Times New Roman" w:eastAsia="Calibri" w:hAnsi="Times New Roman"/>
          <w:szCs w:val="22"/>
        </w:rPr>
        <w:t>375</w:t>
      </w:r>
      <w:r w:rsidR="00A366D7">
        <w:rPr>
          <w:rFonts w:ascii="Times New Roman" w:eastAsia="Calibri" w:hAnsi="Times New Roman"/>
          <w:szCs w:val="22"/>
        </w:rPr>
        <w:t> </w:t>
      </w:r>
      <w:r w:rsidR="00302087" w:rsidRPr="0085799C">
        <w:rPr>
          <w:rFonts w:ascii="Times New Roman" w:eastAsia="Calibri" w:hAnsi="Times New Roman"/>
          <w:szCs w:val="22"/>
        </w:rPr>
        <w:t>122</w:t>
      </w:r>
      <w:r w:rsidR="00A366D7">
        <w:rPr>
          <w:rFonts w:ascii="Times New Roman" w:eastAsia="Calibri" w:hAnsi="Times New Roman"/>
          <w:szCs w:val="22"/>
        </w:rPr>
        <w:t> </w:t>
      </w:r>
      <w:r w:rsidR="00302087" w:rsidRPr="0085799C">
        <w:rPr>
          <w:rFonts w:ascii="Times New Roman" w:eastAsia="Calibri" w:hAnsi="Times New Roman"/>
          <w:szCs w:val="22"/>
        </w:rPr>
        <w:t>tis.</w:t>
      </w:r>
      <w:r w:rsidRPr="0085799C">
        <w:rPr>
          <w:rFonts w:ascii="Times New Roman" w:eastAsia="Calibri" w:hAnsi="Times New Roman"/>
          <w:szCs w:val="22"/>
        </w:rPr>
        <w:t xml:space="preserve"> eur. </w:t>
      </w:r>
    </w:p>
    <w:p w14:paraId="3A2277B6" w14:textId="54E4124F" w:rsidR="00647542" w:rsidRPr="00907622" w:rsidRDefault="00647542" w:rsidP="00647542">
      <w:pPr>
        <w:pStyle w:val="Pismenka"/>
        <w:tabs>
          <w:tab w:val="clear" w:pos="426"/>
        </w:tabs>
        <w:spacing w:after="120"/>
        <w:ind w:left="0" w:firstLine="0"/>
        <w:rPr>
          <w:b w:val="0"/>
          <w:bCs w:val="0"/>
          <w:sz w:val="22"/>
          <w:szCs w:val="22"/>
        </w:rPr>
      </w:pPr>
      <w:r w:rsidRPr="00907622">
        <w:rPr>
          <w:b w:val="0"/>
          <w:bCs w:val="0"/>
          <w:sz w:val="22"/>
          <w:szCs w:val="22"/>
        </w:rPr>
        <w:t xml:space="preserve">Z hodnoty pozemkov súhrnného celku tvorí ústredná správa </w:t>
      </w:r>
      <w:r w:rsidR="00674C07">
        <w:rPr>
          <w:b w:val="0"/>
          <w:bCs w:val="0"/>
          <w:sz w:val="22"/>
          <w:szCs w:val="22"/>
        </w:rPr>
        <w:t>4 769</w:t>
      </w:r>
      <w:r w:rsidR="00394D38">
        <w:rPr>
          <w:b w:val="0"/>
          <w:bCs w:val="0"/>
          <w:sz w:val="22"/>
          <w:szCs w:val="22"/>
        </w:rPr>
        <w:t xml:space="preserve"> 867</w:t>
      </w:r>
      <w:r w:rsidRPr="00907622">
        <w:rPr>
          <w:b w:val="0"/>
          <w:bCs w:val="0"/>
          <w:sz w:val="22"/>
          <w:szCs w:val="22"/>
        </w:rPr>
        <w:t xml:space="preserve"> tis. eur a obce so svojimi organizáciami </w:t>
      </w:r>
      <w:r w:rsidR="00394D38">
        <w:rPr>
          <w:b w:val="0"/>
          <w:bCs w:val="0"/>
          <w:sz w:val="22"/>
          <w:szCs w:val="22"/>
        </w:rPr>
        <w:t>4 861</w:t>
      </w:r>
      <w:r w:rsidR="000F4228">
        <w:rPr>
          <w:b w:val="0"/>
          <w:bCs w:val="0"/>
          <w:sz w:val="22"/>
          <w:szCs w:val="22"/>
        </w:rPr>
        <w:t xml:space="preserve"> 316</w:t>
      </w:r>
      <w:r w:rsidRPr="00907622">
        <w:rPr>
          <w:b w:val="0"/>
          <w:bCs w:val="0"/>
          <w:sz w:val="22"/>
          <w:szCs w:val="22"/>
        </w:rPr>
        <w:t xml:space="preserve"> tis. eur, čo predstavuje spolu takmer 92,8 % celkovej hodnoty pozemkov. Medziročná zmena </w:t>
      </w:r>
      <w:r w:rsidRPr="00740185">
        <w:rPr>
          <w:b w:val="0"/>
          <w:bCs w:val="0"/>
          <w:sz w:val="22"/>
          <w:szCs w:val="22"/>
        </w:rPr>
        <w:t>hodnoty bola spôsobená prírastkom v ústrednej správe o </w:t>
      </w:r>
      <w:r w:rsidR="00A922F3" w:rsidRPr="00732138">
        <w:rPr>
          <w:b w:val="0"/>
          <w:bCs w:val="0"/>
          <w:sz w:val="22"/>
          <w:szCs w:val="22"/>
        </w:rPr>
        <w:t>58</w:t>
      </w:r>
      <w:r w:rsidR="005127D8" w:rsidRPr="00732138">
        <w:rPr>
          <w:b w:val="0"/>
          <w:bCs w:val="0"/>
          <w:sz w:val="22"/>
          <w:szCs w:val="22"/>
        </w:rPr>
        <w:t xml:space="preserve"> 717</w:t>
      </w:r>
      <w:r w:rsidRPr="00732138">
        <w:rPr>
          <w:b w:val="0"/>
          <w:bCs w:val="0"/>
          <w:sz w:val="22"/>
          <w:szCs w:val="22"/>
        </w:rPr>
        <w:t xml:space="preserve"> tis. eur, v prípade obcí </w:t>
      </w:r>
      <w:r w:rsidR="00740185" w:rsidRPr="00732138">
        <w:rPr>
          <w:b w:val="0"/>
          <w:bCs w:val="0"/>
          <w:sz w:val="22"/>
          <w:szCs w:val="22"/>
        </w:rPr>
        <w:t>úbytkom</w:t>
      </w:r>
      <w:r w:rsidR="00D205FE" w:rsidRPr="00732138">
        <w:rPr>
          <w:b w:val="0"/>
          <w:bCs w:val="0"/>
          <w:sz w:val="22"/>
          <w:szCs w:val="22"/>
        </w:rPr>
        <w:t xml:space="preserve"> </w:t>
      </w:r>
      <w:r w:rsidRPr="00732138">
        <w:rPr>
          <w:b w:val="0"/>
          <w:bCs w:val="0"/>
          <w:sz w:val="22"/>
          <w:szCs w:val="22"/>
        </w:rPr>
        <w:t xml:space="preserve">o  </w:t>
      </w:r>
      <w:r w:rsidR="00740185" w:rsidRPr="0085799C">
        <w:rPr>
          <w:b w:val="0"/>
          <w:bCs w:val="0"/>
          <w:sz w:val="22"/>
          <w:szCs w:val="22"/>
        </w:rPr>
        <w:t xml:space="preserve">17 397 </w:t>
      </w:r>
      <w:r w:rsidRPr="00732138">
        <w:rPr>
          <w:b w:val="0"/>
          <w:bCs w:val="0"/>
          <w:sz w:val="22"/>
          <w:szCs w:val="22"/>
        </w:rPr>
        <w:t>tis. eur, v konsolidovaných celkoch vyšších územných celkov</w:t>
      </w:r>
      <w:r w:rsidR="00740185" w:rsidRPr="00732138">
        <w:rPr>
          <w:b w:val="0"/>
          <w:bCs w:val="0"/>
          <w:sz w:val="22"/>
          <w:szCs w:val="22"/>
        </w:rPr>
        <w:t xml:space="preserve"> prírastkom</w:t>
      </w:r>
      <w:r w:rsidRPr="00732138">
        <w:rPr>
          <w:b w:val="0"/>
          <w:bCs w:val="0"/>
          <w:sz w:val="22"/>
          <w:szCs w:val="22"/>
        </w:rPr>
        <w:t xml:space="preserve"> o</w:t>
      </w:r>
      <w:r w:rsidR="00740185" w:rsidRPr="00732138">
        <w:rPr>
          <w:b w:val="0"/>
          <w:bCs w:val="0"/>
          <w:sz w:val="22"/>
          <w:szCs w:val="22"/>
        </w:rPr>
        <w:t> </w:t>
      </w:r>
      <w:r w:rsidR="00740185" w:rsidRPr="0085799C">
        <w:rPr>
          <w:b w:val="0"/>
          <w:bCs w:val="0"/>
          <w:sz w:val="22"/>
          <w:szCs w:val="22"/>
        </w:rPr>
        <w:t>10</w:t>
      </w:r>
      <w:r w:rsidR="00B168C8">
        <w:rPr>
          <w:b w:val="0"/>
          <w:bCs w:val="0"/>
          <w:sz w:val="22"/>
          <w:szCs w:val="22"/>
        </w:rPr>
        <w:t> </w:t>
      </w:r>
      <w:r w:rsidR="00740185" w:rsidRPr="0085799C">
        <w:rPr>
          <w:b w:val="0"/>
          <w:bCs w:val="0"/>
          <w:sz w:val="22"/>
          <w:szCs w:val="22"/>
        </w:rPr>
        <w:t>899</w:t>
      </w:r>
      <w:r w:rsidR="00B168C8">
        <w:rPr>
          <w:b w:val="0"/>
          <w:bCs w:val="0"/>
          <w:sz w:val="22"/>
          <w:szCs w:val="22"/>
        </w:rPr>
        <w:t> </w:t>
      </w:r>
      <w:r w:rsidRPr="00732138">
        <w:rPr>
          <w:b w:val="0"/>
          <w:bCs w:val="0"/>
          <w:sz w:val="22"/>
          <w:szCs w:val="22"/>
        </w:rPr>
        <w:t>tis.</w:t>
      </w:r>
      <w:r w:rsidR="00B168C8">
        <w:rPr>
          <w:b w:val="0"/>
          <w:bCs w:val="0"/>
          <w:sz w:val="22"/>
          <w:szCs w:val="22"/>
        </w:rPr>
        <w:t> </w:t>
      </w:r>
      <w:r w:rsidRPr="00732138">
        <w:rPr>
          <w:b w:val="0"/>
          <w:bCs w:val="0"/>
          <w:sz w:val="22"/>
          <w:szCs w:val="22"/>
        </w:rPr>
        <w:t xml:space="preserve">eur </w:t>
      </w:r>
      <w:r w:rsidR="00740185" w:rsidRPr="00732138">
        <w:rPr>
          <w:b w:val="0"/>
          <w:bCs w:val="0"/>
          <w:sz w:val="22"/>
          <w:szCs w:val="22"/>
        </w:rPr>
        <w:t xml:space="preserve">a </w:t>
      </w:r>
      <w:r w:rsidRPr="00732138">
        <w:rPr>
          <w:b w:val="0"/>
          <w:bCs w:val="0"/>
          <w:sz w:val="22"/>
          <w:szCs w:val="22"/>
        </w:rPr>
        <w:t>u ostatných subjektov verejnej správy prišlo k medziročnému poklesu o</w:t>
      </w:r>
      <w:r w:rsidR="00732138" w:rsidRPr="0085799C">
        <w:rPr>
          <w:b w:val="0"/>
          <w:bCs w:val="0"/>
          <w:sz w:val="22"/>
          <w:szCs w:val="22"/>
        </w:rPr>
        <w:t> 12</w:t>
      </w:r>
      <w:r w:rsidR="00B168C8">
        <w:rPr>
          <w:b w:val="0"/>
          <w:bCs w:val="0"/>
          <w:sz w:val="22"/>
          <w:szCs w:val="22"/>
        </w:rPr>
        <w:t> </w:t>
      </w:r>
      <w:r w:rsidR="00732138" w:rsidRPr="0085799C">
        <w:rPr>
          <w:b w:val="0"/>
          <w:bCs w:val="0"/>
          <w:sz w:val="22"/>
          <w:szCs w:val="22"/>
        </w:rPr>
        <w:t>749</w:t>
      </w:r>
      <w:r w:rsidRPr="00732138">
        <w:rPr>
          <w:b w:val="0"/>
          <w:bCs w:val="0"/>
          <w:sz w:val="22"/>
          <w:szCs w:val="22"/>
        </w:rPr>
        <w:t> tis. eur.</w:t>
      </w:r>
    </w:p>
    <w:p w14:paraId="39213736" w14:textId="15811BB1" w:rsidR="002153E5" w:rsidRPr="0085799C" w:rsidRDefault="002153E5" w:rsidP="0085799C">
      <w:pPr>
        <w:spacing w:after="120" w:line="240" w:lineRule="auto"/>
        <w:jc w:val="both"/>
        <w:rPr>
          <w:rFonts w:ascii="Times New Roman" w:eastAsia="Calibri" w:hAnsi="Times New Roman"/>
        </w:rPr>
      </w:pPr>
      <w:r w:rsidRPr="0085799C">
        <w:rPr>
          <w:rFonts w:ascii="Times New Roman" w:eastAsia="Calibri" w:hAnsi="Times New Roman"/>
        </w:rPr>
        <w:t xml:space="preserve">V rámci ústrednej správy najvyššiu hodnotu vykázala </w:t>
      </w:r>
      <w:r w:rsidRPr="0085799C">
        <w:rPr>
          <w:rFonts w:ascii="Times New Roman" w:eastAsia="Calibri" w:hAnsi="Times New Roman"/>
          <w:u w:val="single"/>
        </w:rPr>
        <w:t>kapitola Ministerstva dopravy SR</w:t>
      </w:r>
      <w:r w:rsidRPr="0085799C">
        <w:rPr>
          <w:rFonts w:ascii="Times New Roman" w:eastAsia="Calibri" w:hAnsi="Times New Roman"/>
        </w:rPr>
        <w:t xml:space="preserve"> (v hodnote 2</w:t>
      </w:r>
      <w:r w:rsidR="00A366D7" w:rsidRPr="10CA175A">
        <w:rPr>
          <w:rFonts w:ascii="Times New Roman" w:eastAsia="Calibri" w:hAnsi="Times New Roman"/>
        </w:rPr>
        <w:t> </w:t>
      </w:r>
      <w:r w:rsidRPr="0085799C">
        <w:rPr>
          <w:rFonts w:ascii="Times New Roman" w:eastAsia="Calibri" w:hAnsi="Times New Roman"/>
        </w:rPr>
        <w:t>859</w:t>
      </w:r>
      <w:r w:rsidR="00A366D7" w:rsidRPr="10CA175A">
        <w:rPr>
          <w:rFonts w:ascii="Times New Roman" w:eastAsia="Calibri" w:hAnsi="Times New Roman"/>
        </w:rPr>
        <w:t> </w:t>
      </w:r>
      <w:r w:rsidRPr="0085799C">
        <w:rPr>
          <w:rFonts w:ascii="Times New Roman" w:eastAsia="Calibri" w:hAnsi="Times New Roman"/>
        </w:rPr>
        <w:t>858 tis. eur) a v rámci nej</w:t>
      </w:r>
      <w:r w:rsidRPr="0085799C">
        <w:rPr>
          <w:rFonts w:ascii="Times New Roman" w:eastAsia="Calibri" w:hAnsi="Times New Roman"/>
          <w:color w:val="C00000"/>
        </w:rPr>
        <w:t xml:space="preserve"> </w:t>
      </w:r>
      <w:r w:rsidRPr="0085799C">
        <w:rPr>
          <w:rFonts w:ascii="Times New Roman" w:eastAsia="Calibri" w:hAnsi="Times New Roman"/>
          <w:u w:val="single"/>
        </w:rPr>
        <w:t>Národná diaľničná spoločnosť, a.s.</w:t>
      </w:r>
      <w:r w:rsidRPr="0085799C">
        <w:rPr>
          <w:rFonts w:ascii="Times New Roman" w:eastAsia="Calibri" w:hAnsi="Times New Roman"/>
        </w:rPr>
        <w:t xml:space="preserve"> (v hodnote 1 309 520 tis. eur). Medzi najvýznamnejšie položky patria pozemky pod D4/1175 v hodnote 156 176 tis. eur, pozemky pod R7/1818 v hodnote 53 731 tis. eur a pozemky pod R2/1665 v hodnote 45 929 tis. eur. </w:t>
      </w:r>
    </w:p>
    <w:p w14:paraId="4A4FD8D3" w14:textId="28919013" w:rsidR="002153E5" w:rsidRPr="0085799C" w:rsidRDefault="002153E5" w:rsidP="0085799C">
      <w:pPr>
        <w:spacing w:after="120" w:line="240" w:lineRule="auto"/>
        <w:jc w:val="both"/>
        <w:rPr>
          <w:rFonts w:ascii="Times New Roman" w:eastAsia="Calibri" w:hAnsi="Times New Roman"/>
        </w:rPr>
      </w:pPr>
      <w:bookmarkStart w:id="11" w:name="_Hlk212447719"/>
      <w:r w:rsidRPr="0085799C">
        <w:rPr>
          <w:rFonts w:ascii="Times New Roman" w:eastAsia="Calibri" w:hAnsi="Times New Roman"/>
          <w:u w:val="single"/>
        </w:rPr>
        <w:t>Verejné prístavy, a.s.</w:t>
      </w:r>
      <w:r w:rsidRPr="0085799C">
        <w:rPr>
          <w:rFonts w:ascii="Times New Roman" w:eastAsia="Calibri" w:hAnsi="Times New Roman"/>
        </w:rPr>
        <w:t xml:space="preserve"> (585 672 tis. eur) významnú časť pozemkov vlastnia v Bratislave (k. ú. Nivy, Staré mesto), Komárne, Štúrove, rôzne druhy pozemkov medzi inými aj vodné plochy, zastavané plochy a nádvoria, ostatné plochy. Medziročný rozdiel bol spôsobený znížením hodnoty pozemkov z dôvodu predaja pozemkov pre Národnú diaľničnú spoločnosť, a.s., pre výstavbu rýchlostnej cesty</w:t>
      </w:r>
      <w:r w:rsidR="00F66E0C">
        <w:rPr>
          <w:rFonts w:ascii="Times New Roman" w:eastAsia="Calibri" w:hAnsi="Times New Roman"/>
        </w:rPr>
        <w:t xml:space="preserve"> R7 – Bratislava </w:t>
      </w:r>
      <w:proofErr w:type="spellStart"/>
      <w:r w:rsidR="00F66E0C">
        <w:rPr>
          <w:rFonts w:ascii="Times New Roman" w:eastAsia="Calibri" w:hAnsi="Times New Roman"/>
        </w:rPr>
        <w:t>Ketelec</w:t>
      </w:r>
      <w:proofErr w:type="spellEnd"/>
      <w:r w:rsidR="00F66E0C">
        <w:rPr>
          <w:rFonts w:ascii="Times New Roman" w:eastAsia="Calibri" w:hAnsi="Times New Roman"/>
        </w:rPr>
        <w:t xml:space="preserve"> – Bratislava Prievoz</w:t>
      </w:r>
      <w:r w:rsidRPr="0085799C">
        <w:rPr>
          <w:rFonts w:ascii="Times New Roman" w:eastAsia="Calibri" w:hAnsi="Times New Roman"/>
        </w:rPr>
        <w:t>.</w:t>
      </w:r>
    </w:p>
    <w:bookmarkEnd w:id="11"/>
    <w:p w14:paraId="743DF80E" w14:textId="15102088" w:rsidR="002153E5" w:rsidRPr="0085799C" w:rsidRDefault="002153E5" w:rsidP="0085799C">
      <w:pPr>
        <w:spacing w:after="120" w:line="240" w:lineRule="auto"/>
        <w:jc w:val="both"/>
        <w:rPr>
          <w:rFonts w:ascii="Times New Roman" w:eastAsia="Calibri" w:hAnsi="Times New Roman"/>
        </w:rPr>
      </w:pPr>
      <w:r w:rsidRPr="0085799C">
        <w:rPr>
          <w:rFonts w:ascii="Times New Roman" w:eastAsia="Calibri" w:hAnsi="Times New Roman"/>
          <w:u w:val="single"/>
        </w:rPr>
        <w:t>Železnice Slovenskej republiky</w:t>
      </w:r>
      <w:r w:rsidRPr="0085799C">
        <w:rPr>
          <w:rFonts w:ascii="Times New Roman" w:eastAsia="Calibri" w:hAnsi="Times New Roman"/>
        </w:rPr>
        <w:t xml:space="preserve"> (566 409 tis. eur) evidujú najmä pozemky pod železničnou infraštruktúrou v rámci celej SR. Najvyššiu hodnotu majú pozemky v k. ú. Rača v hodnote 46 665 tis. eur, v k. ú. Trnava v hodnote 20 354 tis. eur, v k. ú. Košice – Južné mesto v hodnote 18 244 tis. eur, v</w:t>
      </w:r>
      <w:r w:rsidR="00E521F7" w:rsidRPr="7F273913">
        <w:rPr>
          <w:rFonts w:ascii="Times New Roman" w:eastAsia="Calibri" w:hAnsi="Times New Roman"/>
        </w:rPr>
        <w:t> </w:t>
      </w:r>
      <w:r w:rsidRPr="0085799C">
        <w:rPr>
          <w:rFonts w:ascii="Times New Roman" w:eastAsia="Calibri" w:hAnsi="Times New Roman"/>
        </w:rPr>
        <w:t xml:space="preserve">k. ú. Teplička nad Váhom v hodnote 17 363 tis. eur, v k. ú. Devínska Nová Ves v hodnote 17 211 tis. eur a v k. ú. Bratislava Staré mesto v hodnote 12 359 tis. eur. </w:t>
      </w:r>
    </w:p>
    <w:p w14:paraId="6A27E63B" w14:textId="166B471E" w:rsidR="00647542" w:rsidRDefault="00647542" w:rsidP="00BB53B0">
      <w:pPr>
        <w:pStyle w:val="Pismenka"/>
        <w:tabs>
          <w:tab w:val="clear" w:pos="426"/>
        </w:tabs>
        <w:spacing w:after="120"/>
        <w:ind w:left="0" w:firstLine="0"/>
        <w:rPr>
          <w:b w:val="0"/>
          <w:sz w:val="22"/>
          <w:szCs w:val="22"/>
        </w:rPr>
      </w:pPr>
      <w:r w:rsidRPr="008961CC">
        <w:rPr>
          <w:b w:val="0"/>
          <w:bCs w:val="0"/>
          <w:sz w:val="22"/>
          <w:szCs w:val="22"/>
        </w:rPr>
        <w:t>Z ostatných subjektov verejnej správy vykazujú najvyššie hodnoty Slovenský pozemkový fond</w:t>
      </w:r>
      <w:r w:rsidRPr="0085799C">
        <w:rPr>
          <w:sz w:val="22"/>
          <w:szCs w:val="22"/>
        </w:rPr>
        <w:br/>
      </w:r>
      <w:r w:rsidRPr="008961CC">
        <w:rPr>
          <w:b w:val="0"/>
          <w:bCs w:val="0"/>
          <w:sz w:val="22"/>
          <w:szCs w:val="22"/>
        </w:rPr>
        <w:t>2</w:t>
      </w:r>
      <w:r w:rsidR="008961CC" w:rsidRPr="0085799C">
        <w:rPr>
          <w:b w:val="0"/>
          <w:bCs w:val="0"/>
          <w:sz w:val="22"/>
          <w:szCs w:val="22"/>
        </w:rPr>
        <w:t>47</w:t>
      </w:r>
      <w:r w:rsidRPr="008961CC">
        <w:rPr>
          <w:b w:val="0"/>
          <w:bCs w:val="0"/>
          <w:sz w:val="22"/>
          <w:szCs w:val="22"/>
        </w:rPr>
        <w:t> </w:t>
      </w:r>
      <w:r w:rsidR="008961CC" w:rsidRPr="0085799C">
        <w:rPr>
          <w:b w:val="0"/>
          <w:bCs w:val="0"/>
          <w:sz w:val="22"/>
          <w:szCs w:val="22"/>
        </w:rPr>
        <w:t>741</w:t>
      </w:r>
      <w:r w:rsidRPr="008961CC">
        <w:rPr>
          <w:b w:val="0"/>
          <w:bCs w:val="0"/>
          <w:sz w:val="22"/>
          <w:szCs w:val="22"/>
        </w:rPr>
        <w:t> tis. eur a verejné vysoké</w:t>
      </w:r>
      <w:r w:rsidRPr="00D42C8A">
        <w:rPr>
          <w:b w:val="0"/>
          <w:bCs w:val="0"/>
          <w:sz w:val="22"/>
          <w:szCs w:val="22"/>
        </w:rPr>
        <w:t xml:space="preserve"> školy 13</w:t>
      </w:r>
      <w:r w:rsidR="00D42C8A" w:rsidRPr="0085799C">
        <w:rPr>
          <w:b w:val="0"/>
          <w:bCs w:val="0"/>
          <w:sz w:val="22"/>
          <w:szCs w:val="22"/>
        </w:rPr>
        <w:t>4 643</w:t>
      </w:r>
      <w:r w:rsidRPr="00D42C8A">
        <w:rPr>
          <w:b w:val="0"/>
          <w:bCs w:val="0"/>
          <w:sz w:val="22"/>
          <w:szCs w:val="22"/>
        </w:rPr>
        <w:t> tis. eur.</w:t>
      </w:r>
    </w:p>
    <w:p w14:paraId="0058D478" w14:textId="77777777" w:rsidR="00A366D7" w:rsidRDefault="00A366D7" w:rsidP="00BB53B0">
      <w:pPr>
        <w:pStyle w:val="Pismenka"/>
        <w:tabs>
          <w:tab w:val="clear" w:pos="426"/>
        </w:tabs>
        <w:spacing w:after="120"/>
        <w:ind w:left="0" w:firstLine="0"/>
        <w:rPr>
          <w:b w:val="0"/>
          <w:bCs w:val="0"/>
          <w:sz w:val="22"/>
          <w:szCs w:val="22"/>
        </w:rPr>
      </w:pPr>
    </w:p>
    <w:p w14:paraId="06F647CC" w14:textId="423180C5" w:rsidR="00A366D7" w:rsidRPr="00986521" w:rsidRDefault="00A366D7" w:rsidP="0085799C">
      <w:pPr>
        <w:pStyle w:val="Nadpis4"/>
        <w:numPr>
          <w:ilvl w:val="0"/>
          <w:numId w:val="54"/>
        </w:numPr>
        <w:ind w:left="426" w:hanging="426"/>
      </w:pPr>
      <w:bookmarkStart w:id="12" w:name="_Samostatné_hnuteľné_veci"/>
      <w:bookmarkEnd w:id="12"/>
      <w:r>
        <w:t>Samostatné hnuteľné veci a súbory hnuteľných vecí</w:t>
      </w:r>
    </w:p>
    <w:p w14:paraId="3F19DCB3" w14:textId="6910C6C0" w:rsidR="4F2E5AE2" w:rsidRPr="001D3111" w:rsidRDefault="00647542" w:rsidP="0085799C">
      <w:pPr>
        <w:pStyle w:val="Pismenka"/>
        <w:tabs>
          <w:tab w:val="clear" w:pos="426"/>
        </w:tabs>
        <w:spacing w:after="120"/>
        <w:ind w:left="0" w:firstLine="0"/>
        <w:rPr>
          <w:rFonts w:eastAsia="Calibri"/>
          <w:szCs w:val="22"/>
        </w:rPr>
      </w:pPr>
      <w:r w:rsidRPr="00907622">
        <w:rPr>
          <w:b w:val="0"/>
          <w:bCs w:val="0"/>
          <w:sz w:val="22"/>
          <w:szCs w:val="22"/>
        </w:rPr>
        <w:t>Tento druh majetku predstavujú najmä prístroje, stroje, technické zariadenia, počítačové vybavenie, ktoré sú použiteľné samostatne alebo tvoria určitý súbor zariadení, ktoré môžu fungovať len v spoločnom zapojení (multimediálne zariadenia, laboratórne zariadenia), ale aj vojenská a špeciálna technika</w:t>
      </w:r>
      <w:r w:rsidRPr="00092034">
        <w:rPr>
          <w:b w:val="0"/>
          <w:bCs w:val="0"/>
          <w:sz w:val="22"/>
          <w:szCs w:val="22"/>
        </w:rPr>
        <w:t xml:space="preserve">. </w:t>
      </w:r>
      <w:r w:rsidR="4F2E5AE2" w:rsidRPr="0085799C">
        <w:rPr>
          <w:rFonts w:eastAsia="Calibri"/>
          <w:b w:val="0"/>
          <w:sz w:val="22"/>
          <w:szCs w:val="22"/>
        </w:rPr>
        <w:t xml:space="preserve">Hodnota tohto majetku dosiahla sumu </w:t>
      </w:r>
      <w:r w:rsidR="00AA251E" w:rsidRPr="0085799C">
        <w:rPr>
          <w:rFonts w:eastAsia="Calibri"/>
          <w:b w:val="0"/>
          <w:sz w:val="22"/>
          <w:szCs w:val="22"/>
        </w:rPr>
        <w:t>3 814 256 tis.</w:t>
      </w:r>
      <w:r w:rsidR="4F2E5AE2" w:rsidRPr="0085799C">
        <w:rPr>
          <w:rFonts w:eastAsia="Calibri"/>
          <w:b w:val="0"/>
          <w:sz w:val="22"/>
          <w:szCs w:val="22"/>
        </w:rPr>
        <w:t xml:space="preserve"> eur a medziročne sa zvýšila o</w:t>
      </w:r>
      <w:r w:rsidR="00AA251E" w:rsidRPr="0085799C">
        <w:rPr>
          <w:rFonts w:eastAsia="Calibri"/>
          <w:b w:val="0"/>
          <w:sz w:val="22"/>
          <w:szCs w:val="22"/>
        </w:rPr>
        <w:t> 429 643</w:t>
      </w:r>
      <w:r w:rsidR="00C23C7D">
        <w:rPr>
          <w:rFonts w:eastAsia="Calibri"/>
          <w:b w:val="0"/>
          <w:sz w:val="22"/>
          <w:szCs w:val="22"/>
        </w:rPr>
        <w:t> </w:t>
      </w:r>
      <w:r w:rsidR="00AA251E" w:rsidRPr="0085799C">
        <w:rPr>
          <w:rFonts w:eastAsia="Calibri"/>
          <w:b w:val="0"/>
          <w:sz w:val="22"/>
          <w:szCs w:val="22"/>
        </w:rPr>
        <w:t>tis.</w:t>
      </w:r>
      <w:r w:rsidR="00C23C7D">
        <w:rPr>
          <w:rFonts w:eastAsia="Calibri"/>
          <w:b w:val="0"/>
          <w:sz w:val="22"/>
          <w:szCs w:val="22"/>
        </w:rPr>
        <w:t> </w:t>
      </w:r>
      <w:r w:rsidR="4F2E5AE2" w:rsidRPr="0085799C">
        <w:rPr>
          <w:rFonts w:eastAsia="Calibri"/>
          <w:b w:val="0"/>
          <w:sz w:val="22"/>
          <w:szCs w:val="22"/>
        </w:rPr>
        <w:t xml:space="preserve">eur. </w:t>
      </w:r>
    </w:p>
    <w:p w14:paraId="0452B3B2" w14:textId="5000B37F" w:rsidR="00F45956" w:rsidRDefault="00647542" w:rsidP="008143FA">
      <w:pPr>
        <w:spacing w:after="120" w:line="240" w:lineRule="auto"/>
        <w:jc w:val="both"/>
        <w:rPr>
          <w:rFonts w:ascii="Times New Roman" w:eastAsia="Calibri" w:hAnsi="Times New Roman"/>
          <w:szCs w:val="22"/>
        </w:rPr>
      </w:pPr>
      <w:r w:rsidRPr="00986521">
        <w:rPr>
          <w:rFonts w:ascii="Times New Roman" w:hAnsi="Times New Roman"/>
          <w:szCs w:val="22"/>
          <w:lang w:eastAsia="sk-SK"/>
        </w:rPr>
        <w:t>Ústredná správa vykazuje úhrnom 2</w:t>
      </w:r>
      <w:r w:rsidR="007A3858" w:rsidRPr="00260C73">
        <w:rPr>
          <w:rFonts w:ascii="Times New Roman" w:hAnsi="Times New Roman"/>
          <w:szCs w:val="22"/>
          <w:lang w:eastAsia="sk-SK"/>
        </w:rPr>
        <w:t> 501 873</w:t>
      </w:r>
      <w:r w:rsidRPr="00986521">
        <w:rPr>
          <w:rFonts w:ascii="Times New Roman" w:hAnsi="Times New Roman"/>
          <w:szCs w:val="22"/>
          <w:lang w:eastAsia="sk-SK"/>
        </w:rPr>
        <w:t> tis. eur a v porovnaní s rokom 202</w:t>
      </w:r>
      <w:r w:rsidR="007A3858" w:rsidRPr="00260C73">
        <w:rPr>
          <w:rFonts w:ascii="Times New Roman" w:hAnsi="Times New Roman"/>
          <w:szCs w:val="22"/>
          <w:lang w:eastAsia="sk-SK"/>
        </w:rPr>
        <w:t>3</w:t>
      </w:r>
      <w:r w:rsidRPr="00986521">
        <w:rPr>
          <w:rFonts w:ascii="Times New Roman" w:hAnsi="Times New Roman"/>
          <w:szCs w:val="22"/>
          <w:lang w:eastAsia="sk-SK"/>
        </w:rPr>
        <w:t xml:space="preserve"> je to viac o</w:t>
      </w:r>
      <w:r w:rsidR="00092034">
        <w:rPr>
          <w:rFonts w:ascii="Times New Roman" w:hAnsi="Times New Roman"/>
          <w:szCs w:val="22"/>
          <w:lang w:eastAsia="sk-SK"/>
        </w:rPr>
        <w:t> </w:t>
      </w:r>
      <w:r w:rsidR="00092034" w:rsidRPr="00260C73">
        <w:rPr>
          <w:rFonts w:ascii="Times New Roman" w:hAnsi="Times New Roman"/>
          <w:szCs w:val="22"/>
          <w:lang w:eastAsia="sk-SK"/>
        </w:rPr>
        <w:t>383</w:t>
      </w:r>
      <w:r w:rsidR="00E521F7">
        <w:rPr>
          <w:rFonts w:ascii="Times New Roman" w:hAnsi="Times New Roman"/>
          <w:szCs w:val="22"/>
          <w:lang w:eastAsia="sk-SK"/>
        </w:rPr>
        <w:t> </w:t>
      </w:r>
      <w:r w:rsidR="00092034" w:rsidRPr="00260C73">
        <w:rPr>
          <w:rFonts w:ascii="Times New Roman" w:hAnsi="Times New Roman"/>
          <w:szCs w:val="22"/>
          <w:lang w:eastAsia="sk-SK"/>
        </w:rPr>
        <w:t>679</w:t>
      </w:r>
      <w:r w:rsidRPr="00986521">
        <w:rPr>
          <w:rFonts w:ascii="Times New Roman" w:hAnsi="Times New Roman"/>
          <w:szCs w:val="22"/>
          <w:lang w:eastAsia="sk-SK"/>
        </w:rPr>
        <w:t xml:space="preserve"> tis. eur. </w:t>
      </w:r>
      <w:r w:rsidR="00F45956" w:rsidRPr="0085799C">
        <w:rPr>
          <w:rFonts w:ascii="Times New Roman" w:eastAsia="Calibri" w:hAnsi="Times New Roman"/>
          <w:szCs w:val="22"/>
        </w:rPr>
        <w:t>Najvyššiu hodnotu v rámci ústrednej správy vykazujú Ministerstvo obrany SR (783</w:t>
      </w:r>
      <w:r w:rsidR="00E521F7">
        <w:rPr>
          <w:rFonts w:ascii="Times New Roman" w:eastAsia="Calibri" w:hAnsi="Times New Roman"/>
          <w:szCs w:val="22"/>
        </w:rPr>
        <w:t> </w:t>
      </w:r>
      <w:r w:rsidR="00F45956" w:rsidRPr="0085799C">
        <w:rPr>
          <w:rFonts w:ascii="Times New Roman" w:eastAsia="Calibri" w:hAnsi="Times New Roman"/>
          <w:szCs w:val="22"/>
        </w:rPr>
        <w:t xml:space="preserve">917 tis. eur), Ministerstvo vnútra SR (244 052 tis. eur), Slovenská elektrizačná prenosová sústava, a.s. (223 786 tis. eur), Železnice Slovenskej republiky (171 384 tis. eur) a Vodohospodárska výstavba, </w:t>
      </w:r>
      <w:proofErr w:type="spellStart"/>
      <w:r w:rsidR="00F45956" w:rsidRPr="0085799C">
        <w:rPr>
          <w:rFonts w:ascii="Times New Roman" w:eastAsia="Calibri" w:hAnsi="Times New Roman"/>
          <w:szCs w:val="22"/>
        </w:rPr>
        <w:t>š.p</w:t>
      </w:r>
      <w:proofErr w:type="spellEnd"/>
      <w:r w:rsidR="00F45956" w:rsidRPr="0085799C">
        <w:rPr>
          <w:rFonts w:ascii="Times New Roman" w:eastAsia="Calibri" w:hAnsi="Times New Roman"/>
          <w:szCs w:val="22"/>
        </w:rPr>
        <w:t>. (170 515 tis. eur).</w:t>
      </w:r>
    </w:p>
    <w:p w14:paraId="1785BB36" w14:textId="48A86410" w:rsidR="00557CC3" w:rsidRDefault="00F45956" w:rsidP="0085799C">
      <w:pPr>
        <w:spacing w:after="120" w:line="240" w:lineRule="auto"/>
        <w:jc w:val="both"/>
        <w:rPr>
          <w:rFonts w:ascii="Times New Roman" w:eastAsia="Calibri" w:hAnsi="Times New Roman"/>
          <w:u w:val="single"/>
        </w:rPr>
      </w:pPr>
      <w:r w:rsidRPr="0085799C">
        <w:rPr>
          <w:rFonts w:ascii="Times New Roman" w:eastAsia="Calibri" w:hAnsi="Times New Roman"/>
          <w:u w:val="single"/>
        </w:rPr>
        <w:t>Ministerstvo obrany SR</w:t>
      </w:r>
      <w:r w:rsidRPr="0085799C">
        <w:rPr>
          <w:rFonts w:ascii="Times New Roman" w:eastAsia="Calibri" w:hAnsi="Times New Roman"/>
        </w:rPr>
        <w:t xml:space="preserve"> (783 917 tis. eur) vykázalo na tomto účte medziročný nárast o sumu 277</w:t>
      </w:r>
      <w:r w:rsidR="00C23C7D">
        <w:rPr>
          <w:rFonts w:ascii="Times New Roman" w:eastAsia="Calibri" w:hAnsi="Times New Roman"/>
        </w:rPr>
        <w:t> </w:t>
      </w:r>
      <w:r w:rsidRPr="0085799C">
        <w:rPr>
          <w:rFonts w:ascii="Times New Roman" w:eastAsia="Calibri" w:hAnsi="Times New Roman"/>
        </w:rPr>
        <w:t>354</w:t>
      </w:r>
      <w:r w:rsidR="00C23C7D">
        <w:rPr>
          <w:rFonts w:ascii="Times New Roman" w:eastAsia="Calibri" w:hAnsi="Times New Roman"/>
        </w:rPr>
        <w:t> </w:t>
      </w:r>
      <w:r w:rsidRPr="0085799C">
        <w:rPr>
          <w:rFonts w:ascii="Times New Roman" w:eastAsia="Calibri" w:hAnsi="Times New Roman"/>
        </w:rPr>
        <w:t>tis.</w:t>
      </w:r>
      <w:r w:rsidR="00C23C7D">
        <w:rPr>
          <w:rFonts w:ascii="Times New Roman" w:eastAsia="Calibri" w:hAnsi="Times New Roman"/>
        </w:rPr>
        <w:t> </w:t>
      </w:r>
      <w:r w:rsidRPr="0085799C">
        <w:rPr>
          <w:rFonts w:ascii="Times New Roman" w:eastAsia="Calibri" w:hAnsi="Times New Roman"/>
        </w:rPr>
        <w:t>eur, najmä z dôvodu zaradenia do používania 3 ks stíhačiek F-16 s príslušenstvom v obstarávacej cene 233 233 tis. eur a darovaných kompletov protivzdušného systému v sume 36</w:t>
      </w:r>
      <w:r w:rsidR="00C23C7D">
        <w:rPr>
          <w:rFonts w:ascii="Times New Roman" w:eastAsia="Calibri" w:hAnsi="Times New Roman"/>
        </w:rPr>
        <w:t> </w:t>
      </w:r>
      <w:r w:rsidRPr="0085799C">
        <w:rPr>
          <w:rFonts w:ascii="Times New Roman" w:eastAsia="Calibri" w:hAnsi="Times New Roman"/>
        </w:rPr>
        <w:t>412</w:t>
      </w:r>
      <w:r w:rsidR="00C23C7D">
        <w:rPr>
          <w:rFonts w:ascii="Times New Roman" w:eastAsia="Calibri" w:hAnsi="Times New Roman"/>
        </w:rPr>
        <w:t> </w:t>
      </w:r>
      <w:r w:rsidRPr="0085799C">
        <w:rPr>
          <w:rFonts w:ascii="Times New Roman" w:eastAsia="Calibri" w:hAnsi="Times New Roman"/>
        </w:rPr>
        <w:t>tis.</w:t>
      </w:r>
      <w:r w:rsidR="00C23C7D">
        <w:rPr>
          <w:rFonts w:ascii="Times New Roman" w:eastAsia="Calibri" w:hAnsi="Times New Roman"/>
        </w:rPr>
        <w:t> </w:t>
      </w:r>
      <w:r w:rsidRPr="0085799C">
        <w:rPr>
          <w:rFonts w:ascii="Times New Roman" w:eastAsia="Calibri" w:hAnsi="Times New Roman"/>
        </w:rPr>
        <w:t>eur.</w:t>
      </w:r>
      <w:r w:rsidR="00557CC3">
        <w:rPr>
          <w:rFonts w:ascii="Times New Roman" w:eastAsia="Calibri" w:hAnsi="Times New Roman"/>
        </w:rPr>
        <w:t xml:space="preserve"> </w:t>
      </w:r>
    </w:p>
    <w:p w14:paraId="6A1C3902" w14:textId="7F139BBE" w:rsidR="00F45956" w:rsidRPr="0085799C" w:rsidRDefault="00F45956" w:rsidP="0085799C">
      <w:pPr>
        <w:spacing w:after="120" w:line="240" w:lineRule="auto"/>
        <w:jc w:val="both"/>
        <w:rPr>
          <w:rFonts w:ascii="Times New Roman" w:eastAsia="Calibri" w:hAnsi="Times New Roman"/>
        </w:rPr>
      </w:pPr>
      <w:r w:rsidRPr="0085799C">
        <w:rPr>
          <w:rFonts w:ascii="Times New Roman" w:eastAsia="Calibri" w:hAnsi="Times New Roman"/>
          <w:u w:val="single"/>
        </w:rPr>
        <w:t>Ministerstvo vnútra SR</w:t>
      </w:r>
      <w:r w:rsidRPr="0085799C">
        <w:rPr>
          <w:rFonts w:ascii="Times New Roman" w:eastAsia="Calibri" w:hAnsi="Times New Roman"/>
        </w:rPr>
        <w:t xml:space="preserve"> (244 052 tis. eur) vykázalo medziročný nárast o 73 812 tis. eur. Daný nárast bol spôsobený najmä rekonštrukciou a modernizáciou telekomunikačnej techniky (technickej časti telekomunikačnej siete SITNO). Projekt SITNO má skvalitniť a zrýchliť komunikáciu v rámci záchranných i bezpečnostných zložiek na Slovensku.</w:t>
      </w:r>
    </w:p>
    <w:p w14:paraId="2C6F0691" w14:textId="014256CA" w:rsidR="0076571D" w:rsidRDefault="00F45956" w:rsidP="008143FA">
      <w:pPr>
        <w:spacing w:after="120" w:line="240" w:lineRule="auto"/>
        <w:jc w:val="both"/>
        <w:rPr>
          <w:rFonts w:ascii="Times New Roman" w:eastAsia="Calibri" w:hAnsi="Times New Roman"/>
        </w:rPr>
      </w:pPr>
      <w:r w:rsidRPr="0085799C">
        <w:rPr>
          <w:rFonts w:ascii="Times New Roman" w:eastAsia="Calibri" w:hAnsi="Times New Roman"/>
          <w:u w:val="single"/>
        </w:rPr>
        <w:t>Slovenská elektrizačná prenosová sústava, a.s.</w:t>
      </w:r>
      <w:r w:rsidRPr="0085799C">
        <w:rPr>
          <w:rFonts w:ascii="Times New Roman" w:eastAsia="Calibri" w:hAnsi="Times New Roman"/>
        </w:rPr>
        <w:t xml:space="preserve"> na hodnote tejto položky vykázala medziročný pokles o</w:t>
      </w:r>
      <w:r w:rsidR="0076571D">
        <w:rPr>
          <w:rFonts w:ascii="Times New Roman" w:eastAsia="Calibri" w:hAnsi="Times New Roman"/>
        </w:rPr>
        <w:t> </w:t>
      </w:r>
      <w:r w:rsidRPr="0085799C">
        <w:rPr>
          <w:rFonts w:ascii="Times New Roman" w:eastAsia="Calibri" w:hAnsi="Times New Roman"/>
        </w:rPr>
        <w:t xml:space="preserve">1 222 tis. eur a celková hodnota položky dosiahla hodnotu 223 786 tis. eur. Tvorili ju najmä transformátory, meracie prístroje, výpočtová technika, ochranné systémy zariadení a podobne. V roku 2024 bol zaradený do používania napríklad transformátor T402 v Podunajských Biskupiciach hradený </w:t>
      </w:r>
      <w:r w:rsidRPr="0085799C">
        <w:rPr>
          <w:rFonts w:ascii="Times New Roman" w:eastAsia="Calibri" w:hAnsi="Times New Roman"/>
        </w:rPr>
        <w:lastRenderedPageBreak/>
        <w:t>z vlastných zdrojov, z grantu INEA  a od Západoslovenskej distribučnej, a. s.  vo výške 6</w:t>
      </w:r>
      <w:r w:rsidR="00C23C7D">
        <w:rPr>
          <w:rFonts w:ascii="Times New Roman" w:eastAsia="Calibri" w:hAnsi="Times New Roman"/>
        </w:rPr>
        <w:t> </w:t>
      </w:r>
      <w:r w:rsidRPr="0085799C">
        <w:rPr>
          <w:rFonts w:ascii="Times New Roman" w:eastAsia="Calibri" w:hAnsi="Times New Roman"/>
        </w:rPr>
        <w:t>239</w:t>
      </w:r>
      <w:r w:rsidR="00C23C7D">
        <w:rPr>
          <w:rFonts w:ascii="Times New Roman" w:eastAsia="Calibri" w:hAnsi="Times New Roman"/>
        </w:rPr>
        <w:t> </w:t>
      </w:r>
      <w:r w:rsidRPr="0085799C">
        <w:rPr>
          <w:rFonts w:ascii="Times New Roman" w:eastAsia="Calibri" w:hAnsi="Times New Roman"/>
        </w:rPr>
        <w:t>tis.</w:t>
      </w:r>
      <w:r w:rsidR="00C23C7D">
        <w:rPr>
          <w:rFonts w:ascii="Times New Roman" w:eastAsia="Calibri" w:hAnsi="Times New Roman"/>
        </w:rPr>
        <w:t xml:space="preserve"> </w:t>
      </w:r>
      <w:r w:rsidRPr="0085799C">
        <w:rPr>
          <w:rFonts w:ascii="Times New Roman" w:eastAsia="Calibri" w:hAnsi="Times New Roman"/>
        </w:rPr>
        <w:t>eur, centrálna vlastná spotreba DC Podunajské Biskupice – rozvádzač</w:t>
      </w:r>
      <w:r w:rsidRPr="00A366D7">
        <w:t xml:space="preserve"> </w:t>
      </w:r>
      <w:r w:rsidRPr="0085799C">
        <w:rPr>
          <w:rFonts w:ascii="Times New Roman" w:eastAsia="Calibri" w:hAnsi="Times New Roman"/>
        </w:rPr>
        <w:t xml:space="preserve">vo výške 1 379 tis. eur alebo bezpečnostný systém – server a switch  vo výške 2 609 tis. eur. </w:t>
      </w:r>
    </w:p>
    <w:p w14:paraId="1CBCE41E" w14:textId="10F43985" w:rsidR="00DD32A9" w:rsidRPr="0085799C" w:rsidRDefault="00F45956" w:rsidP="008143FA">
      <w:pPr>
        <w:spacing w:after="120" w:line="240" w:lineRule="auto"/>
        <w:jc w:val="both"/>
        <w:rPr>
          <w:rFonts w:ascii="Times New Roman" w:eastAsia="Calibri" w:hAnsi="Times New Roman"/>
        </w:rPr>
      </w:pPr>
      <w:r w:rsidRPr="0085799C">
        <w:rPr>
          <w:rFonts w:ascii="Times New Roman" w:eastAsia="Calibri" w:hAnsi="Times New Roman"/>
          <w:u w:val="single"/>
        </w:rPr>
        <w:t>Železnice Slovenskej republiky</w:t>
      </w:r>
      <w:r w:rsidRPr="0085799C">
        <w:rPr>
          <w:rFonts w:ascii="Times New Roman" w:eastAsia="Calibri" w:hAnsi="Times New Roman"/>
        </w:rPr>
        <w:t xml:space="preserve"> dosiahli na účte samostatných hnuteľných vecí a súborov hnuteľných vecí sumu 171 384 tis. eur a ide najmä o majetok v rámci Dostavby zriaďovacej stanice Žilina Teplička (Uzol Žilina) v hodnote 28 823 tis. eur (zabezpečovacie zariadenia, elektronické stavadlá), majetky Komunikačnej infraštruktúry služieb tele matiky (KIST) v hodnote 12 600 tis. eur (elektrické prístroje pre drôtové telefóny, telefónne prístroje, prepínače), majetky v rámci modernizácie trate Púchov Žilina v hodnote 10 732 tis. eur (elektronické stavadlá, rádiová sieť, výťahy, trafostanice) a majetky v rámci modernizácie Liptovský Mikuláš – Poprad v hodnote 10 484 tis. eur (zabezpečovacie zariadenia, technologické zariadenia). Medziročný nárast v hodnote 7 466 tis. eur predstavujú</w:t>
      </w:r>
      <w:r w:rsidRPr="0085799C">
        <w:rPr>
          <w:rFonts w:ascii="Times New Roman" w:eastAsia="Calibri" w:hAnsi="Times New Roman"/>
          <w:color w:val="C00000"/>
        </w:rPr>
        <w:t xml:space="preserve"> </w:t>
      </w:r>
      <w:r w:rsidRPr="0085799C">
        <w:rPr>
          <w:rFonts w:ascii="Times New Roman" w:eastAsia="Calibri" w:hAnsi="Times New Roman"/>
        </w:rPr>
        <w:t>najmä majetok v rámci Dostavby zriaďovacej stanice Žilina Teplička (Uzol Žilina) v hodnote 26</w:t>
      </w:r>
      <w:r w:rsidR="00C23C7D">
        <w:rPr>
          <w:rFonts w:ascii="Times New Roman" w:eastAsia="Calibri" w:hAnsi="Times New Roman"/>
        </w:rPr>
        <w:t> </w:t>
      </w:r>
      <w:r w:rsidRPr="0085799C">
        <w:rPr>
          <w:rFonts w:ascii="Times New Roman" w:eastAsia="Calibri" w:hAnsi="Times New Roman"/>
        </w:rPr>
        <w:t>937</w:t>
      </w:r>
      <w:r w:rsidR="00C23C7D">
        <w:rPr>
          <w:rFonts w:ascii="Times New Roman" w:eastAsia="Calibri" w:hAnsi="Times New Roman"/>
        </w:rPr>
        <w:t> </w:t>
      </w:r>
      <w:r w:rsidRPr="0085799C">
        <w:rPr>
          <w:rFonts w:ascii="Times New Roman" w:eastAsia="Calibri" w:hAnsi="Times New Roman"/>
        </w:rPr>
        <w:t>tis.</w:t>
      </w:r>
      <w:r w:rsidR="00C23C7D">
        <w:rPr>
          <w:rFonts w:ascii="Times New Roman" w:eastAsia="Calibri" w:hAnsi="Times New Roman"/>
        </w:rPr>
        <w:t> </w:t>
      </w:r>
      <w:r w:rsidRPr="0085799C">
        <w:rPr>
          <w:rFonts w:ascii="Times New Roman" w:eastAsia="Calibri" w:hAnsi="Times New Roman"/>
        </w:rPr>
        <w:t>eur (elektronické stavadlá), Modernizácie železničnej trate Liptovský Mikuláš – Poprad v hodnote 2</w:t>
      </w:r>
      <w:r w:rsidR="00C23C7D">
        <w:rPr>
          <w:rFonts w:ascii="Times New Roman" w:eastAsia="Calibri" w:hAnsi="Times New Roman"/>
        </w:rPr>
        <w:t> </w:t>
      </w:r>
      <w:r w:rsidRPr="0085799C">
        <w:rPr>
          <w:rFonts w:ascii="Times New Roman" w:eastAsia="Calibri" w:hAnsi="Times New Roman"/>
        </w:rPr>
        <w:t>069</w:t>
      </w:r>
      <w:r w:rsidR="00C23C7D">
        <w:rPr>
          <w:rFonts w:ascii="Times New Roman" w:eastAsia="Calibri" w:hAnsi="Times New Roman"/>
        </w:rPr>
        <w:t> </w:t>
      </w:r>
      <w:r w:rsidRPr="0085799C">
        <w:rPr>
          <w:rFonts w:ascii="Times New Roman" w:eastAsia="Calibri" w:hAnsi="Times New Roman"/>
        </w:rPr>
        <w:t>tis.</w:t>
      </w:r>
      <w:r w:rsidR="00C23C7D">
        <w:rPr>
          <w:rFonts w:ascii="Times New Roman" w:eastAsia="Calibri" w:hAnsi="Times New Roman"/>
        </w:rPr>
        <w:t> </w:t>
      </w:r>
      <w:r w:rsidRPr="0085799C">
        <w:rPr>
          <w:rFonts w:ascii="Times New Roman" w:eastAsia="Calibri" w:hAnsi="Times New Roman"/>
        </w:rPr>
        <w:t>eur (technologické zariadenia, riadiaci systém), Nákupu a modernizácie koľajovej mechanizácie v hodnote 1 180 tis. eur (stroje na výmenu podvalov, motorový univerzálny vozík, vozeň súpravy SDK).</w:t>
      </w:r>
      <w:r w:rsidRPr="00A366D7">
        <w:t xml:space="preserve"> </w:t>
      </w:r>
    </w:p>
    <w:p w14:paraId="1FCDB981" w14:textId="41802AE0" w:rsidR="004959C4" w:rsidRDefault="00F45956" w:rsidP="008143FA">
      <w:pPr>
        <w:spacing w:after="120" w:line="240" w:lineRule="auto"/>
        <w:jc w:val="both"/>
      </w:pPr>
      <w:r w:rsidRPr="0085799C">
        <w:rPr>
          <w:rFonts w:ascii="Times New Roman" w:eastAsia="Calibri" w:hAnsi="Times New Roman"/>
          <w:u w:val="single"/>
        </w:rPr>
        <w:t xml:space="preserve">Vodohospodárska výstavba, </w:t>
      </w:r>
      <w:proofErr w:type="spellStart"/>
      <w:r w:rsidRPr="0085799C">
        <w:rPr>
          <w:rFonts w:ascii="Times New Roman" w:eastAsia="Calibri" w:hAnsi="Times New Roman"/>
          <w:u w:val="single"/>
        </w:rPr>
        <w:t>š.p</w:t>
      </w:r>
      <w:proofErr w:type="spellEnd"/>
      <w:r w:rsidRPr="0085799C">
        <w:rPr>
          <w:rFonts w:ascii="Times New Roman" w:eastAsia="Calibri" w:hAnsi="Times New Roman"/>
        </w:rPr>
        <w:t>.</w:t>
      </w:r>
      <w:r w:rsidRPr="0085799C">
        <w:rPr>
          <w:rFonts w:ascii="Times New Roman" w:eastAsia="Calibri" w:hAnsi="Times New Roman"/>
          <w:b/>
          <w:i/>
        </w:rPr>
        <w:t xml:space="preserve"> </w:t>
      </w:r>
      <w:r w:rsidRPr="0085799C">
        <w:rPr>
          <w:rFonts w:ascii="Times New Roman" w:eastAsia="Calibri" w:hAnsi="Times New Roman"/>
        </w:rPr>
        <w:t xml:space="preserve">vykazuje na účte samostatných hnuteľných vecí a súborov hnuteľných vecí sumu 170 515 tis. eur s medziročným poklesom o 11 970 tis. eur, z dôvodu postupného odpisovania a vyradením majetku. Na účte sú evidované stroje a zariadenia tvoriace technologickú časť vodného diela Gabčíkovo v hodnote 141 242 tis. eur, vodného diela Čunovo v hodnote 19 758 tis. eur, vodného diela Žilina v hodnote 1 805 tis. eur a iné technologické zariadenia v hodnote 7 711 tis. eur. Prírastky vykazoval štátny podnik v roku 2024 v hodnote 8 531 tis.  eur. Išlo najmä o nákup čistiacich strojov </w:t>
      </w:r>
      <w:proofErr w:type="spellStart"/>
      <w:r w:rsidRPr="0085799C">
        <w:rPr>
          <w:rFonts w:ascii="Times New Roman" w:eastAsia="Calibri" w:hAnsi="Times New Roman"/>
        </w:rPr>
        <w:t>hrablíc</w:t>
      </w:r>
      <w:proofErr w:type="spellEnd"/>
      <w:r w:rsidRPr="0085799C">
        <w:rPr>
          <w:rFonts w:ascii="Times New Roman" w:eastAsia="Calibri" w:hAnsi="Times New Roman"/>
        </w:rPr>
        <w:t>, provizórne hradenia v Gabčíkove, výmenu procesných staníc rozvodní R40, vybudovanie optickej komunikačnej trasy medzi vodnou elektrárňou Gabčíkovo, terminál automatizovaného  systému dispečerského riadenia Vodné dielo Gabčíkovo a Vodné dielo Žilina. Medziročne teda zaznamenala Vodohospodárska výstavba, š. p. úbytok v hodnote 11 969 525 eur.</w:t>
      </w:r>
      <w:r w:rsidRPr="00A366D7">
        <w:t xml:space="preserve">   </w:t>
      </w:r>
    </w:p>
    <w:p w14:paraId="664F3CCB" w14:textId="29806018" w:rsidR="00E442C2" w:rsidRDefault="00647542" w:rsidP="008143FA">
      <w:pPr>
        <w:spacing w:after="120" w:line="240" w:lineRule="auto"/>
        <w:jc w:val="both"/>
        <w:rPr>
          <w:rFonts w:ascii="Times New Roman" w:hAnsi="Times New Roman"/>
        </w:rPr>
      </w:pPr>
      <w:r w:rsidRPr="0085799C">
        <w:rPr>
          <w:rFonts w:ascii="Times New Roman" w:hAnsi="Times New Roman"/>
        </w:rPr>
        <w:t xml:space="preserve">Územná samospráva vykázala úhrnom </w:t>
      </w:r>
      <w:r w:rsidR="0005501D" w:rsidRPr="0085799C">
        <w:rPr>
          <w:rFonts w:ascii="Times New Roman" w:hAnsi="Times New Roman"/>
        </w:rPr>
        <w:t xml:space="preserve">611 721 </w:t>
      </w:r>
      <w:r w:rsidRPr="0085799C">
        <w:rPr>
          <w:rFonts w:ascii="Times New Roman" w:hAnsi="Times New Roman"/>
        </w:rPr>
        <w:t>tis. eur (v roku 202</w:t>
      </w:r>
      <w:r w:rsidR="00272341" w:rsidRPr="0085799C">
        <w:rPr>
          <w:rFonts w:ascii="Times New Roman" w:hAnsi="Times New Roman"/>
        </w:rPr>
        <w:t>3</w:t>
      </w:r>
      <w:r w:rsidRPr="0085799C">
        <w:rPr>
          <w:rFonts w:ascii="Times New Roman" w:hAnsi="Times New Roman"/>
        </w:rPr>
        <w:t xml:space="preserve"> to bolo </w:t>
      </w:r>
      <w:r w:rsidR="00272341" w:rsidRPr="0085799C">
        <w:rPr>
          <w:rFonts w:ascii="Times New Roman" w:hAnsi="Times New Roman"/>
        </w:rPr>
        <w:t>557 328 </w:t>
      </w:r>
      <w:r w:rsidRPr="0085799C">
        <w:rPr>
          <w:rFonts w:ascii="Times New Roman" w:hAnsi="Times New Roman"/>
        </w:rPr>
        <w:t xml:space="preserve">tis. eur), z čoho obce tvoria </w:t>
      </w:r>
      <w:r w:rsidR="005D6CA0" w:rsidRPr="0085799C">
        <w:rPr>
          <w:rFonts w:ascii="Times New Roman" w:hAnsi="Times New Roman"/>
        </w:rPr>
        <w:t>450 831</w:t>
      </w:r>
      <w:r w:rsidRPr="0085799C">
        <w:rPr>
          <w:rFonts w:ascii="Times New Roman" w:hAnsi="Times New Roman"/>
        </w:rPr>
        <w:t xml:space="preserve"> tis. eur a vyššie územné celky </w:t>
      </w:r>
      <w:r w:rsidR="005D6CA0" w:rsidRPr="0085799C">
        <w:rPr>
          <w:rFonts w:ascii="Times New Roman" w:hAnsi="Times New Roman"/>
        </w:rPr>
        <w:t>160 890</w:t>
      </w:r>
      <w:r w:rsidRPr="0085799C">
        <w:rPr>
          <w:rFonts w:ascii="Times New Roman" w:hAnsi="Times New Roman"/>
        </w:rPr>
        <w:t> tis. eur. Významné hodnoty vykázali aj verejné vysoké školy (</w:t>
      </w:r>
      <w:r w:rsidR="004473CC" w:rsidRPr="0085799C">
        <w:rPr>
          <w:rFonts w:ascii="Times New Roman" w:hAnsi="Times New Roman"/>
        </w:rPr>
        <w:t>109 069</w:t>
      </w:r>
      <w:r w:rsidRPr="0085799C">
        <w:rPr>
          <w:rFonts w:ascii="Times New Roman" w:hAnsi="Times New Roman"/>
        </w:rPr>
        <w:t> tis. eur), pričom najčastejšie ide o vybavenie vedeckých laboratórií, superpočítače učební a školských pracovísk. V</w:t>
      </w:r>
      <w:r w:rsidR="00066EBC" w:rsidRPr="0085799C">
        <w:rPr>
          <w:rFonts w:ascii="Times New Roman" w:hAnsi="Times New Roman"/>
        </w:rPr>
        <w:t>erejné v</w:t>
      </w:r>
      <w:r w:rsidRPr="0085799C">
        <w:rPr>
          <w:rFonts w:ascii="Times New Roman" w:hAnsi="Times New Roman"/>
        </w:rPr>
        <w:t xml:space="preserve">ysoké školy zaznamenali </w:t>
      </w:r>
      <w:r w:rsidR="004473CC" w:rsidRPr="0085799C">
        <w:rPr>
          <w:rFonts w:ascii="Times New Roman" w:hAnsi="Times New Roman"/>
        </w:rPr>
        <w:t xml:space="preserve">pokles </w:t>
      </w:r>
      <w:r w:rsidRPr="0085799C">
        <w:rPr>
          <w:rFonts w:ascii="Times New Roman" w:hAnsi="Times New Roman"/>
        </w:rPr>
        <w:t>tohto majetku, a to o</w:t>
      </w:r>
      <w:r w:rsidR="00066EBC" w:rsidRPr="0085799C">
        <w:rPr>
          <w:rFonts w:ascii="Times New Roman" w:hAnsi="Times New Roman"/>
        </w:rPr>
        <w:t> 11</w:t>
      </w:r>
      <w:r w:rsidR="004473CC" w:rsidRPr="0085799C">
        <w:rPr>
          <w:rFonts w:ascii="Times New Roman" w:hAnsi="Times New Roman"/>
        </w:rPr>
        <w:t> 279</w:t>
      </w:r>
      <w:r w:rsidRPr="0085799C">
        <w:rPr>
          <w:rFonts w:ascii="Times New Roman" w:hAnsi="Times New Roman"/>
        </w:rPr>
        <w:t> tis. eur.</w:t>
      </w:r>
      <w:r w:rsidR="00F45956" w:rsidRPr="0085799C">
        <w:rPr>
          <w:rFonts w:ascii="Times New Roman" w:hAnsi="Times New Roman"/>
        </w:rPr>
        <w:t xml:space="preserve"> </w:t>
      </w:r>
    </w:p>
    <w:p w14:paraId="7E2E1291" w14:textId="77777777" w:rsidR="00E442C2" w:rsidRDefault="00E442C2" w:rsidP="008143FA">
      <w:pPr>
        <w:spacing w:after="120" w:line="240" w:lineRule="auto"/>
        <w:jc w:val="both"/>
        <w:rPr>
          <w:rFonts w:ascii="Times New Roman" w:hAnsi="Times New Roman"/>
        </w:rPr>
      </w:pPr>
    </w:p>
    <w:p w14:paraId="1F0CBDE0" w14:textId="43AD2C71" w:rsidR="00E442C2" w:rsidRDefault="00475741" w:rsidP="0085799C">
      <w:pPr>
        <w:pStyle w:val="Nadpis4"/>
        <w:numPr>
          <w:ilvl w:val="0"/>
          <w:numId w:val="54"/>
        </w:numPr>
        <w:ind w:left="426" w:hanging="426"/>
      </w:pPr>
      <w:r w:rsidRPr="008143FA">
        <w:t>Dopr</w:t>
      </w:r>
      <w:r w:rsidRPr="008143FA">
        <w:rPr>
          <w:rFonts w:cs="Times New Roman"/>
        </w:rPr>
        <w:t>avné prostriedky</w:t>
      </w:r>
    </w:p>
    <w:p w14:paraId="4E6817A1" w14:textId="400DB565" w:rsidR="001D17CD" w:rsidRPr="0085799C" w:rsidRDefault="00F7461D" w:rsidP="002A40EC">
      <w:pPr>
        <w:spacing w:after="120" w:line="240" w:lineRule="auto"/>
        <w:jc w:val="both"/>
        <w:rPr>
          <w:rFonts w:ascii="Times New Roman" w:hAnsi="Times New Roman"/>
        </w:rPr>
      </w:pPr>
      <w:r w:rsidRPr="0085799C">
        <w:rPr>
          <w:rFonts w:ascii="Times New Roman" w:eastAsia="Calibri" w:hAnsi="Times New Roman"/>
        </w:rPr>
        <w:t>Dopravné prostriedky v rámci súhrnného celku dosiahli hodnotu 2 381 538</w:t>
      </w:r>
      <w:r w:rsidR="0083687D">
        <w:rPr>
          <w:rFonts w:ascii="Times New Roman" w:eastAsia="Calibri" w:hAnsi="Times New Roman"/>
        </w:rPr>
        <w:t> </w:t>
      </w:r>
      <w:r w:rsidRPr="0085799C">
        <w:rPr>
          <w:rFonts w:ascii="Times New Roman" w:eastAsia="Calibri" w:hAnsi="Times New Roman"/>
        </w:rPr>
        <w:t>tis.</w:t>
      </w:r>
      <w:r w:rsidR="0083687D">
        <w:rPr>
          <w:rFonts w:ascii="Times New Roman" w:eastAsia="Calibri" w:hAnsi="Times New Roman"/>
        </w:rPr>
        <w:t> </w:t>
      </w:r>
      <w:r w:rsidRPr="0085799C">
        <w:rPr>
          <w:rFonts w:ascii="Times New Roman" w:eastAsia="Calibri" w:hAnsi="Times New Roman"/>
        </w:rPr>
        <w:t>eur a medziročný nárast o 117 923</w:t>
      </w:r>
      <w:r w:rsidR="0083687D">
        <w:rPr>
          <w:rFonts w:ascii="Times New Roman" w:eastAsia="Calibri" w:hAnsi="Times New Roman"/>
        </w:rPr>
        <w:t> </w:t>
      </w:r>
      <w:r w:rsidRPr="0085799C">
        <w:rPr>
          <w:rFonts w:ascii="Times New Roman" w:eastAsia="Calibri" w:hAnsi="Times New Roman"/>
        </w:rPr>
        <w:t>tis.</w:t>
      </w:r>
      <w:r w:rsidR="0083687D">
        <w:rPr>
          <w:rFonts w:ascii="Times New Roman" w:eastAsia="Calibri" w:hAnsi="Times New Roman"/>
        </w:rPr>
        <w:t> </w:t>
      </w:r>
      <w:r w:rsidRPr="0085799C">
        <w:rPr>
          <w:rFonts w:ascii="Times New Roman" w:eastAsia="Calibri" w:hAnsi="Times New Roman"/>
        </w:rPr>
        <w:t>eur.</w:t>
      </w:r>
      <w:r w:rsidR="00916CC8" w:rsidRPr="0085799C">
        <w:rPr>
          <w:rFonts w:ascii="Times New Roman" w:eastAsia="Calibri" w:hAnsi="Times New Roman"/>
        </w:rPr>
        <w:t xml:space="preserve"> </w:t>
      </w:r>
      <w:r w:rsidR="00647542" w:rsidRPr="0085799C">
        <w:rPr>
          <w:rFonts w:ascii="Times New Roman" w:hAnsi="Times New Roman"/>
        </w:rPr>
        <w:t>V rámci členenia hodnoty majetku podľa skupín subjektov, 7</w:t>
      </w:r>
      <w:r w:rsidR="00170FC2" w:rsidRPr="0085799C">
        <w:rPr>
          <w:rFonts w:ascii="Times New Roman" w:hAnsi="Times New Roman"/>
        </w:rPr>
        <w:t>7</w:t>
      </w:r>
      <w:r w:rsidR="00647542" w:rsidRPr="0085799C">
        <w:rPr>
          <w:rFonts w:ascii="Times New Roman" w:hAnsi="Times New Roman"/>
        </w:rPr>
        <w:t xml:space="preserve"> % resp. 1 </w:t>
      </w:r>
      <w:r w:rsidR="0051695F" w:rsidRPr="0085799C">
        <w:rPr>
          <w:rFonts w:ascii="Times New Roman" w:hAnsi="Times New Roman"/>
        </w:rPr>
        <w:t>835</w:t>
      </w:r>
      <w:r w:rsidR="00916CC8" w:rsidRPr="0085799C">
        <w:rPr>
          <w:rFonts w:ascii="Times New Roman" w:hAnsi="Times New Roman"/>
        </w:rPr>
        <w:t> </w:t>
      </w:r>
      <w:r w:rsidR="0051695F" w:rsidRPr="0085799C">
        <w:rPr>
          <w:rFonts w:ascii="Times New Roman" w:hAnsi="Times New Roman"/>
        </w:rPr>
        <w:t>677</w:t>
      </w:r>
      <w:r w:rsidR="00647542" w:rsidRPr="0085799C">
        <w:rPr>
          <w:rFonts w:ascii="Times New Roman" w:hAnsi="Times New Roman"/>
        </w:rPr>
        <w:t> tis. eur tvorí ústredná správa</w:t>
      </w:r>
      <w:r w:rsidR="00A848FD" w:rsidRPr="0085799C">
        <w:rPr>
          <w:rFonts w:ascii="Times New Roman" w:hAnsi="Times New Roman"/>
        </w:rPr>
        <w:t>.</w:t>
      </w:r>
      <w:r w:rsidR="00F45956" w:rsidRPr="0085799C">
        <w:rPr>
          <w:rFonts w:ascii="Times New Roman" w:hAnsi="Times New Roman"/>
        </w:rPr>
        <w:t xml:space="preserve"> </w:t>
      </w:r>
    </w:p>
    <w:p w14:paraId="435ACE40" w14:textId="77777777" w:rsidR="0048496F" w:rsidRDefault="5ED5F9CD" w:rsidP="002A40EC">
      <w:pPr>
        <w:spacing w:after="120" w:line="240" w:lineRule="auto"/>
        <w:jc w:val="both"/>
      </w:pPr>
      <w:r w:rsidRPr="0085799C">
        <w:rPr>
          <w:rFonts w:ascii="Times New Roman" w:eastAsia="Calibri" w:hAnsi="Times New Roman"/>
        </w:rPr>
        <w:t xml:space="preserve">Najvyššiu hodnotu </w:t>
      </w:r>
      <w:r w:rsidR="00C941EE" w:rsidRPr="0085799C">
        <w:rPr>
          <w:rFonts w:ascii="Times New Roman" w:eastAsia="Calibri" w:hAnsi="Times New Roman"/>
        </w:rPr>
        <w:t xml:space="preserve">v rámci ústrednej správy </w:t>
      </w:r>
      <w:r w:rsidRPr="0085799C">
        <w:rPr>
          <w:rFonts w:ascii="Times New Roman" w:eastAsia="Calibri" w:hAnsi="Times New Roman"/>
        </w:rPr>
        <w:t>vykázala</w:t>
      </w:r>
      <w:r w:rsidRPr="0085799C">
        <w:rPr>
          <w:rFonts w:ascii="Times New Roman" w:eastAsia="Calibri" w:hAnsi="Times New Roman"/>
          <w:color w:val="C00000"/>
        </w:rPr>
        <w:t xml:space="preserve"> </w:t>
      </w:r>
      <w:r w:rsidR="1269C507" w:rsidRPr="0085799C">
        <w:rPr>
          <w:rFonts w:ascii="Times New Roman" w:eastAsia="Calibri" w:hAnsi="Times New Roman"/>
          <w:u w:val="single"/>
        </w:rPr>
        <w:t xml:space="preserve">kapitola </w:t>
      </w:r>
      <w:r w:rsidRPr="0085799C">
        <w:rPr>
          <w:rFonts w:ascii="Times New Roman" w:eastAsia="Calibri" w:hAnsi="Times New Roman"/>
          <w:u w:val="single"/>
        </w:rPr>
        <w:t>Ministerstva dopravy SR</w:t>
      </w:r>
      <w:r w:rsidRPr="0085799C">
        <w:rPr>
          <w:rFonts w:ascii="Times New Roman" w:eastAsia="Calibri" w:hAnsi="Times New Roman"/>
        </w:rPr>
        <w:t xml:space="preserve"> (1</w:t>
      </w:r>
      <w:r w:rsidR="0083687D">
        <w:rPr>
          <w:rFonts w:ascii="Times New Roman" w:eastAsia="Calibri" w:hAnsi="Times New Roman"/>
        </w:rPr>
        <w:t> </w:t>
      </w:r>
      <w:r w:rsidRPr="0085799C">
        <w:rPr>
          <w:rFonts w:ascii="Times New Roman" w:eastAsia="Calibri" w:hAnsi="Times New Roman"/>
        </w:rPr>
        <w:t>084</w:t>
      </w:r>
      <w:r w:rsidR="0083687D">
        <w:rPr>
          <w:rFonts w:ascii="Times New Roman" w:eastAsia="Calibri" w:hAnsi="Times New Roman"/>
        </w:rPr>
        <w:t> </w:t>
      </w:r>
      <w:r w:rsidRPr="0085799C">
        <w:rPr>
          <w:rFonts w:ascii="Times New Roman" w:eastAsia="Calibri" w:hAnsi="Times New Roman"/>
        </w:rPr>
        <w:t>933</w:t>
      </w:r>
      <w:r w:rsidR="0083687D">
        <w:rPr>
          <w:rFonts w:ascii="Times New Roman" w:eastAsia="Calibri" w:hAnsi="Times New Roman"/>
        </w:rPr>
        <w:t> </w:t>
      </w:r>
      <w:r w:rsidR="00716034" w:rsidRPr="0085799C">
        <w:rPr>
          <w:rFonts w:ascii="Times New Roman" w:eastAsia="Calibri" w:hAnsi="Times New Roman"/>
        </w:rPr>
        <w:t>tis.</w:t>
      </w:r>
      <w:r w:rsidR="0083687D">
        <w:rPr>
          <w:rFonts w:ascii="Times New Roman" w:eastAsia="Calibri" w:hAnsi="Times New Roman"/>
        </w:rPr>
        <w:t> </w:t>
      </w:r>
      <w:r w:rsidRPr="0085799C">
        <w:rPr>
          <w:rFonts w:ascii="Times New Roman" w:eastAsia="Calibri" w:hAnsi="Times New Roman"/>
        </w:rPr>
        <w:t xml:space="preserve">eur) a v rámci nej Železničná spoločnosť Slovensko, a.s. (896 044 </w:t>
      </w:r>
      <w:r w:rsidR="006C138F" w:rsidRPr="0085799C">
        <w:rPr>
          <w:rFonts w:ascii="Times New Roman" w:eastAsia="Calibri" w:hAnsi="Times New Roman"/>
        </w:rPr>
        <w:t>tis.</w:t>
      </w:r>
      <w:r w:rsidRPr="0085799C">
        <w:rPr>
          <w:rFonts w:ascii="Times New Roman" w:eastAsia="Calibri" w:hAnsi="Times New Roman"/>
        </w:rPr>
        <w:t xml:space="preserve"> eur), Železničná spoločnosť Cargo Slovakia, a.s. (108 536 </w:t>
      </w:r>
      <w:r w:rsidR="006C138F" w:rsidRPr="0085799C">
        <w:rPr>
          <w:rFonts w:ascii="Times New Roman" w:eastAsia="Calibri" w:hAnsi="Times New Roman"/>
        </w:rPr>
        <w:t>tis.</w:t>
      </w:r>
      <w:r w:rsidRPr="0085799C">
        <w:rPr>
          <w:rFonts w:ascii="Times New Roman" w:eastAsia="Calibri" w:hAnsi="Times New Roman"/>
        </w:rPr>
        <w:t xml:space="preserve"> eur), Národná diaľničná spoločnosť, a.s. (34</w:t>
      </w:r>
      <w:r w:rsidR="006C138F" w:rsidRPr="0085799C">
        <w:rPr>
          <w:rFonts w:ascii="Times New Roman" w:eastAsia="Calibri" w:hAnsi="Times New Roman"/>
        </w:rPr>
        <w:t> </w:t>
      </w:r>
      <w:r w:rsidRPr="0085799C">
        <w:rPr>
          <w:rFonts w:ascii="Times New Roman" w:eastAsia="Calibri" w:hAnsi="Times New Roman"/>
        </w:rPr>
        <w:t>84</w:t>
      </w:r>
      <w:r w:rsidR="006C138F" w:rsidRPr="0085799C">
        <w:rPr>
          <w:rFonts w:ascii="Times New Roman" w:eastAsia="Calibri" w:hAnsi="Times New Roman"/>
        </w:rPr>
        <w:t xml:space="preserve">5 tis. </w:t>
      </w:r>
      <w:r w:rsidRPr="0085799C">
        <w:rPr>
          <w:rFonts w:ascii="Times New Roman" w:eastAsia="Calibri" w:hAnsi="Times New Roman"/>
        </w:rPr>
        <w:t xml:space="preserve">eur) a Železnice Slovenskej republiky (24 250 </w:t>
      </w:r>
      <w:r w:rsidR="006C138F" w:rsidRPr="0085799C">
        <w:rPr>
          <w:rFonts w:ascii="Times New Roman" w:eastAsia="Calibri" w:hAnsi="Times New Roman"/>
        </w:rPr>
        <w:t>tis.</w:t>
      </w:r>
      <w:r w:rsidRPr="0085799C">
        <w:rPr>
          <w:rFonts w:ascii="Times New Roman" w:eastAsia="Calibri" w:hAnsi="Times New Roman"/>
        </w:rPr>
        <w:t xml:space="preserve"> eur).</w:t>
      </w:r>
      <w:r w:rsidRPr="0085799C">
        <w:rPr>
          <w:rFonts w:ascii="Times New Roman" w:eastAsia="Calibri" w:hAnsi="Times New Roman"/>
          <w:color w:val="C00000"/>
        </w:rPr>
        <w:t xml:space="preserve"> </w:t>
      </w:r>
      <w:r w:rsidRPr="0085799C">
        <w:rPr>
          <w:rFonts w:ascii="Times New Roman" w:eastAsia="Calibri" w:hAnsi="Times New Roman"/>
          <w:u w:val="single"/>
        </w:rPr>
        <w:t>Kapitola Ministerstva vnútra SR</w:t>
      </w:r>
      <w:r w:rsidRPr="0085799C">
        <w:rPr>
          <w:rFonts w:ascii="Times New Roman" w:eastAsia="Calibri" w:hAnsi="Times New Roman"/>
        </w:rPr>
        <w:t xml:space="preserve"> vykázala hodnotu 323 213 </w:t>
      </w:r>
      <w:r w:rsidR="006C138F" w:rsidRPr="0085799C">
        <w:rPr>
          <w:rFonts w:ascii="Times New Roman" w:eastAsia="Calibri" w:hAnsi="Times New Roman"/>
        </w:rPr>
        <w:t>tis.</w:t>
      </w:r>
      <w:r w:rsidRPr="0085799C">
        <w:rPr>
          <w:rFonts w:ascii="Times New Roman" w:eastAsia="Calibri" w:hAnsi="Times New Roman"/>
        </w:rPr>
        <w:t xml:space="preserve"> eur a </w:t>
      </w:r>
      <w:r w:rsidRPr="0085799C">
        <w:rPr>
          <w:rFonts w:ascii="Times New Roman" w:eastAsia="Calibri" w:hAnsi="Times New Roman"/>
          <w:u w:val="single"/>
        </w:rPr>
        <w:t>kapitola Ministerstva obrany SR</w:t>
      </w:r>
      <w:r w:rsidRPr="0085799C">
        <w:rPr>
          <w:rFonts w:ascii="Times New Roman" w:eastAsia="Calibri" w:hAnsi="Times New Roman"/>
        </w:rPr>
        <w:t xml:space="preserve"> sumu 317 501 </w:t>
      </w:r>
      <w:r w:rsidR="006C138F" w:rsidRPr="0085799C">
        <w:rPr>
          <w:rFonts w:ascii="Times New Roman" w:eastAsia="Calibri" w:hAnsi="Times New Roman"/>
        </w:rPr>
        <w:t>tis.</w:t>
      </w:r>
      <w:r w:rsidRPr="0085799C">
        <w:rPr>
          <w:rFonts w:ascii="Times New Roman" w:eastAsia="Calibri" w:hAnsi="Times New Roman"/>
        </w:rPr>
        <w:t xml:space="preserve"> eur.</w:t>
      </w:r>
    </w:p>
    <w:p w14:paraId="5D3AFE65" w14:textId="02837257" w:rsidR="00453A34" w:rsidRDefault="5ED5F9CD" w:rsidP="002A40EC">
      <w:pPr>
        <w:spacing w:after="120" w:line="240" w:lineRule="auto"/>
        <w:jc w:val="both"/>
        <w:rPr>
          <w:rFonts w:ascii="Times New Roman" w:eastAsia="Calibri" w:hAnsi="Times New Roman"/>
        </w:rPr>
      </w:pPr>
      <w:r w:rsidRPr="0085799C">
        <w:rPr>
          <w:rFonts w:ascii="Times New Roman" w:eastAsia="Calibri" w:hAnsi="Times New Roman"/>
        </w:rPr>
        <w:t xml:space="preserve">Najvyšší nárast oproti roku 2023 dosiahlo </w:t>
      </w:r>
      <w:r w:rsidRPr="0085799C">
        <w:rPr>
          <w:rFonts w:ascii="Times New Roman" w:eastAsia="Calibri" w:hAnsi="Times New Roman"/>
          <w:u w:val="single"/>
        </w:rPr>
        <w:t>Ministerstvo obrany SR</w:t>
      </w:r>
      <w:r w:rsidRPr="0085799C">
        <w:rPr>
          <w:rFonts w:ascii="Times New Roman" w:eastAsia="Calibri" w:hAnsi="Times New Roman"/>
        </w:rPr>
        <w:t xml:space="preserve"> o 43</w:t>
      </w:r>
      <w:r w:rsidR="006C138F" w:rsidRPr="0085799C">
        <w:rPr>
          <w:rFonts w:ascii="Times New Roman" w:eastAsia="Calibri" w:hAnsi="Times New Roman"/>
        </w:rPr>
        <w:t> </w:t>
      </w:r>
      <w:r w:rsidRPr="0085799C">
        <w:rPr>
          <w:rFonts w:ascii="Times New Roman" w:eastAsia="Calibri" w:hAnsi="Times New Roman"/>
        </w:rPr>
        <w:t>34</w:t>
      </w:r>
      <w:r w:rsidR="006C138F" w:rsidRPr="0085799C">
        <w:rPr>
          <w:rFonts w:ascii="Times New Roman" w:eastAsia="Calibri" w:hAnsi="Times New Roman"/>
        </w:rPr>
        <w:t>2 tis.</w:t>
      </w:r>
      <w:r w:rsidR="00EC3A8D" w:rsidRPr="0085799C">
        <w:rPr>
          <w:rFonts w:ascii="Times New Roman" w:eastAsia="Calibri" w:hAnsi="Times New Roman"/>
        </w:rPr>
        <w:t xml:space="preserve"> eur</w:t>
      </w:r>
      <w:r w:rsidRPr="0085799C">
        <w:rPr>
          <w:rFonts w:ascii="Times New Roman" w:eastAsia="Calibri" w:hAnsi="Times New Roman"/>
        </w:rPr>
        <w:t xml:space="preserve"> a túto skutočnosť významne ovplyvnilo zaradenie</w:t>
      </w:r>
      <w:r w:rsidR="00BB1FA1" w:rsidRPr="00BB1FA1">
        <w:rPr>
          <w:rFonts w:ascii="Times New Roman" w:eastAsia="Calibri" w:hAnsi="Times New Roman"/>
        </w:rPr>
        <w:t xml:space="preserve"> </w:t>
      </w:r>
      <w:r w:rsidR="00BB1FA1" w:rsidRPr="0085799C">
        <w:rPr>
          <w:rFonts w:ascii="Times New Roman" w:eastAsia="Calibri" w:hAnsi="Times New Roman"/>
        </w:rPr>
        <w:t>do používania</w:t>
      </w:r>
      <w:r w:rsidRPr="0085799C">
        <w:rPr>
          <w:rFonts w:ascii="Times New Roman" w:eastAsia="Calibri" w:hAnsi="Times New Roman"/>
        </w:rPr>
        <w:t xml:space="preserve"> </w:t>
      </w:r>
      <w:r w:rsidR="00BB1FA1" w:rsidRPr="0085799C">
        <w:rPr>
          <w:rFonts w:ascii="Times New Roman" w:eastAsia="Calibri" w:hAnsi="Times New Roman"/>
        </w:rPr>
        <w:t xml:space="preserve">viacúčelových vrtuľníkov UH-60 </w:t>
      </w:r>
      <w:r w:rsidRPr="0085799C">
        <w:rPr>
          <w:rFonts w:ascii="Times New Roman" w:eastAsia="Calibri" w:hAnsi="Times New Roman"/>
        </w:rPr>
        <w:t xml:space="preserve">v hodnote 30 098 </w:t>
      </w:r>
      <w:r w:rsidR="002E3128" w:rsidRPr="0085799C">
        <w:rPr>
          <w:rFonts w:ascii="Times New Roman" w:eastAsia="Calibri" w:hAnsi="Times New Roman"/>
        </w:rPr>
        <w:t>tis</w:t>
      </w:r>
      <w:r w:rsidRPr="0085799C">
        <w:rPr>
          <w:rFonts w:ascii="Times New Roman" w:eastAsia="Calibri" w:hAnsi="Times New Roman"/>
        </w:rPr>
        <w:t xml:space="preserve"> eur, osobných vozidiel v hodnote 27</w:t>
      </w:r>
      <w:r w:rsidR="00201A0B">
        <w:rPr>
          <w:rFonts w:ascii="Times New Roman" w:eastAsia="Calibri" w:hAnsi="Times New Roman"/>
        </w:rPr>
        <w:t> </w:t>
      </w:r>
      <w:r w:rsidRPr="0085799C">
        <w:rPr>
          <w:rFonts w:ascii="Times New Roman" w:eastAsia="Calibri" w:hAnsi="Times New Roman"/>
        </w:rPr>
        <w:t xml:space="preserve">869 </w:t>
      </w:r>
      <w:r w:rsidR="002E3128" w:rsidRPr="0085799C">
        <w:rPr>
          <w:rFonts w:ascii="Times New Roman" w:eastAsia="Calibri" w:hAnsi="Times New Roman"/>
        </w:rPr>
        <w:t>tis.</w:t>
      </w:r>
      <w:r w:rsidRPr="0085799C">
        <w:rPr>
          <w:rFonts w:ascii="Times New Roman" w:eastAsia="Calibri" w:hAnsi="Times New Roman"/>
        </w:rPr>
        <w:t xml:space="preserve"> eur a policajných áut v hodnote 2 649 </w:t>
      </w:r>
      <w:r w:rsidR="002E3128" w:rsidRPr="0085799C">
        <w:rPr>
          <w:rFonts w:ascii="Times New Roman" w:eastAsia="Calibri" w:hAnsi="Times New Roman"/>
        </w:rPr>
        <w:t>tis.</w:t>
      </w:r>
      <w:r w:rsidRPr="0085799C">
        <w:rPr>
          <w:rFonts w:ascii="Times New Roman" w:eastAsia="Calibri" w:hAnsi="Times New Roman"/>
        </w:rPr>
        <w:t xml:space="preserve"> eur. </w:t>
      </w:r>
    </w:p>
    <w:p w14:paraId="77774ABD" w14:textId="30AD227D" w:rsidR="002A2E1F" w:rsidRDefault="5ED5F9CD" w:rsidP="002A40EC">
      <w:pPr>
        <w:spacing w:after="120" w:line="240" w:lineRule="auto"/>
        <w:jc w:val="both"/>
        <w:rPr>
          <w:rFonts w:ascii="Times New Roman" w:hAnsi="Times New Roman"/>
        </w:rPr>
      </w:pPr>
      <w:r w:rsidRPr="0085799C">
        <w:rPr>
          <w:rFonts w:ascii="Times New Roman" w:eastAsia="Calibri" w:hAnsi="Times New Roman"/>
        </w:rPr>
        <w:t xml:space="preserve">Druhý najvyšší medziročný nárast dosiahla </w:t>
      </w:r>
      <w:r w:rsidRPr="0085799C">
        <w:rPr>
          <w:rFonts w:ascii="Times New Roman" w:eastAsia="Calibri" w:hAnsi="Times New Roman"/>
          <w:u w:val="single"/>
        </w:rPr>
        <w:t>Železničná spoločnosť Slovensko, a.s.</w:t>
      </w:r>
      <w:r w:rsidRPr="0085799C">
        <w:rPr>
          <w:rFonts w:ascii="Times New Roman" w:eastAsia="Calibri" w:hAnsi="Times New Roman"/>
          <w:b/>
          <w:i/>
        </w:rPr>
        <w:t xml:space="preserve"> </w:t>
      </w:r>
      <w:r w:rsidRPr="0085799C">
        <w:rPr>
          <w:rFonts w:ascii="Times New Roman" w:eastAsia="Calibri" w:hAnsi="Times New Roman"/>
        </w:rPr>
        <w:t xml:space="preserve">v hodnote 39 203 </w:t>
      </w:r>
      <w:r w:rsidR="002E3128" w:rsidRPr="0085799C">
        <w:rPr>
          <w:rFonts w:ascii="Times New Roman" w:eastAsia="Calibri" w:hAnsi="Times New Roman"/>
        </w:rPr>
        <w:t>tis.</w:t>
      </w:r>
      <w:r w:rsidRPr="0085799C">
        <w:rPr>
          <w:rFonts w:ascii="Times New Roman" w:eastAsia="Calibri" w:hAnsi="Times New Roman"/>
        </w:rPr>
        <w:t xml:space="preserve"> eur. Medziročný rozdiel na dopravných prostriedkoch predstavujú prírastky a preúčtovania v celkovej hodnote  187 984 </w:t>
      </w:r>
      <w:r w:rsidR="002E3128" w:rsidRPr="0085799C">
        <w:rPr>
          <w:rFonts w:ascii="Times New Roman" w:eastAsia="Calibri" w:hAnsi="Times New Roman"/>
        </w:rPr>
        <w:t>tis.</w:t>
      </w:r>
      <w:r w:rsidRPr="0085799C">
        <w:rPr>
          <w:rFonts w:ascii="Times New Roman" w:eastAsia="Calibri" w:hAnsi="Times New Roman"/>
        </w:rPr>
        <w:t xml:space="preserve"> eur. Prírastky predstavujú zverené technické zhodnotenia, a to najmä prestavba osobných vozňov a modernizácia osobných vozňov menšieho rozsahu, ktoré sú nutné k udržaniu technických, prevádzkových a bezpečnostných kritérií a modernizácia hnacích koľajových vozidiel</w:t>
      </w:r>
      <w:r w:rsidR="00A73EE2">
        <w:rPr>
          <w:rFonts w:ascii="Times New Roman" w:hAnsi="Times New Roman"/>
        </w:rPr>
        <w:t>.</w:t>
      </w:r>
    </w:p>
    <w:p w14:paraId="0689F442" w14:textId="73FD7EAA" w:rsidR="00F45956" w:rsidRDefault="00647542" w:rsidP="0083687D">
      <w:pPr>
        <w:spacing w:after="120" w:line="240" w:lineRule="auto"/>
        <w:jc w:val="both"/>
        <w:rPr>
          <w:rFonts w:ascii="Times New Roman" w:eastAsia="Calibri" w:hAnsi="Times New Roman"/>
        </w:rPr>
      </w:pPr>
      <w:r w:rsidRPr="0085799C">
        <w:rPr>
          <w:rFonts w:ascii="Times New Roman" w:hAnsi="Times New Roman"/>
          <w:szCs w:val="22"/>
        </w:rPr>
        <w:lastRenderedPageBreak/>
        <w:t xml:space="preserve">V rámci tejto položky majetku tvoria významnú hodnotu aj mestá a obce SR, a to </w:t>
      </w:r>
      <w:r w:rsidR="00CE1129" w:rsidRPr="0085799C">
        <w:rPr>
          <w:rFonts w:ascii="Times New Roman" w:hAnsi="Times New Roman"/>
          <w:szCs w:val="22"/>
        </w:rPr>
        <w:t xml:space="preserve">488 482 </w:t>
      </w:r>
      <w:r w:rsidRPr="0085799C">
        <w:rPr>
          <w:rFonts w:ascii="Times New Roman" w:hAnsi="Times New Roman"/>
          <w:szCs w:val="22"/>
        </w:rPr>
        <w:t xml:space="preserve">tis. eur, nasledujú subjekty vyšších územných celkov </w:t>
      </w:r>
      <w:r w:rsidR="00663820" w:rsidRPr="0085799C">
        <w:rPr>
          <w:rFonts w:ascii="Times New Roman" w:hAnsi="Times New Roman"/>
          <w:szCs w:val="22"/>
        </w:rPr>
        <w:t xml:space="preserve">50 425 </w:t>
      </w:r>
      <w:r w:rsidRPr="0085799C">
        <w:rPr>
          <w:rFonts w:ascii="Times New Roman" w:hAnsi="Times New Roman"/>
          <w:szCs w:val="22"/>
        </w:rPr>
        <w:t xml:space="preserve">tis. eur a ostatné subjekty verejnej správy </w:t>
      </w:r>
      <w:r w:rsidR="00A76FBF" w:rsidRPr="0085799C">
        <w:rPr>
          <w:rFonts w:ascii="Times New Roman" w:hAnsi="Times New Roman"/>
          <w:szCs w:val="22"/>
        </w:rPr>
        <w:t xml:space="preserve">6 954 </w:t>
      </w:r>
      <w:r w:rsidRPr="0085799C">
        <w:rPr>
          <w:rFonts w:ascii="Times New Roman" w:hAnsi="Times New Roman"/>
          <w:szCs w:val="22"/>
        </w:rPr>
        <w:t>tis. eur.</w:t>
      </w:r>
    </w:p>
    <w:p w14:paraId="3A3F58DD" w14:textId="77777777" w:rsidR="0083687D" w:rsidRPr="0085799C" w:rsidRDefault="0083687D" w:rsidP="0085799C">
      <w:pPr>
        <w:spacing w:after="120" w:line="240" w:lineRule="auto"/>
        <w:jc w:val="both"/>
        <w:rPr>
          <w:rFonts w:ascii="Times New Roman" w:eastAsia="Calibri" w:hAnsi="Times New Roman"/>
        </w:rPr>
      </w:pPr>
    </w:p>
    <w:p w14:paraId="28B7641C" w14:textId="05F3F86C" w:rsidR="0017539A" w:rsidRDefault="0017539A" w:rsidP="009F2AF6">
      <w:pPr>
        <w:pStyle w:val="Nadpis4"/>
        <w:numPr>
          <w:ilvl w:val="0"/>
          <w:numId w:val="54"/>
        </w:numPr>
        <w:ind w:left="426" w:hanging="426"/>
        <w:rPr>
          <w:b w:val="0"/>
          <w:szCs w:val="22"/>
        </w:rPr>
      </w:pPr>
      <w:bookmarkStart w:id="13" w:name="_Dopravné_prostriedky"/>
      <w:bookmarkStart w:id="14" w:name="_Poskytnuté_preddavky"/>
      <w:bookmarkEnd w:id="13"/>
      <w:bookmarkEnd w:id="14"/>
      <w:r>
        <w:t>Poskytnuté preddavky</w:t>
      </w:r>
    </w:p>
    <w:p w14:paraId="37200367" w14:textId="037AA37B" w:rsidR="00566820" w:rsidRPr="002A40EC" w:rsidRDefault="00193D81" w:rsidP="0085799C">
      <w:pPr>
        <w:pStyle w:val="Pismenka"/>
        <w:tabs>
          <w:tab w:val="clear" w:pos="426"/>
        </w:tabs>
        <w:spacing w:after="120"/>
        <w:ind w:left="0" w:firstLine="0"/>
        <w:rPr>
          <w:b w:val="0"/>
          <w:sz w:val="22"/>
          <w:szCs w:val="22"/>
        </w:rPr>
      </w:pPr>
      <w:r w:rsidRPr="0085799C">
        <w:rPr>
          <w:rFonts w:eastAsia="Calibri"/>
          <w:b w:val="0"/>
          <w:bCs w:val="0"/>
          <w:sz w:val="22"/>
          <w:szCs w:val="22"/>
        </w:rPr>
        <w:t>C</w:t>
      </w:r>
      <w:r w:rsidR="00566820" w:rsidRPr="0085799C">
        <w:rPr>
          <w:rFonts w:eastAsia="Calibri"/>
          <w:b w:val="0"/>
          <w:bCs w:val="0"/>
          <w:sz w:val="22"/>
          <w:szCs w:val="22"/>
        </w:rPr>
        <w:t>elková</w:t>
      </w:r>
      <w:r w:rsidR="00566820" w:rsidRPr="0085799C">
        <w:rPr>
          <w:rFonts w:eastAsia="Calibri"/>
          <w:b w:val="0"/>
          <w:sz w:val="22"/>
          <w:szCs w:val="22"/>
        </w:rPr>
        <w:t xml:space="preserve"> hodnota poskytnutých preddavkov na dlhodobý hmotný majetok dosiahla hodnotu 2</w:t>
      </w:r>
      <w:r w:rsidRPr="002A40EC">
        <w:rPr>
          <w:rFonts w:eastAsia="Calibri"/>
          <w:b w:val="0"/>
          <w:sz w:val="22"/>
          <w:szCs w:val="22"/>
        </w:rPr>
        <w:t> </w:t>
      </w:r>
      <w:r w:rsidR="006932C9" w:rsidRPr="0085799C">
        <w:rPr>
          <w:rFonts w:eastAsia="Calibri"/>
          <w:b w:val="0"/>
          <w:sz w:val="22"/>
          <w:szCs w:val="22"/>
        </w:rPr>
        <w:t>877</w:t>
      </w:r>
      <w:r w:rsidRPr="002A40EC">
        <w:rPr>
          <w:rFonts w:eastAsia="Calibri"/>
          <w:b w:val="0"/>
          <w:sz w:val="22"/>
          <w:szCs w:val="22"/>
        </w:rPr>
        <w:t> </w:t>
      </w:r>
      <w:r w:rsidR="00456B1E" w:rsidRPr="0085799C">
        <w:rPr>
          <w:rFonts w:eastAsia="Calibri"/>
          <w:b w:val="0"/>
          <w:sz w:val="22"/>
          <w:szCs w:val="22"/>
        </w:rPr>
        <w:t>680</w:t>
      </w:r>
      <w:r w:rsidRPr="002A40EC">
        <w:rPr>
          <w:rFonts w:eastAsia="Calibri"/>
          <w:b w:val="0"/>
          <w:sz w:val="22"/>
          <w:szCs w:val="22"/>
        </w:rPr>
        <w:t> </w:t>
      </w:r>
      <w:r w:rsidR="00456B1E" w:rsidRPr="0085799C">
        <w:rPr>
          <w:rFonts w:eastAsia="Calibri"/>
          <w:b w:val="0"/>
          <w:sz w:val="22"/>
          <w:szCs w:val="22"/>
        </w:rPr>
        <w:t>tis.</w:t>
      </w:r>
      <w:r w:rsidR="00566820" w:rsidRPr="0085799C">
        <w:rPr>
          <w:rFonts w:eastAsia="Calibri"/>
          <w:b w:val="0"/>
          <w:sz w:val="22"/>
          <w:szCs w:val="22"/>
        </w:rPr>
        <w:t xml:space="preserve"> eur a medziročne sa zvýšila o</w:t>
      </w:r>
      <w:r w:rsidR="00456B1E" w:rsidRPr="0085799C">
        <w:rPr>
          <w:rFonts w:eastAsia="Calibri"/>
          <w:b w:val="0"/>
          <w:sz w:val="22"/>
          <w:szCs w:val="22"/>
        </w:rPr>
        <w:t> 266 542 tis.</w:t>
      </w:r>
      <w:r w:rsidR="00566820" w:rsidRPr="0085799C">
        <w:rPr>
          <w:rFonts w:eastAsia="Calibri"/>
          <w:b w:val="0"/>
          <w:sz w:val="22"/>
          <w:szCs w:val="22"/>
        </w:rPr>
        <w:t xml:space="preserve"> eur</w:t>
      </w:r>
      <w:r w:rsidR="00EE5AD9" w:rsidRPr="0085799C">
        <w:rPr>
          <w:rFonts w:eastAsia="Calibri"/>
          <w:b w:val="0"/>
          <w:sz w:val="22"/>
          <w:szCs w:val="22"/>
        </w:rPr>
        <w:t>.</w:t>
      </w:r>
    </w:p>
    <w:p w14:paraId="549A71F5" w14:textId="699F60B2" w:rsidR="00991714" w:rsidRPr="002A40EC" w:rsidRDefault="00647542" w:rsidP="002A40EC">
      <w:pPr>
        <w:pStyle w:val="Pismenka"/>
        <w:tabs>
          <w:tab w:val="clear" w:pos="426"/>
        </w:tabs>
        <w:spacing w:after="120"/>
        <w:ind w:left="0" w:firstLine="0"/>
        <w:rPr>
          <w:rFonts w:eastAsia="Calibri"/>
          <w:b w:val="0"/>
          <w:sz w:val="22"/>
          <w:szCs w:val="22"/>
        </w:rPr>
      </w:pPr>
      <w:r w:rsidRPr="002A40EC">
        <w:rPr>
          <w:b w:val="0"/>
          <w:sz w:val="22"/>
          <w:szCs w:val="22"/>
        </w:rPr>
        <w:t>Položku tvorí takmer výlučne ústredná správa (9</w:t>
      </w:r>
      <w:r w:rsidR="00BD6E45" w:rsidRPr="002A40EC">
        <w:rPr>
          <w:b w:val="0"/>
          <w:sz w:val="22"/>
          <w:szCs w:val="22"/>
        </w:rPr>
        <w:t>9</w:t>
      </w:r>
      <w:r w:rsidRPr="002A40EC">
        <w:rPr>
          <w:b w:val="0"/>
          <w:sz w:val="22"/>
          <w:szCs w:val="22"/>
        </w:rPr>
        <w:t>,</w:t>
      </w:r>
      <w:r w:rsidR="00BD6E45" w:rsidRPr="002A40EC">
        <w:rPr>
          <w:b w:val="0"/>
          <w:sz w:val="22"/>
          <w:szCs w:val="22"/>
        </w:rPr>
        <w:t>5</w:t>
      </w:r>
      <w:r w:rsidRPr="002A40EC">
        <w:rPr>
          <w:b w:val="0"/>
          <w:sz w:val="22"/>
          <w:szCs w:val="22"/>
        </w:rPr>
        <w:t xml:space="preserve"> %) a v rámci nej </w:t>
      </w:r>
      <w:r w:rsidRPr="002A40EC">
        <w:rPr>
          <w:b w:val="0"/>
          <w:sz w:val="22"/>
          <w:szCs w:val="22"/>
          <w:u w:val="single"/>
        </w:rPr>
        <w:t xml:space="preserve">Ministerstvo obrany SR </w:t>
      </w:r>
      <w:r w:rsidRPr="0085799C">
        <w:rPr>
          <w:sz w:val="22"/>
          <w:szCs w:val="22"/>
        </w:rPr>
        <w:br/>
      </w:r>
      <w:r w:rsidRPr="002A40EC">
        <w:rPr>
          <w:b w:val="0"/>
          <w:sz w:val="22"/>
          <w:szCs w:val="22"/>
        </w:rPr>
        <w:t>2 </w:t>
      </w:r>
      <w:r w:rsidR="00BD6E45" w:rsidRPr="002A40EC">
        <w:rPr>
          <w:b w:val="0"/>
          <w:sz w:val="22"/>
          <w:szCs w:val="22"/>
        </w:rPr>
        <w:t>849 305</w:t>
      </w:r>
      <w:r w:rsidRPr="002A40EC">
        <w:rPr>
          <w:b w:val="0"/>
          <w:sz w:val="22"/>
          <w:szCs w:val="22"/>
        </w:rPr>
        <w:t> tis. eur</w:t>
      </w:r>
      <w:r w:rsidR="00456B1E" w:rsidRPr="002A40EC">
        <w:rPr>
          <w:b w:val="0"/>
          <w:sz w:val="22"/>
          <w:szCs w:val="22"/>
        </w:rPr>
        <w:t xml:space="preserve">, </w:t>
      </w:r>
      <w:r w:rsidR="30D5EC90" w:rsidRPr="0085799C">
        <w:rPr>
          <w:rFonts w:eastAsia="Calibri"/>
          <w:b w:val="0"/>
          <w:sz w:val="22"/>
          <w:szCs w:val="22"/>
        </w:rPr>
        <w:t xml:space="preserve">v roku 2023: 2 471 090 </w:t>
      </w:r>
      <w:r w:rsidR="00456B1E" w:rsidRPr="0085799C">
        <w:rPr>
          <w:rFonts w:eastAsia="Calibri"/>
          <w:b w:val="0"/>
          <w:bCs w:val="0"/>
          <w:sz w:val="22"/>
          <w:szCs w:val="22"/>
        </w:rPr>
        <w:t>tis.</w:t>
      </w:r>
      <w:r w:rsidR="30D5EC90" w:rsidRPr="0085799C">
        <w:rPr>
          <w:rFonts w:eastAsia="Calibri"/>
          <w:b w:val="0"/>
          <w:sz w:val="22"/>
          <w:szCs w:val="22"/>
        </w:rPr>
        <w:t xml:space="preserve"> eur). Na tomto účte sú vykázané preddavky súvisiace najmä s nákupom obrannej techniky</w:t>
      </w:r>
      <w:r w:rsidR="00DD377B">
        <w:rPr>
          <w:rFonts w:eastAsia="Calibri"/>
          <w:b w:val="0"/>
          <w:sz w:val="22"/>
          <w:szCs w:val="22"/>
        </w:rPr>
        <w:t>,</w:t>
      </w:r>
      <w:r w:rsidR="30D5EC90" w:rsidRPr="0085799C">
        <w:rPr>
          <w:rFonts w:eastAsia="Calibri"/>
          <w:b w:val="0"/>
          <w:sz w:val="22"/>
          <w:szCs w:val="22"/>
        </w:rPr>
        <w:t xml:space="preserve"> viacúčelových nákladných automobilov</w:t>
      </w:r>
      <w:r w:rsidR="00DD377B">
        <w:rPr>
          <w:rFonts w:eastAsia="Calibri"/>
          <w:b w:val="0"/>
          <w:sz w:val="22"/>
          <w:szCs w:val="22"/>
        </w:rPr>
        <w:t>,</w:t>
      </w:r>
      <w:r w:rsidR="30D5EC90" w:rsidRPr="0085799C">
        <w:rPr>
          <w:rFonts w:eastAsia="Calibri"/>
          <w:b w:val="0"/>
          <w:sz w:val="22"/>
          <w:szCs w:val="22"/>
        </w:rPr>
        <w:t xml:space="preserve"> taktických stíhacích lietadiel F-16</w:t>
      </w:r>
      <w:r w:rsidR="00DD377B">
        <w:rPr>
          <w:rFonts w:eastAsia="Calibri"/>
          <w:b w:val="0"/>
          <w:sz w:val="22"/>
          <w:szCs w:val="22"/>
        </w:rPr>
        <w:t>,</w:t>
      </w:r>
      <w:r w:rsidR="30D5EC90" w:rsidRPr="0085799C">
        <w:rPr>
          <w:rFonts w:eastAsia="Calibri"/>
          <w:b w:val="0"/>
          <w:sz w:val="22"/>
          <w:szCs w:val="22"/>
        </w:rPr>
        <w:t xml:space="preserve"> obrnenými a pásovými bojovými vozidlami  viacúčelový</w:t>
      </w:r>
      <w:r w:rsidR="00DD377B">
        <w:rPr>
          <w:rFonts w:eastAsia="Calibri"/>
          <w:b w:val="0"/>
          <w:sz w:val="22"/>
          <w:szCs w:val="22"/>
        </w:rPr>
        <w:t>mi</w:t>
      </w:r>
      <w:r w:rsidR="30D5EC90" w:rsidRPr="0085799C">
        <w:rPr>
          <w:rFonts w:eastAsia="Calibri"/>
          <w:b w:val="0"/>
          <w:sz w:val="22"/>
          <w:szCs w:val="22"/>
        </w:rPr>
        <w:t xml:space="preserve"> vrtuľník</w:t>
      </w:r>
      <w:r w:rsidR="00DD377B">
        <w:rPr>
          <w:rFonts w:eastAsia="Calibri"/>
          <w:b w:val="0"/>
          <w:sz w:val="22"/>
          <w:szCs w:val="22"/>
        </w:rPr>
        <w:t>mi</w:t>
      </w:r>
      <w:r w:rsidR="30D5EC90" w:rsidRPr="0085799C">
        <w:rPr>
          <w:rFonts w:eastAsia="Calibri"/>
          <w:b w:val="0"/>
          <w:sz w:val="22"/>
          <w:szCs w:val="22"/>
        </w:rPr>
        <w:t xml:space="preserve"> UH-60  a rekonštrukciou základne Sliač.</w:t>
      </w:r>
    </w:p>
    <w:p w14:paraId="1CFE4DF3" w14:textId="77777777" w:rsidR="00991714" w:rsidRPr="002A40EC" w:rsidRDefault="00991714" w:rsidP="002A40EC">
      <w:pPr>
        <w:pStyle w:val="Pismenka"/>
        <w:tabs>
          <w:tab w:val="clear" w:pos="426"/>
        </w:tabs>
        <w:spacing w:after="120"/>
        <w:ind w:left="0" w:firstLine="0"/>
        <w:rPr>
          <w:rFonts w:eastAsia="Calibri"/>
          <w:b w:val="0"/>
          <w:sz w:val="22"/>
          <w:szCs w:val="22"/>
        </w:rPr>
      </w:pPr>
    </w:p>
    <w:p w14:paraId="3895D259" w14:textId="2667800F" w:rsidR="00B41E84" w:rsidRDefault="00B41E84" w:rsidP="0085799C">
      <w:pPr>
        <w:pStyle w:val="Nadpis4"/>
        <w:numPr>
          <w:ilvl w:val="0"/>
          <w:numId w:val="54"/>
        </w:numPr>
        <w:ind w:left="426" w:hanging="426"/>
      </w:pPr>
      <w:bookmarkStart w:id="15" w:name="_Obstaranie_hmotného_majetku"/>
      <w:bookmarkEnd w:id="15"/>
      <w:r>
        <w:t>Obstaranie hmotného majetku</w:t>
      </w:r>
    </w:p>
    <w:p w14:paraId="72C1989F" w14:textId="06B1EBD8" w:rsidR="69262B40" w:rsidRPr="0085799C" w:rsidRDefault="007458F0" w:rsidP="0085799C">
      <w:pPr>
        <w:pStyle w:val="Pismenka"/>
        <w:tabs>
          <w:tab w:val="clear" w:pos="426"/>
        </w:tabs>
        <w:spacing w:after="120"/>
        <w:ind w:left="0" w:firstLine="0"/>
        <w:rPr>
          <w:rFonts w:eastAsia="Calibri"/>
          <w:szCs w:val="22"/>
        </w:rPr>
      </w:pPr>
      <w:r w:rsidRPr="00A7107D">
        <w:rPr>
          <w:rFonts w:eastAsia="Calibri"/>
          <w:b w:val="0"/>
          <w:bCs w:val="0"/>
          <w:sz w:val="22"/>
          <w:szCs w:val="22"/>
        </w:rPr>
        <w:t xml:space="preserve">Celková hodnota majetku na tejto položke dlhodobého hmotného majetku bola vo výške </w:t>
      </w:r>
      <w:r w:rsidR="00A65540" w:rsidRPr="00557CC3">
        <w:rPr>
          <w:rFonts w:eastAsia="Calibri"/>
          <w:b w:val="0"/>
          <w:bCs w:val="0"/>
          <w:sz w:val="22"/>
          <w:szCs w:val="22"/>
        </w:rPr>
        <w:t>6 792 729 tis.</w:t>
      </w:r>
      <w:r w:rsidRPr="00A7107D">
        <w:rPr>
          <w:rFonts w:eastAsia="Calibri"/>
          <w:b w:val="0"/>
          <w:bCs w:val="0"/>
          <w:sz w:val="22"/>
          <w:szCs w:val="22"/>
        </w:rPr>
        <w:t xml:space="preserve"> eur</w:t>
      </w:r>
      <w:r w:rsidR="007B1810" w:rsidRPr="00557CC3">
        <w:rPr>
          <w:rFonts w:eastAsia="Calibri"/>
          <w:b w:val="0"/>
          <w:bCs w:val="0"/>
          <w:sz w:val="22"/>
          <w:szCs w:val="22"/>
        </w:rPr>
        <w:t>.</w:t>
      </w:r>
      <w:r w:rsidR="007B1810" w:rsidRPr="0085799C">
        <w:rPr>
          <w:rFonts w:eastAsia="Calibri"/>
          <w:b w:val="0"/>
          <w:bCs w:val="0"/>
          <w:sz w:val="22"/>
          <w:szCs w:val="22"/>
        </w:rPr>
        <w:t xml:space="preserve"> </w:t>
      </w:r>
      <w:r w:rsidR="00647542" w:rsidRPr="0085799C">
        <w:rPr>
          <w:b w:val="0"/>
          <w:bCs w:val="0"/>
          <w:sz w:val="22"/>
          <w:szCs w:val="22"/>
        </w:rPr>
        <w:t xml:space="preserve">Hodnota nového dlhodobého hmotného majetku (zatiaľ nezaradeného do používania) medziročne vzrástla </w:t>
      </w:r>
      <w:r w:rsidR="00647542" w:rsidRPr="0085799C">
        <w:rPr>
          <w:b w:val="0"/>
          <w:sz w:val="22"/>
          <w:szCs w:val="22"/>
        </w:rPr>
        <w:t>o </w:t>
      </w:r>
      <w:r w:rsidR="007B1810" w:rsidRPr="0085799C">
        <w:rPr>
          <w:rFonts w:eastAsia="Calibri"/>
          <w:b w:val="0"/>
          <w:bCs w:val="0"/>
          <w:sz w:val="22"/>
          <w:szCs w:val="22"/>
        </w:rPr>
        <w:t xml:space="preserve">432 894 </w:t>
      </w:r>
      <w:r w:rsidR="00647542" w:rsidRPr="0085799C">
        <w:rPr>
          <w:rFonts w:eastAsia="Calibri"/>
          <w:b w:val="0"/>
          <w:bCs w:val="0"/>
          <w:sz w:val="22"/>
          <w:szCs w:val="22"/>
        </w:rPr>
        <w:t>tis.</w:t>
      </w:r>
      <w:r w:rsidR="007B1810" w:rsidRPr="0085799C">
        <w:rPr>
          <w:rFonts w:eastAsia="Calibri"/>
          <w:b w:val="0"/>
          <w:bCs w:val="0"/>
          <w:sz w:val="22"/>
          <w:szCs w:val="22"/>
        </w:rPr>
        <w:t xml:space="preserve"> eur</w:t>
      </w:r>
      <w:r w:rsidR="00647542" w:rsidRPr="0085799C">
        <w:rPr>
          <w:b w:val="0"/>
          <w:sz w:val="22"/>
          <w:szCs w:val="22"/>
        </w:rPr>
        <w:t>, a to najmä vplyvom subjektov ústrednej štátnej správy o</w:t>
      </w:r>
      <w:r w:rsidR="00706483" w:rsidRPr="0085799C">
        <w:rPr>
          <w:b w:val="0"/>
          <w:bCs w:val="0"/>
          <w:sz w:val="22"/>
          <w:szCs w:val="22"/>
        </w:rPr>
        <w:t> </w:t>
      </w:r>
      <w:r w:rsidR="00DC6A4E" w:rsidRPr="0085799C">
        <w:rPr>
          <w:b w:val="0"/>
          <w:sz w:val="22"/>
          <w:szCs w:val="22"/>
        </w:rPr>
        <w:t>651</w:t>
      </w:r>
      <w:r w:rsidR="00DF6D6F" w:rsidRPr="0085799C">
        <w:rPr>
          <w:bCs w:val="0"/>
          <w:szCs w:val="22"/>
        </w:rPr>
        <w:t xml:space="preserve"> </w:t>
      </w:r>
      <w:r w:rsidR="00DF6D6F" w:rsidRPr="0085799C">
        <w:rPr>
          <w:b w:val="0"/>
          <w:sz w:val="22"/>
          <w:szCs w:val="22"/>
        </w:rPr>
        <w:t xml:space="preserve">754 </w:t>
      </w:r>
      <w:r w:rsidR="00647542" w:rsidRPr="0085799C">
        <w:rPr>
          <w:b w:val="0"/>
          <w:sz w:val="22"/>
          <w:szCs w:val="22"/>
        </w:rPr>
        <w:t>tis. eur</w:t>
      </w:r>
      <w:r w:rsidR="004409C5" w:rsidRPr="0085799C">
        <w:rPr>
          <w:b w:val="0"/>
          <w:sz w:val="22"/>
          <w:szCs w:val="22"/>
        </w:rPr>
        <w:t xml:space="preserve">. Hodnota </w:t>
      </w:r>
      <w:r w:rsidR="00046B13" w:rsidRPr="0085799C">
        <w:rPr>
          <w:b w:val="0"/>
          <w:sz w:val="22"/>
          <w:szCs w:val="22"/>
        </w:rPr>
        <w:t xml:space="preserve">vykazovaná u </w:t>
      </w:r>
      <w:r w:rsidR="00647542" w:rsidRPr="0085799C">
        <w:rPr>
          <w:b w:val="0"/>
          <w:sz w:val="22"/>
          <w:szCs w:val="22"/>
        </w:rPr>
        <w:t>územnej samosprávy</w:t>
      </w:r>
      <w:r w:rsidR="00046B13" w:rsidRPr="0085799C">
        <w:rPr>
          <w:b w:val="0"/>
          <w:bCs w:val="0"/>
          <w:sz w:val="22"/>
          <w:szCs w:val="22"/>
        </w:rPr>
        <w:t xml:space="preserve"> </w:t>
      </w:r>
      <w:r w:rsidR="00046B13" w:rsidRPr="0085799C">
        <w:rPr>
          <w:b w:val="0"/>
          <w:sz w:val="22"/>
          <w:szCs w:val="22"/>
        </w:rPr>
        <w:t>sa medziročne znížila</w:t>
      </w:r>
      <w:r w:rsidR="00647542" w:rsidRPr="0085799C">
        <w:rPr>
          <w:b w:val="0"/>
          <w:sz w:val="22"/>
          <w:szCs w:val="22"/>
        </w:rPr>
        <w:t xml:space="preserve"> o</w:t>
      </w:r>
      <w:r w:rsidR="004409C5" w:rsidRPr="0085799C">
        <w:rPr>
          <w:b w:val="0"/>
          <w:sz w:val="22"/>
          <w:szCs w:val="22"/>
        </w:rPr>
        <w:t> 235</w:t>
      </w:r>
      <w:r w:rsidR="00721D77" w:rsidRPr="0085799C">
        <w:rPr>
          <w:b w:val="0"/>
          <w:bCs w:val="0"/>
          <w:sz w:val="22"/>
          <w:szCs w:val="22"/>
        </w:rPr>
        <w:t> </w:t>
      </w:r>
      <w:r w:rsidR="004409C5" w:rsidRPr="0085799C">
        <w:rPr>
          <w:b w:val="0"/>
          <w:sz w:val="22"/>
          <w:szCs w:val="22"/>
        </w:rPr>
        <w:t>163</w:t>
      </w:r>
      <w:r w:rsidR="00647542" w:rsidRPr="0085799C">
        <w:rPr>
          <w:b w:val="0"/>
          <w:sz w:val="22"/>
          <w:szCs w:val="22"/>
        </w:rPr>
        <w:t> tis. eur.</w:t>
      </w:r>
      <w:r w:rsidR="001277A6" w:rsidRPr="0085799C">
        <w:rPr>
          <w:b w:val="0"/>
          <w:bCs w:val="0"/>
          <w:sz w:val="22"/>
          <w:szCs w:val="22"/>
        </w:rPr>
        <w:t xml:space="preserve"> </w:t>
      </w:r>
    </w:p>
    <w:p w14:paraId="46AEDF02" w14:textId="71ED6911" w:rsidR="3C163AA9" w:rsidRPr="0085799C" w:rsidRDefault="00D53109" w:rsidP="0085799C">
      <w:pPr>
        <w:spacing w:after="120" w:line="240" w:lineRule="auto"/>
        <w:jc w:val="both"/>
        <w:rPr>
          <w:rFonts w:ascii="Times New Roman" w:eastAsia="Calibri" w:hAnsi="Times New Roman"/>
        </w:rPr>
      </w:pPr>
      <w:r w:rsidRPr="0085799C">
        <w:rPr>
          <w:rFonts w:ascii="Times New Roman" w:eastAsia="Calibri" w:hAnsi="Times New Roman"/>
        </w:rPr>
        <w:t xml:space="preserve">V rámci ústrednej správy </w:t>
      </w:r>
      <w:r w:rsidR="001B2DEA" w:rsidRPr="002A40EC">
        <w:rPr>
          <w:rFonts w:ascii="Times New Roman" w:eastAsia="Calibri" w:hAnsi="Times New Roman"/>
          <w:szCs w:val="22"/>
        </w:rPr>
        <w:t>n</w:t>
      </w:r>
      <w:r w:rsidR="3C163AA9" w:rsidRPr="0085799C">
        <w:rPr>
          <w:rFonts w:ascii="Times New Roman" w:eastAsia="Calibri" w:hAnsi="Times New Roman"/>
        </w:rPr>
        <w:t xml:space="preserve">ajväčší objem vykázala </w:t>
      </w:r>
      <w:r w:rsidR="3C163AA9" w:rsidRPr="0085799C">
        <w:rPr>
          <w:rFonts w:ascii="Times New Roman" w:eastAsia="Calibri" w:hAnsi="Times New Roman"/>
          <w:u w:val="single"/>
        </w:rPr>
        <w:t>kapitola Ministerstva dopravy SR</w:t>
      </w:r>
      <w:r w:rsidR="3C163AA9" w:rsidRPr="0085799C">
        <w:rPr>
          <w:rFonts w:ascii="Times New Roman" w:eastAsia="Calibri" w:hAnsi="Times New Roman"/>
        </w:rPr>
        <w:t xml:space="preserve"> (4 047 489 </w:t>
      </w:r>
      <w:r w:rsidR="008E3B51" w:rsidRPr="0085799C">
        <w:rPr>
          <w:rFonts w:ascii="Times New Roman" w:eastAsia="Calibri" w:hAnsi="Times New Roman"/>
        </w:rPr>
        <w:t>tis.</w:t>
      </w:r>
      <w:r w:rsidR="3C163AA9" w:rsidRPr="0085799C">
        <w:rPr>
          <w:rFonts w:ascii="Times New Roman" w:eastAsia="Calibri" w:hAnsi="Times New Roman"/>
        </w:rPr>
        <w:t xml:space="preserve"> eur) a v rámci nej účtovné jednotky spravujúce a rozvíjajúce dopravnú infraštruktúru ako Národná diaľničná spoločnosť, a.s. (2 266</w:t>
      </w:r>
      <w:r w:rsidR="008E3B51" w:rsidRPr="0085799C">
        <w:rPr>
          <w:rFonts w:ascii="Times New Roman" w:eastAsia="Calibri" w:hAnsi="Times New Roman"/>
        </w:rPr>
        <w:t> </w:t>
      </w:r>
      <w:r w:rsidR="3C163AA9" w:rsidRPr="0085799C">
        <w:rPr>
          <w:rFonts w:ascii="Times New Roman" w:eastAsia="Calibri" w:hAnsi="Times New Roman"/>
        </w:rPr>
        <w:t>32</w:t>
      </w:r>
      <w:r w:rsidR="008E3B51" w:rsidRPr="0085799C">
        <w:rPr>
          <w:rFonts w:ascii="Times New Roman" w:eastAsia="Calibri" w:hAnsi="Times New Roman"/>
        </w:rPr>
        <w:t>4 tis.</w:t>
      </w:r>
      <w:r w:rsidR="3C163AA9" w:rsidRPr="0085799C">
        <w:rPr>
          <w:rFonts w:ascii="Times New Roman" w:eastAsia="Calibri" w:hAnsi="Times New Roman"/>
        </w:rPr>
        <w:t xml:space="preserve"> eur)</w:t>
      </w:r>
      <w:r w:rsidR="008252FD">
        <w:rPr>
          <w:rFonts w:ascii="Times New Roman" w:eastAsia="Calibri" w:hAnsi="Times New Roman"/>
        </w:rPr>
        <w:t xml:space="preserve"> a</w:t>
      </w:r>
      <w:r w:rsidR="3C163AA9" w:rsidRPr="0085799C">
        <w:rPr>
          <w:rFonts w:ascii="Times New Roman" w:eastAsia="Calibri" w:hAnsi="Times New Roman"/>
        </w:rPr>
        <w:t xml:space="preserve"> Železnice Slovenskej republiky (902 794 </w:t>
      </w:r>
      <w:r w:rsidR="008E3B51" w:rsidRPr="0085799C">
        <w:rPr>
          <w:rFonts w:ascii="Times New Roman" w:eastAsia="Calibri" w:hAnsi="Times New Roman"/>
        </w:rPr>
        <w:t>tis.</w:t>
      </w:r>
      <w:r w:rsidR="3C163AA9" w:rsidRPr="0085799C">
        <w:rPr>
          <w:rFonts w:ascii="Times New Roman" w:eastAsia="Calibri" w:hAnsi="Times New Roman"/>
        </w:rPr>
        <w:t xml:space="preserve"> eur).</w:t>
      </w:r>
    </w:p>
    <w:p w14:paraId="2B5F995A" w14:textId="3BE4A71D" w:rsidR="3C163AA9" w:rsidRPr="0085799C" w:rsidRDefault="3C163AA9" w:rsidP="0085799C">
      <w:pPr>
        <w:spacing w:after="120" w:line="240" w:lineRule="auto"/>
        <w:jc w:val="both"/>
        <w:rPr>
          <w:rFonts w:ascii="Times New Roman" w:eastAsia="Calibri" w:hAnsi="Times New Roman"/>
        </w:rPr>
      </w:pPr>
      <w:r w:rsidRPr="0085799C">
        <w:rPr>
          <w:rFonts w:ascii="Times New Roman" w:eastAsia="Calibri" w:hAnsi="Times New Roman"/>
          <w:u w:val="single"/>
        </w:rPr>
        <w:t>Národná diaľničná spoločnosť, a.s.</w:t>
      </w:r>
      <w:r w:rsidRPr="0085799C">
        <w:rPr>
          <w:rFonts w:ascii="Times New Roman" w:eastAsia="Calibri" w:hAnsi="Times New Roman"/>
        </w:rPr>
        <w:t xml:space="preserve"> vykázala hodnotu 2 266</w:t>
      </w:r>
      <w:r w:rsidR="008E3B51" w:rsidRPr="0085799C">
        <w:rPr>
          <w:rFonts w:ascii="Times New Roman" w:eastAsia="Calibri" w:hAnsi="Times New Roman"/>
        </w:rPr>
        <w:t> </w:t>
      </w:r>
      <w:r w:rsidRPr="0085799C">
        <w:rPr>
          <w:rFonts w:ascii="Times New Roman" w:eastAsia="Calibri" w:hAnsi="Times New Roman"/>
        </w:rPr>
        <w:t>32</w:t>
      </w:r>
      <w:r w:rsidR="008E3B51" w:rsidRPr="0085799C">
        <w:rPr>
          <w:rFonts w:ascii="Times New Roman" w:eastAsia="Calibri" w:hAnsi="Times New Roman"/>
        </w:rPr>
        <w:t>4 tis.</w:t>
      </w:r>
      <w:r w:rsidRPr="0085799C">
        <w:rPr>
          <w:rFonts w:ascii="Times New Roman" w:eastAsia="Calibri" w:hAnsi="Times New Roman"/>
        </w:rPr>
        <w:t xml:space="preserve"> eur a medziročný nárast v hodnote 497</w:t>
      </w:r>
      <w:r w:rsidR="008E3B51" w:rsidRPr="0085799C">
        <w:rPr>
          <w:rFonts w:ascii="Times New Roman" w:eastAsia="Calibri" w:hAnsi="Times New Roman"/>
        </w:rPr>
        <w:t> </w:t>
      </w:r>
      <w:r w:rsidRPr="0085799C">
        <w:rPr>
          <w:rFonts w:ascii="Times New Roman" w:eastAsia="Calibri" w:hAnsi="Times New Roman"/>
        </w:rPr>
        <w:t>03</w:t>
      </w:r>
      <w:r w:rsidR="008E3B51" w:rsidRPr="0085799C">
        <w:rPr>
          <w:rFonts w:ascii="Times New Roman" w:eastAsia="Calibri" w:hAnsi="Times New Roman"/>
        </w:rPr>
        <w:t>6 tis.</w:t>
      </w:r>
      <w:r w:rsidRPr="0085799C">
        <w:rPr>
          <w:rFonts w:ascii="Times New Roman" w:eastAsia="Calibri" w:hAnsi="Times New Roman"/>
        </w:rPr>
        <w:t xml:space="preserve"> eur. Medzi najvýznamnejšie z pohľadu výšky nákladov na obstaranie patria D1 Hubová - Ivachnová v hodnote 629 238 </w:t>
      </w:r>
      <w:r w:rsidR="00E66BA0" w:rsidRPr="0085799C">
        <w:rPr>
          <w:rFonts w:ascii="Times New Roman" w:eastAsia="Calibri" w:hAnsi="Times New Roman"/>
        </w:rPr>
        <w:t>tis.</w:t>
      </w:r>
      <w:r w:rsidRPr="0085799C">
        <w:rPr>
          <w:rFonts w:ascii="Times New Roman" w:eastAsia="Calibri" w:hAnsi="Times New Roman"/>
        </w:rPr>
        <w:t xml:space="preserve"> eur, D1 Lietavská Lúčka - </w:t>
      </w:r>
      <w:proofErr w:type="spellStart"/>
      <w:r w:rsidRPr="0085799C">
        <w:rPr>
          <w:rFonts w:ascii="Times New Roman" w:eastAsia="Calibri" w:hAnsi="Times New Roman"/>
        </w:rPr>
        <w:t>Dubná</w:t>
      </w:r>
      <w:proofErr w:type="spellEnd"/>
      <w:r w:rsidRPr="0085799C">
        <w:rPr>
          <w:rFonts w:ascii="Times New Roman" w:eastAsia="Calibri" w:hAnsi="Times New Roman"/>
        </w:rPr>
        <w:t xml:space="preserve"> Skala vrátane tunela Višňové v</w:t>
      </w:r>
      <w:r w:rsidR="00916CC8" w:rsidRPr="002A40EC">
        <w:rPr>
          <w:rFonts w:ascii="Times New Roman" w:eastAsia="Calibri" w:hAnsi="Times New Roman"/>
          <w:szCs w:val="22"/>
        </w:rPr>
        <w:t> </w:t>
      </w:r>
      <w:r w:rsidRPr="0085799C">
        <w:rPr>
          <w:rFonts w:ascii="Times New Roman" w:eastAsia="Calibri" w:hAnsi="Times New Roman"/>
        </w:rPr>
        <w:t xml:space="preserve">hodnote 278 527 </w:t>
      </w:r>
      <w:r w:rsidR="00E66BA0" w:rsidRPr="0085799C">
        <w:rPr>
          <w:rFonts w:ascii="Times New Roman" w:eastAsia="Calibri" w:hAnsi="Times New Roman"/>
        </w:rPr>
        <w:t>tis.</w:t>
      </w:r>
      <w:r w:rsidRPr="0085799C">
        <w:rPr>
          <w:rFonts w:ascii="Times New Roman" w:eastAsia="Calibri" w:hAnsi="Times New Roman"/>
        </w:rPr>
        <w:t xml:space="preserve"> eur, R2 Kriváň - Lovinobaňa ( Kriváň - Mýtna) 227 123 </w:t>
      </w:r>
      <w:r w:rsidR="00E66BA0" w:rsidRPr="0085799C">
        <w:rPr>
          <w:rFonts w:ascii="Times New Roman" w:eastAsia="Calibri" w:hAnsi="Times New Roman"/>
        </w:rPr>
        <w:t>tis.</w:t>
      </w:r>
      <w:r w:rsidRPr="0085799C">
        <w:rPr>
          <w:rFonts w:ascii="Times New Roman" w:eastAsia="Calibri" w:hAnsi="Times New Roman"/>
        </w:rPr>
        <w:t xml:space="preserve"> eur,  D1 Lietavská Lúčka - Višňové - </w:t>
      </w:r>
      <w:proofErr w:type="spellStart"/>
      <w:r w:rsidRPr="0085799C">
        <w:rPr>
          <w:rFonts w:ascii="Times New Roman" w:eastAsia="Calibri" w:hAnsi="Times New Roman"/>
        </w:rPr>
        <w:t>Dubná</w:t>
      </w:r>
      <w:proofErr w:type="spellEnd"/>
      <w:r w:rsidRPr="0085799C">
        <w:rPr>
          <w:rFonts w:ascii="Times New Roman" w:eastAsia="Calibri" w:hAnsi="Times New Roman"/>
        </w:rPr>
        <w:t xml:space="preserve"> Skala 215 735 </w:t>
      </w:r>
      <w:r w:rsidR="00E66BA0" w:rsidRPr="0085799C">
        <w:rPr>
          <w:rFonts w:ascii="Times New Roman" w:eastAsia="Calibri" w:hAnsi="Times New Roman"/>
        </w:rPr>
        <w:t>tis.</w:t>
      </w:r>
      <w:r w:rsidRPr="0085799C">
        <w:rPr>
          <w:rFonts w:ascii="Times New Roman" w:eastAsia="Calibri" w:hAnsi="Times New Roman"/>
        </w:rPr>
        <w:t xml:space="preserve"> eur a R2 Šaca - Košické </w:t>
      </w:r>
      <w:proofErr w:type="spellStart"/>
      <w:r w:rsidRPr="0085799C">
        <w:rPr>
          <w:rFonts w:ascii="Times New Roman" w:eastAsia="Calibri" w:hAnsi="Times New Roman"/>
        </w:rPr>
        <w:t>Olšany</w:t>
      </w:r>
      <w:proofErr w:type="spellEnd"/>
      <w:r w:rsidRPr="0085799C">
        <w:rPr>
          <w:rFonts w:ascii="Times New Roman" w:eastAsia="Calibri" w:hAnsi="Times New Roman"/>
        </w:rPr>
        <w:t xml:space="preserve">, II. úsek 127 707 </w:t>
      </w:r>
      <w:r w:rsidR="00E66BA0" w:rsidRPr="0085799C">
        <w:rPr>
          <w:rFonts w:ascii="Times New Roman" w:eastAsia="Calibri" w:hAnsi="Times New Roman"/>
        </w:rPr>
        <w:t>tis.</w:t>
      </w:r>
      <w:r w:rsidRPr="0085799C">
        <w:rPr>
          <w:rFonts w:ascii="Times New Roman" w:eastAsia="Calibri" w:hAnsi="Times New Roman"/>
        </w:rPr>
        <w:t xml:space="preserve"> eur. Na medziročný rozdiel mal vplyv úbytok v hodnote 82 559 </w:t>
      </w:r>
      <w:r w:rsidR="00E66BA0" w:rsidRPr="0085799C">
        <w:rPr>
          <w:rFonts w:ascii="Times New Roman" w:eastAsia="Calibri" w:hAnsi="Times New Roman"/>
        </w:rPr>
        <w:t>tis.</w:t>
      </w:r>
      <w:r w:rsidRPr="0085799C">
        <w:rPr>
          <w:rFonts w:ascii="Times New Roman" w:eastAsia="Calibri" w:hAnsi="Times New Roman"/>
        </w:rPr>
        <w:t xml:space="preserve"> eur, ktorý predstavuje zaradenie obstaraného majetku - diaľnice v celkovej sume 41 016 </w:t>
      </w:r>
      <w:r w:rsidR="00E66BA0" w:rsidRPr="0085799C">
        <w:rPr>
          <w:rFonts w:ascii="Times New Roman" w:eastAsia="Calibri" w:hAnsi="Times New Roman"/>
        </w:rPr>
        <w:t>tis.</w:t>
      </w:r>
      <w:r w:rsidRPr="0085799C">
        <w:rPr>
          <w:rFonts w:ascii="Times New Roman" w:eastAsia="Calibri" w:hAnsi="Times New Roman"/>
        </w:rPr>
        <w:t xml:space="preserve"> eur, rýchlostné cesty v celkovej sume 24</w:t>
      </w:r>
      <w:r w:rsidR="00916CC8" w:rsidRPr="002A40EC">
        <w:rPr>
          <w:rFonts w:ascii="Times New Roman" w:eastAsia="Calibri" w:hAnsi="Times New Roman"/>
          <w:szCs w:val="22"/>
        </w:rPr>
        <w:t> </w:t>
      </w:r>
      <w:r w:rsidRPr="0085799C">
        <w:rPr>
          <w:rFonts w:ascii="Times New Roman" w:eastAsia="Calibri" w:hAnsi="Times New Roman"/>
        </w:rPr>
        <w:t xml:space="preserve">514 </w:t>
      </w:r>
      <w:r w:rsidR="00E66BA0" w:rsidRPr="0085799C">
        <w:rPr>
          <w:rFonts w:ascii="Times New Roman" w:eastAsia="Calibri" w:hAnsi="Times New Roman"/>
        </w:rPr>
        <w:t>tis.</w:t>
      </w:r>
      <w:r w:rsidRPr="0085799C">
        <w:rPr>
          <w:rFonts w:ascii="Times New Roman" w:eastAsia="Calibri" w:hAnsi="Times New Roman"/>
        </w:rPr>
        <w:t xml:space="preserve"> eur, ostatné stavby 79 </w:t>
      </w:r>
      <w:r w:rsidR="00E66BA0" w:rsidRPr="0085799C">
        <w:rPr>
          <w:rFonts w:ascii="Times New Roman" w:eastAsia="Calibri" w:hAnsi="Times New Roman"/>
        </w:rPr>
        <w:t>tis.</w:t>
      </w:r>
      <w:r w:rsidRPr="0085799C">
        <w:rPr>
          <w:rFonts w:ascii="Times New Roman" w:eastAsia="Calibri" w:hAnsi="Times New Roman"/>
        </w:rPr>
        <w:t xml:space="preserve"> eur, </w:t>
      </w:r>
      <w:r w:rsidR="00557CC3">
        <w:rPr>
          <w:rFonts w:ascii="Times New Roman" w:eastAsia="Calibri" w:hAnsi="Times New Roman"/>
        </w:rPr>
        <w:t xml:space="preserve">hmotný majetok </w:t>
      </w:r>
      <w:r w:rsidRPr="0085799C">
        <w:rPr>
          <w:rFonts w:ascii="Times New Roman" w:eastAsia="Calibri" w:hAnsi="Times New Roman"/>
        </w:rPr>
        <w:t>v celkovej sume 16</w:t>
      </w:r>
      <w:r w:rsidR="00E66BA0" w:rsidRPr="0085799C">
        <w:rPr>
          <w:rFonts w:ascii="Times New Roman" w:eastAsia="Calibri" w:hAnsi="Times New Roman"/>
        </w:rPr>
        <w:t> </w:t>
      </w:r>
      <w:r w:rsidRPr="0085799C">
        <w:rPr>
          <w:rFonts w:ascii="Times New Roman" w:eastAsia="Calibri" w:hAnsi="Times New Roman"/>
        </w:rPr>
        <w:t>949</w:t>
      </w:r>
      <w:r w:rsidR="00E66BA0" w:rsidRPr="0085799C">
        <w:rPr>
          <w:rFonts w:ascii="Times New Roman" w:eastAsia="Calibri" w:hAnsi="Times New Roman"/>
        </w:rPr>
        <w:t xml:space="preserve"> tis.</w:t>
      </w:r>
      <w:r w:rsidRPr="0085799C">
        <w:rPr>
          <w:rFonts w:ascii="Times New Roman" w:eastAsia="Calibri" w:hAnsi="Times New Roman"/>
        </w:rPr>
        <w:t xml:space="preserve"> eur a prírastok v hodnote 578 412 </w:t>
      </w:r>
      <w:r w:rsidR="00E66BA0" w:rsidRPr="0085799C">
        <w:rPr>
          <w:rFonts w:ascii="Times New Roman" w:eastAsia="Calibri" w:hAnsi="Times New Roman"/>
        </w:rPr>
        <w:t>tis.</w:t>
      </w:r>
      <w:r w:rsidRPr="0085799C">
        <w:rPr>
          <w:rFonts w:ascii="Times New Roman" w:eastAsia="Calibri" w:hAnsi="Times New Roman"/>
        </w:rPr>
        <w:t xml:space="preserve"> eur, ktorý predstavuje obstaranie dlhodobého majetku - diaľnice v celkovej sume 289</w:t>
      </w:r>
      <w:r w:rsidR="00E66BA0" w:rsidRPr="0085799C">
        <w:rPr>
          <w:rFonts w:ascii="Times New Roman" w:eastAsia="Calibri" w:hAnsi="Times New Roman"/>
        </w:rPr>
        <w:t> </w:t>
      </w:r>
      <w:r w:rsidRPr="0085799C">
        <w:rPr>
          <w:rFonts w:ascii="Times New Roman" w:eastAsia="Calibri" w:hAnsi="Times New Roman"/>
        </w:rPr>
        <w:t>43</w:t>
      </w:r>
      <w:r w:rsidR="00E66BA0" w:rsidRPr="0085799C">
        <w:rPr>
          <w:rFonts w:ascii="Times New Roman" w:eastAsia="Calibri" w:hAnsi="Times New Roman"/>
        </w:rPr>
        <w:t>7 tis.</w:t>
      </w:r>
      <w:r w:rsidRPr="0085799C">
        <w:rPr>
          <w:rFonts w:ascii="Times New Roman" w:eastAsia="Calibri" w:hAnsi="Times New Roman"/>
        </w:rPr>
        <w:t xml:space="preserve"> eur, rýchlostné cesty v celkovej sume 253 520 </w:t>
      </w:r>
      <w:r w:rsidR="00E66BA0" w:rsidRPr="0085799C">
        <w:rPr>
          <w:rFonts w:ascii="Times New Roman" w:eastAsia="Calibri" w:hAnsi="Times New Roman"/>
        </w:rPr>
        <w:t>tis.</w:t>
      </w:r>
      <w:r w:rsidRPr="0085799C">
        <w:rPr>
          <w:rFonts w:ascii="Times New Roman" w:eastAsia="Calibri" w:hAnsi="Times New Roman"/>
        </w:rPr>
        <w:t xml:space="preserve"> eur, ostatné stavby v celkovej sume 11 363 </w:t>
      </w:r>
      <w:r w:rsidR="00E66BA0" w:rsidRPr="0085799C">
        <w:rPr>
          <w:rFonts w:ascii="Times New Roman" w:eastAsia="Calibri" w:hAnsi="Times New Roman"/>
        </w:rPr>
        <w:t>tis.</w:t>
      </w:r>
      <w:r w:rsidRPr="0085799C">
        <w:rPr>
          <w:rFonts w:ascii="Times New Roman" w:eastAsia="Calibri" w:hAnsi="Times New Roman"/>
        </w:rPr>
        <w:t xml:space="preserve"> eur, HM v</w:t>
      </w:r>
      <w:r w:rsidR="00916CC8" w:rsidRPr="002A40EC">
        <w:rPr>
          <w:rFonts w:ascii="Times New Roman" w:eastAsia="Calibri" w:hAnsi="Times New Roman"/>
          <w:szCs w:val="22"/>
        </w:rPr>
        <w:t> </w:t>
      </w:r>
      <w:r w:rsidRPr="0085799C">
        <w:rPr>
          <w:rFonts w:ascii="Times New Roman" w:eastAsia="Calibri" w:hAnsi="Times New Roman"/>
        </w:rPr>
        <w:t xml:space="preserve">celkovej sume 17 506 </w:t>
      </w:r>
      <w:r w:rsidR="00E66BA0" w:rsidRPr="0085799C">
        <w:rPr>
          <w:rFonts w:ascii="Times New Roman" w:eastAsia="Calibri" w:hAnsi="Times New Roman"/>
        </w:rPr>
        <w:t>tis.</w:t>
      </w:r>
      <w:r w:rsidRPr="0085799C">
        <w:rPr>
          <w:rFonts w:ascii="Times New Roman" w:eastAsia="Calibri" w:hAnsi="Times New Roman"/>
        </w:rPr>
        <w:t xml:space="preserve"> eur a rezerva na nevyfakturované dodávky v celkovej sume  6</w:t>
      </w:r>
      <w:r w:rsidR="00E66BA0" w:rsidRPr="0085799C">
        <w:rPr>
          <w:rFonts w:ascii="Times New Roman" w:eastAsia="Calibri" w:hAnsi="Times New Roman"/>
        </w:rPr>
        <w:t> </w:t>
      </w:r>
      <w:r w:rsidRPr="0085799C">
        <w:rPr>
          <w:rFonts w:ascii="Times New Roman" w:eastAsia="Calibri" w:hAnsi="Times New Roman"/>
        </w:rPr>
        <w:t>586</w:t>
      </w:r>
      <w:r w:rsidR="00E66BA0" w:rsidRPr="0085799C">
        <w:rPr>
          <w:rFonts w:ascii="Times New Roman" w:eastAsia="Calibri" w:hAnsi="Times New Roman"/>
        </w:rPr>
        <w:t xml:space="preserve"> tis.</w:t>
      </w:r>
      <w:r w:rsidRPr="0085799C">
        <w:rPr>
          <w:rFonts w:ascii="Times New Roman" w:eastAsia="Calibri" w:hAnsi="Times New Roman"/>
        </w:rPr>
        <w:t xml:space="preserve"> eur. </w:t>
      </w:r>
    </w:p>
    <w:p w14:paraId="018670E4" w14:textId="19F25388" w:rsidR="3C163AA9" w:rsidRPr="0085799C" w:rsidRDefault="3C163AA9" w:rsidP="0085799C">
      <w:pPr>
        <w:spacing w:after="120" w:line="240" w:lineRule="auto"/>
        <w:jc w:val="both"/>
        <w:rPr>
          <w:rFonts w:ascii="Times New Roman" w:eastAsia="Calibri" w:hAnsi="Times New Roman"/>
        </w:rPr>
      </w:pPr>
      <w:r w:rsidRPr="0085799C">
        <w:rPr>
          <w:rFonts w:ascii="Times New Roman" w:eastAsia="Calibri" w:hAnsi="Times New Roman"/>
        </w:rPr>
        <w:t xml:space="preserve">Druhú najvýznamnejšiu hodnotu na účte obstarania dlhodobého hmotného majetku v rámci kapitoly </w:t>
      </w:r>
      <w:r w:rsidR="008252FD">
        <w:rPr>
          <w:rFonts w:ascii="Times New Roman" w:eastAsia="Calibri" w:hAnsi="Times New Roman"/>
        </w:rPr>
        <w:t xml:space="preserve">Ministerstva dopravy SR </w:t>
      </w:r>
      <w:r w:rsidRPr="0085799C">
        <w:rPr>
          <w:rFonts w:ascii="Times New Roman" w:eastAsia="Calibri" w:hAnsi="Times New Roman"/>
        </w:rPr>
        <w:t xml:space="preserve">vykázali </w:t>
      </w:r>
      <w:r w:rsidRPr="0085799C">
        <w:rPr>
          <w:rFonts w:ascii="Times New Roman" w:eastAsia="Calibri" w:hAnsi="Times New Roman"/>
          <w:u w:val="single"/>
        </w:rPr>
        <w:t>Železnice SR</w:t>
      </w:r>
      <w:r w:rsidRPr="0085799C">
        <w:rPr>
          <w:rFonts w:ascii="Times New Roman" w:eastAsia="Calibri" w:hAnsi="Times New Roman"/>
          <w:b/>
          <w:i/>
        </w:rPr>
        <w:t xml:space="preserve"> </w:t>
      </w:r>
      <w:r w:rsidRPr="0085799C">
        <w:rPr>
          <w:rFonts w:ascii="Times New Roman" w:eastAsia="Calibri" w:hAnsi="Times New Roman"/>
        </w:rPr>
        <w:t xml:space="preserve">v sume 902 794 </w:t>
      </w:r>
      <w:r w:rsidR="00E66BA0" w:rsidRPr="0085799C">
        <w:rPr>
          <w:rFonts w:ascii="Times New Roman" w:eastAsia="Calibri" w:hAnsi="Times New Roman"/>
        </w:rPr>
        <w:t>tis.</w:t>
      </w:r>
      <w:r w:rsidRPr="0085799C">
        <w:rPr>
          <w:rFonts w:ascii="Times New Roman" w:eastAsia="Calibri" w:hAnsi="Times New Roman"/>
        </w:rPr>
        <w:t xml:space="preserve"> eur. Prírastky vo výške 452 491 </w:t>
      </w:r>
      <w:r w:rsidR="00E66BA0" w:rsidRPr="0085799C">
        <w:rPr>
          <w:rFonts w:ascii="Times New Roman" w:eastAsia="Calibri" w:hAnsi="Times New Roman"/>
        </w:rPr>
        <w:t>tis.</w:t>
      </w:r>
      <w:r w:rsidRPr="0085799C">
        <w:rPr>
          <w:rFonts w:ascii="Times New Roman" w:eastAsia="Calibri" w:hAnsi="Times New Roman"/>
        </w:rPr>
        <w:t xml:space="preserve"> eur predstavujú najmä obstaranie stavebných prác železničnej infraštruktúry v hodnote 388 259 </w:t>
      </w:r>
      <w:r w:rsidR="00E66BA0" w:rsidRPr="0085799C">
        <w:rPr>
          <w:rFonts w:ascii="Times New Roman" w:eastAsia="Calibri" w:hAnsi="Times New Roman"/>
        </w:rPr>
        <w:t>tis.</w:t>
      </w:r>
      <w:r w:rsidRPr="0085799C">
        <w:rPr>
          <w:rFonts w:ascii="Times New Roman" w:eastAsia="Calibri" w:hAnsi="Times New Roman"/>
        </w:rPr>
        <w:t xml:space="preserve"> eur, </w:t>
      </w:r>
      <w:r w:rsidRPr="00F9308B">
        <w:rPr>
          <w:rFonts w:ascii="Times New Roman" w:eastAsia="Calibri" w:hAnsi="Times New Roman"/>
        </w:rPr>
        <w:t xml:space="preserve">obstaranie strojov a zariadení železničnej infraštruktúry v hodnote 3 180 </w:t>
      </w:r>
      <w:r w:rsidR="007113F6" w:rsidRPr="00F9308B">
        <w:rPr>
          <w:rFonts w:ascii="Times New Roman" w:eastAsia="Calibri" w:hAnsi="Times New Roman"/>
        </w:rPr>
        <w:t>tis.</w:t>
      </w:r>
      <w:r w:rsidRPr="00F9308B">
        <w:rPr>
          <w:rFonts w:ascii="Times New Roman" w:eastAsia="Calibri" w:hAnsi="Times New Roman"/>
        </w:rPr>
        <w:t xml:space="preserve"> eur a obstaranie investícií nálezom v hodnote 8</w:t>
      </w:r>
      <w:r w:rsidR="00916CC8" w:rsidRPr="00F9308B">
        <w:rPr>
          <w:rFonts w:ascii="Times New Roman" w:eastAsia="Calibri" w:hAnsi="Times New Roman"/>
          <w:szCs w:val="22"/>
        </w:rPr>
        <w:t> </w:t>
      </w:r>
      <w:r w:rsidRPr="00F9308B">
        <w:rPr>
          <w:rFonts w:ascii="Times New Roman" w:eastAsia="Calibri" w:hAnsi="Times New Roman"/>
        </w:rPr>
        <w:t xml:space="preserve">089 </w:t>
      </w:r>
      <w:r w:rsidR="007113F6" w:rsidRPr="00F9308B">
        <w:rPr>
          <w:rFonts w:ascii="Times New Roman" w:eastAsia="Calibri" w:hAnsi="Times New Roman"/>
        </w:rPr>
        <w:t>tis.</w:t>
      </w:r>
      <w:r w:rsidRPr="00F9308B">
        <w:rPr>
          <w:rFonts w:ascii="Times New Roman" w:eastAsia="Calibri" w:hAnsi="Times New Roman"/>
        </w:rPr>
        <w:t xml:space="preserve"> eur. V rámci obstarania stavebných prác železničnej infraštruktúry ide najmä o Dostavbu zriaďovacej stanice Žilina Teplička (Uzol Žilina), Elektrifikáciu trate Bánovce nad Ondavou – Humenné, Modernizáciu trate Krásno nad Kysucou – Čadca a Modernizáciu trate Devínska Nová Ves – štátna hranica. Úbytky vo výške 277</w:t>
      </w:r>
      <w:r w:rsidR="004768AA" w:rsidRPr="00F9308B">
        <w:rPr>
          <w:rFonts w:ascii="Times New Roman" w:eastAsia="Calibri" w:hAnsi="Times New Roman"/>
        </w:rPr>
        <w:t> </w:t>
      </w:r>
      <w:r w:rsidRPr="00F9308B">
        <w:rPr>
          <w:rFonts w:ascii="Times New Roman" w:eastAsia="Calibri" w:hAnsi="Times New Roman"/>
        </w:rPr>
        <w:t>23</w:t>
      </w:r>
      <w:r w:rsidR="004768AA" w:rsidRPr="00F9308B">
        <w:rPr>
          <w:rFonts w:ascii="Times New Roman" w:eastAsia="Calibri" w:hAnsi="Times New Roman"/>
        </w:rPr>
        <w:t>4 tis.</w:t>
      </w:r>
      <w:r w:rsidRPr="00F9308B">
        <w:rPr>
          <w:rFonts w:ascii="Times New Roman" w:eastAsia="Calibri" w:hAnsi="Times New Roman"/>
        </w:rPr>
        <w:t xml:space="preserve"> eur predstavujú hodnotu, ktorá sa z</w:t>
      </w:r>
      <w:r w:rsidR="00F9308B" w:rsidRPr="00F9308B">
        <w:rPr>
          <w:rFonts w:ascii="Times New Roman" w:eastAsia="Calibri" w:hAnsi="Times New Roman"/>
        </w:rPr>
        <w:t>aradi</w:t>
      </w:r>
      <w:r w:rsidRPr="00F9308B">
        <w:rPr>
          <w:rFonts w:ascii="Times New Roman" w:eastAsia="Calibri" w:hAnsi="Times New Roman"/>
        </w:rPr>
        <w:t xml:space="preserve">la do používania </w:t>
      </w:r>
      <w:r w:rsidR="00F9308B" w:rsidRPr="00F9308B">
        <w:rPr>
          <w:rFonts w:ascii="Times New Roman" w:eastAsia="Calibri" w:hAnsi="Times New Roman"/>
        </w:rPr>
        <w:t xml:space="preserve">ako </w:t>
      </w:r>
      <w:r w:rsidRPr="00F9308B">
        <w:rPr>
          <w:rFonts w:ascii="Times New Roman" w:eastAsia="Calibri" w:hAnsi="Times New Roman"/>
        </w:rPr>
        <w:t>dlhodobý hmotný majetok. Najväčšie hodnoty predstavujú zverenie modernizácie trate Púchov – Žilina, dostavby zriaďovacej stanice Žilina Teplička (Uzol Žilina), elektrifikácie trate Bánovce nad Ondavou – Humenné, modernizácie trate Krásno nad Kysucou – Čadca a modernizácie trate Devínska Nová Ves – štátna hranica</w:t>
      </w:r>
      <w:r w:rsidR="008252FD" w:rsidRPr="00F9308B">
        <w:rPr>
          <w:rFonts w:ascii="Times New Roman" w:eastAsia="Calibri" w:hAnsi="Times New Roman"/>
        </w:rPr>
        <w:t xml:space="preserve">. </w:t>
      </w:r>
      <w:r w:rsidRPr="00F9308B">
        <w:rPr>
          <w:rFonts w:ascii="Times New Roman" w:eastAsia="Calibri" w:hAnsi="Times New Roman"/>
        </w:rPr>
        <w:t xml:space="preserve">Stav účtu k </w:t>
      </w:r>
      <w:r w:rsidR="00F418A2" w:rsidRPr="00F9308B">
        <w:rPr>
          <w:rFonts w:ascii="Times New Roman" w:eastAsia="Calibri" w:hAnsi="Times New Roman"/>
        </w:rPr>
        <w:t>31.</w:t>
      </w:r>
      <w:r w:rsidR="008252FD" w:rsidRPr="00A7107D">
        <w:rPr>
          <w:rFonts w:ascii="Times New Roman" w:eastAsia="Calibri" w:hAnsi="Times New Roman"/>
        </w:rPr>
        <w:t xml:space="preserve"> </w:t>
      </w:r>
      <w:r w:rsidR="00F418A2" w:rsidRPr="00F9308B">
        <w:rPr>
          <w:rFonts w:ascii="Times New Roman" w:eastAsia="Calibri" w:hAnsi="Times New Roman"/>
        </w:rPr>
        <w:t>12.</w:t>
      </w:r>
      <w:r w:rsidR="008252FD" w:rsidRPr="00A7107D">
        <w:rPr>
          <w:rFonts w:ascii="Times New Roman" w:eastAsia="Calibri" w:hAnsi="Times New Roman"/>
        </w:rPr>
        <w:t xml:space="preserve"> </w:t>
      </w:r>
      <w:r w:rsidR="00F418A2" w:rsidRPr="00F9308B">
        <w:rPr>
          <w:rFonts w:ascii="Times New Roman" w:eastAsia="Calibri" w:hAnsi="Times New Roman"/>
        </w:rPr>
        <w:t>2024</w:t>
      </w:r>
      <w:r w:rsidRPr="00F9308B">
        <w:rPr>
          <w:rFonts w:ascii="Times New Roman" w:eastAsia="Calibri" w:hAnsi="Times New Roman"/>
        </w:rPr>
        <w:t xml:space="preserve"> predstavuje najmä dostavb</w:t>
      </w:r>
      <w:r w:rsidR="00F9308B" w:rsidRPr="00A7107D">
        <w:rPr>
          <w:rFonts w:ascii="Times New Roman" w:eastAsia="Calibri" w:hAnsi="Times New Roman"/>
        </w:rPr>
        <w:t>u</w:t>
      </w:r>
      <w:r w:rsidRPr="00F9308B">
        <w:rPr>
          <w:rFonts w:ascii="Times New Roman" w:eastAsia="Calibri" w:hAnsi="Times New Roman"/>
        </w:rPr>
        <w:t xml:space="preserve"> zriaďovacej stanice Žilina Teplička (Uzol Žilina) v hodnote 214 415 </w:t>
      </w:r>
      <w:r w:rsidR="004768AA" w:rsidRPr="00F9308B">
        <w:rPr>
          <w:rFonts w:ascii="Times New Roman" w:eastAsia="Calibri" w:hAnsi="Times New Roman"/>
        </w:rPr>
        <w:t>tis.</w:t>
      </w:r>
      <w:r w:rsidRPr="00F9308B">
        <w:rPr>
          <w:rFonts w:ascii="Times New Roman" w:eastAsia="Calibri" w:hAnsi="Times New Roman"/>
        </w:rPr>
        <w:t xml:space="preserve"> eur, Elektrifikácia trate Bánovce nad Ondavou – Humenné v hodnote 103</w:t>
      </w:r>
      <w:r w:rsidR="00BE491A" w:rsidRPr="00F9308B">
        <w:rPr>
          <w:rFonts w:ascii="Times New Roman" w:eastAsia="Calibri" w:hAnsi="Times New Roman"/>
        </w:rPr>
        <w:t> </w:t>
      </w:r>
      <w:r w:rsidRPr="00F9308B">
        <w:rPr>
          <w:rFonts w:ascii="Times New Roman" w:eastAsia="Calibri" w:hAnsi="Times New Roman"/>
        </w:rPr>
        <w:t>97</w:t>
      </w:r>
      <w:r w:rsidR="00BE491A" w:rsidRPr="00F9308B">
        <w:rPr>
          <w:rFonts w:ascii="Times New Roman" w:eastAsia="Calibri" w:hAnsi="Times New Roman"/>
        </w:rPr>
        <w:t>1 tis.</w:t>
      </w:r>
      <w:r w:rsidRPr="00F9308B">
        <w:rPr>
          <w:rFonts w:ascii="Times New Roman" w:eastAsia="Calibri" w:hAnsi="Times New Roman"/>
        </w:rPr>
        <w:t xml:space="preserve"> eur, modernizácia</w:t>
      </w:r>
      <w:r w:rsidRPr="0085799C">
        <w:rPr>
          <w:rFonts w:ascii="Times New Roman" w:eastAsia="Calibri" w:hAnsi="Times New Roman"/>
        </w:rPr>
        <w:t xml:space="preserve"> železničnej trate Liptovský Mikuláš – Poprad v hodnote 98 522 </w:t>
      </w:r>
      <w:r w:rsidR="00BE491A" w:rsidRPr="0085799C">
        <w:rPr>
          <w:rFonts w:ascii="Times New Roman" w:eastAsia="Calibri" w:hAnsi="Times New Roman"/>
        </w:rPr>
        <w:t>tis.</w:t>
      </w:r>
      <w:r w:rsidRPr="0085799C">
        <w:rPr>
          <w:rFonts w:ascii="Times New Roman" w:eastAsia="Calibri" w:hAnsi="Times New Roman"/>
        </w:rPr>
        <w:t xml:space="preserve"> eur a elektrifikácia trate Haniska – Moldava v hodnote 65</w:t>
      </w:r>
      <w:r w:rsidR="00BE491A" w:rsidRPr="0085799C">
        <w:rPr>
          <w:rFonts w:ascii="Times New Roman" w:eastAsia="Calibri" w:hAnsi="Times New Roman"/>
        </w:rPr>
        <w:t> </w:t>
      </w:r>
      <w:r w:rsidRPr="0085799C">
        <w:rPr>
          <w:rFonts w:ascii="Times New Roman" w:eastAsia="Calibri" w:hAnsi="Times New Roman"/>
        </w:rPr>
        <w:t>85</w:t>
      </w:r>
      <w:r w:rsidR="00BE491A" w:rsidRPr="0085799C">
        <w:rPr>
          <w:rFonts w:ascii="Times New Roman" w:eastAsia="Calibri" w:hAnsi="Times New Roman"/>
        </w:rPr>
        <w:t>6 tis.</w:t>
      </w:r>
      <w:r w:rsidRPr="0085799C">
        <w:rPr>
          <w:rFonts w:ascii="Times New Roman" w:eastAsia="Calibri" w:hAnsi="Times New Roman"/>
        </w:rPr>
        <w:t xml:space="preserve"> eur. </w:t>
      </w:r>
    </w:p>
    <w:p w14:paraId="24E6B657" w14:textId="63523366" w:rsidR="3C163AA9" w:rsidRPr="0085799C" w:rsidRDefault="3C163AA9" w:rsidP="0085799C">
      <w:pPr>
        <w:spacing w:after="120" w:line="240" w:lineRule="auto"/>
        <w:jc w:val="both"/>
        <w:rPr>
          <w:rFonts w:ascii="Times New Roman" w:eastAsia="Calibri" w:hAnsi="Times New Roman"/>
        </w:rPr>
      </w:pPr>
      <w:r w:rsidRPr="0085799C">
        <w:rPr>
          <w:rFonts w:ascii="Times New Roman" w:eastAsia="Calibri" w:hAnsi="Times New Roman"/>
          <w:u w:val="single"/>
        </w:rPr>
        <w:t>Kapitola Ministerstva obrany SR</w:t>
      </w:r>
      <w:r w:rsidRPr="0085799C">
        <w:rPr>
          <w:rFonts w:ascii="Times New Roman" w:eastAsia="Calibri" w:hAnsi="Times New Roman"/>
        </w:rPr>
        <w:t xml:space="preserve"> vykázala majetok v obstarávaní v sume 273</w:t>
      </w:r>
      <w:r w:rsidR="00550598" w:rsidRPr="0085799C">
        <w:rPr>
          <w:rFonts w:ascii="Times New Roman" w:eastAsia="Calibri" w:hAnsi="Times New Roman"/>
        </w:rPr>
        <w:t> </w:t>
      </w:r>
      <w:r w:rsidRPr="0085799C">
        <w:rPr>
          <w:rFonts w:ascii="Times New Roman" w:eastAsia="Calibri" w:hAnsi="Times New Roman"/>
        </w:rPr>
        <w:t>89</w:t>
      </w:r>
      <w:r w:rsidR="00550598" w:rsidRPr="0085799C">
        <w:rPr>
          <w:rFonts w:ascii="Times New Roman" w:eastAsia="Calibri" w:hAnsi="Times New Roman"/>
        </w:rPr>
        <w:t>4 tis.</w:t>
      </w:r>
      <w:r w:rsidRPr="0085799C">
        <w:rPr>
          <w:rFonts w:ascii="Times New Roman" w:eastAsia="Calibri" w:hAnsi="Times New Roman"/>
        </w:rPr>
        <w:t xml:space="preserve"> eur, pričom stav na účte sa medziročne zvýšil o 40 684 </w:t>
      </w:r>
      <w:r w:rsidR="00550598" w:rsidRPr="0085799C">
        <w:rPr>
          <w:rFonts w:ascii="Times New Roman" w:eastAsia="Calibri" w:hAnsi="Times New Roman"/>
        </w:rPr>
        <w:t xml:space="preserve">tis. </w:t>
      </w:r>
      <w:r w:rsidRPr="0085799C">
        <w:rPr>
          <w:rFonts w:ascii="Times New Roman" w:eastAsia="Calibri" w:hAnsi="Times New Roman"/>
        </w:rPr>
        <w:t xml:space="preserve">eur. Najvýznamnejšie investičné akcie v rámci obstarávania </w:t>
      </w:r>
      <w:r w:rsidRPr="0085799C">
        <w:rPr>
          <w:rFonts w:ascii="Times New Roman" w:eastAsia="Calibri" w:hAnsi="Times New Roman"/>
        </w:rPr>
        <w:lastRenderedPageBreak/>
        <w:t xml:space="preserve">boli na </w:t>
      </w:r>
      <w:r w:rsidRPr="0085799C">
        <w:rPr>
          <w:rFonts w:ascii="Times New Roman" w:eastAsia="Calibri" w:hAnsi="Times New Roman"/>
          <w:u w:val="single"/>
        </w:rPr>
        <w:t>Ministerstve obrany SR</w:t>
      </w:r>
      <w:r w:rsidRPr="0085799C">
        <w:rPr>
          <w:rFonts w:ascii="Times New Roman" w:eastAsia="Calibri" w:hAnsi="Times New Roman"/>
        </w:rPr>
        <w:t xml:space="preserve"> (158 563 </w:t>
      </w:r>
      <w:r w:rsidR="006369CF" w:rsidRPr="0085799C">
        <w:rPr>
          <w:rFonts w:ascii="Times New Roman" w:eastAsia="Calibri" w:hAnsi="Times New Roman"/>
        </w:rPr>
        <w:t>tis.</w:t>
      </w:r>
      <w:r w:rsidRPr="0085799C">
        <w:rPr>
          <w:rFonts w:ascii="Times New Roman" w:eastAsia="Calibri" w:hAnsi="Times New Roman"/>
        </w:rPr>
        <w:t xml:space="preserve"> eur), najmä v súvislosti s investičnou výstavbou v hodnote 35</w:t>
      </w:r>
      <w:r w:rsidR="006369CF" w:rsidRPr="0085799C">
        <w:rPr>
          <w:rFonts w:ascii="Times New Roman" w:eastAsia="Calibri" w:hAnsi="Times New Roman"/>
        </w:rPr>
        <w:t> </w:t>
      </w:r>
      <w:r w:rsidRPr="0085799C">
        <w:rPr>
          <w:rFonts w:ascii="Times New Roman" w:eastAsia="Calibri" w:hAnsi="Times New Roman"/>
        </w:rPr>
        <w:t>28</w:t>
      </w:r>
      <w:r w:rsidR="006369CF" w:rsidRPr="0085799C">
        <w:rPr>
          <w:rFonts w:ascii="Times New Roman" w:eastAsia="Calibri" w:hAnsi="Times New Roman"/>
        </w:rPr>
        <w:t>7 tis.</w:t>
      </w:r>
      <w:r w:rsidRPr="0085799C">
        <w:rPr>
          <w:rFonts w:ascii="Times New Roman" w:eastAsia="Calibri" w:hAnsi="Times New Roman"/>
        </w:rPr>
        <w:t xml:space="preserve"> eur, obstarávanie týkajúce sa modernizácie a zvyšovania informačnej bezpečnosti komunikačných a informačných systémov v hodnote 19 238 </w:t>
      </w:r>
      <w:r w:rsidR="006369CF" w:rsidRPr="0085799C">
        <w:rPr>
          <w:rFonts w:ascii="Times New Roman" w:eastAsia="Calibri" w:hAnsi="Times New Roman"/>
        </w:rPr>
        <w:t>tis.</w:t>
      </w:r>
      <w:r w:rsidRPr="0085799C">
        <w:rPr>
          <w:rFonts w:ascii="Times New Roman" w:eastAsia="Calibri" w:hAnsi="Times New Roman"/>
        </w:rPr>
        <w:t xml:space="preserve"> eur, obstaranie týkajúce sa modernizácie obranných systémov v čiastke 11</w:t>
      </w:r>
      <w:r w:rsidR="006369CF" w:rsidRPr="0085799C">
        <w:rPr>
          <w:rFonts w:ascii="Times New Roman" w:eastAsia="Calibri" w:hAnsi="Times New Roman"/>
        </w:rPr>
        <w:t> </w:t>
      </w:r>
      <w:r w:rsidRPr="0085799C">
        <w:rPr>
          <w:rFonts w:ascii="Times New Roman" w:eastAsia="Calibri" w:hAnsi="Times New Roman"/>
        </w:rPr>
        <w:t>0</w:t>
      </w:r>
      <w:r w:rsidR="006369CF" w:rsidRPr="0085799C">
        <w:rPr>
          <w:rFonts w:ascii="Times New Roman" w:eastAsia="Calibri" w:hAnsi="Times New Roman"/>
        </w:rPr>
        <w:t>70 tis.</w:t>
      </w:r>
      <w:r w:rsidRPr="0085799C">
        <w:rPr>
          <w:rFonts w:ascii="Times New Roman" w:eastAsia="Calibri" w:hAnsi="Times New Roman"/>
        </w:rPr>
        <w:t xml:space="preserve"> eur a obstarávanie iného špeciálneho vybavenia, strojov a zariadení. Ďalšie významné hodnoty v rámci kapitoly dosiahli </w:t>
      </w:r>
      <w:r w:rsidRPr="0085799C">
        <w:rPr>
          <w:rFonts w:ascii="Times New Roman" w:eastAsia="Calibri" w:hAnsi="Times New Roman"/>
          <w:u w:val="single"/>
        </w:rPr>
        <w:t>Centrum výcviku Lešť</w:t>
      </w:r>
      <w:r w:rsidRPr="0085799C">
        <w:rPr>
          <w:rFonts w:ascii="Times New Roman" w:eastAsia="Calibri" w:hAnsi="Times New Roman"/>
        </w:rPr>
        <w:t xml:space="preserve"> (56</w:t>
      </w:r>
      <w:r w:rsidR="006369CF" w:rsidRPr="0085799C">
        <w:rPr>
          <w:rFonts w:ascii="Times New Roman" w:eastAsia="Calibri" w:hAnsi="Times New Roman"/>
        </w:rPr>
        <w:t> </w:t>
      </w:r>
      <w:r w:rsidRPr="0085799C">
        <w:rPr>
          <w:rFonts w:ascii="Times New Roman" w:eastAsia="Calibri" w:hAnsi="Times New Roman"/>
        </w:rPr>
        <w:t>80</w:t>
      </w:r>
      <w:r w:rsidR="006369CF" w:rsidRPr="0085799C">
        <w:rPr>
          <w:rFonts w:ascii="Times New Roman" w:eastAsia="Calibri" w:hAnsi="Times New Roman"/>
        </w:rPr>
        <w:t>3 tis.</w:t>
      </w:r>
      <w:r w:rsidRPr="0085799C">
        <w:rPr>
          <w:rFonts w:ascii="Times New Roman" w:eastAsia="Calibri" w:hAnsi="Times New Roman"/>
        </w:rPr>
        <w:t xml:space="preserve"> eur) a </w:t>
      </w:r>
      <w:r w:rsidRPr="00A7107D">
        <w:rPr>
          <w:rFonts w:ascii="Times New Roman" w:eastAsia="Calibri" w:hAnsi="Times New Roman"/>
          <w:iCs/>
          <w:u w:val="single"/>
        </w:rPr>
        <w:t>Akadémia ozbrojených síl generála Milana Rastislava Štefánika v Liptovskom Mikuláši</w:t>
      </w:r>
      <w:r w:rsidRPr="0085799C">
        <w:rPr>
          <w:rFonts w:ascii="Times New Roman" w:eastAsia="Calibri" w:hAnsi="Times New Roman"/>
        </w:rPr>
        <w:t xml:space="preserve"> (18</w:t>
      </w:r>
      <w:r w:rsidR="006369CF" w:rsidRPr="0085799C">
        <w:rPr>
          <w:rFonts w:ascii="Times New Roman" w:eastAsia="Calibri" w:hAnsi="Times New Roman"/>
        </w:rPr>
        <w:t> </w:t>
      </w:r>
      <w:r w:rsidRPr="0085799C">
        <w:rPr>
          <w:rFonts w:ascii="Times New Roman" w:eastAsia="Calibri" w:hAnsi="Times New Roman"/>
        </w:rPr>
        <w:t>83</w:t>
      </w:r>
      <w:r w:rsidR="006369CF" w:rsidRPr="0085799C">
        <w:rPr>
          <w:rFonts w:ascii="Times New Roman" w:eastAsia="Calibri" w:hAnsi="Times New Roman"/>
        </w:rPr>
        <w:t>5 tis.</w:t>
      </w:r>
      <w:r w:rsidRPr="0085799C">
        <w:rPr>
          <w:rFonts w:ascii="Times New Roman" w:eastAsia="Calibri" w:hAnsi="Times New Roman"/>
        </w:rPr>
        <w:t xml:space="preserve"> eur).</w:t>
      </w:r>
    </w:p>
    <w:p w14:paraId="4D849C96" w14:textId="54EAAB5E" w:rsidR="3C163AA9" w:rsidRPr="0085799C" w:rsidRDefault="3C163AA9" w:rsidP="0085799C">
      <w:pPr>
        <w:spacing w:after="120" w:line="240" w:lineRule="auto"/>
        <w:jc w:val="both"/>
        <w:rPr>
          <w:rFonts w:ascii="Times New Roman" w:eastAsia="Calibri" w:hAnsi="Times New Roman"/>
        </w:rPr>
      </w:pPr>
      <w:r w:rsidRPr="0085799C">
        <w:rPr>
          <w:rFonts w:ascii="Times New Roman" w:eastAsia="Calibri" w:hAnsi="Times New Roman"/>
          <w:u w:val="single"/>
        </w:rPr>
        <w:t>Kapitola Ministerstva hospodárstva SR</w:t>
      </w:r>
      <w:r w:rsidRPr="0085799C">
        <w:rPr>
          <w:rFonts w:ascii="Times New Roman" w:eastAsia="Calibri" w:hAnsi="Times New Roman"/>
        </w:rPr>
        <w:t xml:space="preserve"> dosiahla hodnotu dlhodobého hmotného majetku v obstarávaní 163</w:t>
      </w:r>
      <w:r w:rsidR="006369CF" w:rsidRPr="0085799C">
        <w:rPr>
          <w:rFonts w:ascii="Times New Roman" w:eastAsia="Calibri" w:hAnsi="Times New Roman"/>
        </w:rPr>
        <w:t> </w:t>
      </w:r>
      <w:r w:rsidRPr="0085799C">
        <w:rPr>
          <w:rFonts w:ascii="Times New Roman" w:eastAsia="Calibri" w:hAnsi="Times New Roman"/>
        </w:rPr>
        <w:t>46</w:t>
      </w:r>
      <w:r w:rsidR="006369CF" w:rsidRPr="0085799C">
        <w:rPr>
          <w:rFonts w:ascii="Times New Roman" w:eastAsia="Calibri" w:hAnsi="Times New Roman"/>
        </w:rPr>
        <w:t>9 tis.</w:t>
      </w:r>
      <w:r w:rsidRPr="0085799C">
        <w:rPr>
          <w:rFonts w:ascii="Times New Roman" w:eastAsia="Calibri" w:hAnsi="Times New Roman"/>
        </w:rPr>
        <w:t xml:space="preserve"> eur a medziročný celkový pokles o 1 885 </w:t>
      </w:r>
      <w:r w:rsidR="002A601E" w:rsidRPr="0085799C">
        <w:rPr>
          <w:rFonts w:ascii="Times New Roman" w:eastAsia="Calibri" w:hAnsi="Times New Roman"/>
        </w:rPr>
        <w:t>tis.</w:t>
      </w:r>
      <w:r w:rsidRPr="0085799C">
        <w:rPr>
          <w:rFonts w:ascii="Times New Roman" w:eastAsia="Calibri" w:hAnsi="Times New Roman"/>
        </w:rPr>
        <w:t xml:space="preserve"> eur. Najvyššiu hodnotu v rámci kapitoly dosiahla spoločnosť </w:t>
      </w:r>
      <w:r w:rsidRPr="0085799C">
        <w:rPr>
          <w:rFonts w:ascii="Times New Roman" w:eastAsia="Calibri" w:hAnsi="Times New Roman"/>
          <w:u w:val="single"/>
        </w:rPr>
        <w:t xml:space="preserve">Valaliky Industrial Park, </w:t>
      </w:r>
      <w:proofErr w:type="spellStart"/>
      <w:r w:rsidRPr="0085799C">
        <w:rPr>
          <w:rFonts w:ascii="Times New Roman" w:eastAsia="Calibri" w:hAnsi="Times New Roman"/>
          <w:u w:val="single"/>
        </w:rPr>
        <w:t>s.r.o</w:t>
      </w:r>
      <w:proofErr w:type="spellEnd"/>
      <w:r w:rsidRPr="0085799C">
        <w:rPr>
          <w:rFonts w:ascii="Times New Roman" w:eastAsia="Calibri" w:hAnsi="Times New Roman"/>
          <w:u w:val="single"/>
        </w:rPr>
        <w:t>.,</w:t>
      </w:r>
      <w:r w:rsidRPr="0085799C">
        <w:rPr>
          <w:rFonts w:ascii="Times New Roman" w:eastAsia="Calibri" w:hAnsi="Times New Roman"/>
        </w:rPr>
        <w:t xml:space="preserve"> a to sumu 88 174 </w:t>
      </w:r>
      <w:r w:rsidR="002A601E" w:rsidRPr="0085799C">
        <w:rPr>
          <w:rFonts w:ascii="Times New Roman" w:eastAsia="Calibri" w:hAnsi="Times New Roman"/>
        </w:rPr>
        <w:t>tis.</w:t>
      </w:r>
      <w:r w:rsidRPr="0085799C">
        <w:rPr>
          <w:rFonts w:ascii="Times New Roman" w:eastAsia="Calibri" w:hAnsi="Times New Roman"/>
        </w:rPr>
        <w:t xml:space="preserve"> eur,</w:t>
      </w:r>
      <w:r w:rsidRPr="0085799C">
        <w:rPr>
          <w:rFonts w:ascii="Times New Roman" w:eastAsia="Calibri" w:hAnsi="Times New Roman"/>
          <w:color w:val="C00000"/>
        </w:rPr>
        <w:t xml:space="preserve"> </w:t>
      </w:r>
      <w:r w:rsidRPr="0085799C">
        <w:rPr>
          <w:rFonts w:ascii="Times New Roman" w:eastAsia="Calibri" w:hAnsi="Times New Roman"/>
        </w:rPr>
        <w:t xml:space="preserve">z dôvodu obstarania dlhodobého majetku </w:t>
      </w:r>
      <w:r w:rsidR="00557CC3">
        <w:rPr>
          <w:rFonts w:ascii="Times New Roman" w:eastAsia="Calibri" w:hAnsi="Times New Roman"/>
        </w:rPr>
        <w:t>za účelom budovania investičných parkov pre investorov</w:t>
      </w:r>
      <w:r w:rsidRPr="0085799C">
        <w:rPr>
          <w:rFonts w:ascii="Times New Roman" w:eastAsia="Calibri" w:hAnsi="Times New Roman"/>
        </w:rPr>
        <w:t xml:space="preserve">. Druhú najvyššiu hodnotu v rámci kapitoly dosiahla spoločnosť </w:t>
      </w:r>
      <w:r w:rsidRPr="0085799C">
        <w:rPr>
          <w:rFonts w:ascii="Times New Roman" w:eastAsia="Calibri" w:hAnsi="Times New Roman"/>
          <w:u w:val="single"/>
        </w:rPr>
        <w:t xml:space="preserve">MH </w:t>
      </w:r>
      <w:proofErr w:type="spellStart"/>
      <w:r w:rsidRPr="0085799C">
        <w:rPr>
          <w:rFonts w:ascii="Times New Roman" w:eastAsia="Calibri" w:hAnsi="Times New Roman"/>
          <w:u w:val="single"/>
        </w:rPr>
        <w:t>Invest</w:t>
      </w:r>
      <w:proofErr w:type="spellEnd"/>
      <w:r w:rsidRPr="0085799C">
        <w:rPr>
          <w:rFonts w:ascii="Times New Roman" w:eastAsia="Calibri" w:hAnsi="Times New Roman"/>
          <w:u w:val="single"/>
        </w:rPr>
        <w:t xml:space="preserve">, </w:t>
      </w:r>
      <w:proofErr w:type="spellStart"/>
      <w:r w:rsidRPr="0085799C">
        <w:rPr>
          <w:rFonts w:ascii="Times New Roman" w:eastAsia="Calibri" w:hAnsi="Times New Roman"/>
          <w:u w:val="single"/>
        </w:rPr>
        <w:t>s.r.o</w:t>
      </w:r>
      <w:proofErr w:type="spellEnd"/>
      <w:r w:rsidRPr="0085799C">
        <w:rPr>
          <w:rFonts w:ascii="Times New Roman" w:eastAsia="Calibri" w:hAnsi="Times New Roman"/>
          <w:b/>
          <w:i/>
        </w:rPr>
        <w:t xml:space="preserve">. </w:t>
      </w:r>
      <w:r w:rsidRPr="0085799C">
        <w:rPr>
          <w:rFonts w:ascii="Times New Roman" w:eastAsia="Calibri" w:hAnsi="Times New Roman"/>
        </w:rPr>
        <w:t>vo výške 42</w:t>
      </w:r>
      <w:r w:rsidR="0093267D" w:rsidRPr="0085799C">
        <w:rPr>
          <w:rFonts w:ascii="Times New Roman" w:eastAsia="Calibri" w:hAnsi="Times New Roman"/>
        </w:rPr>
        <w:t> </w:t>
      </w:r>
      <w:r w:rsidRPr="0085799C">
        <w:rPr>
          <w:rFonts w:ascii="Times New Roman" w:eastAsia="Calibri" w:hAnsi="Times New Roman"/>
        </w:rPr>
        <w:t>28</w:t>
      </w:r>
      <w:r w:rsidR="0093267D" w:rsidRPr="0085799C">
        <w:rPr>
          <w:rFonts w:ascii="Times New Roman" w:eastAsia="Calibri" w:hAnsi="Times New Roman"/>
        </w:rPr>
        <w:t>8 tis.</w:t>
      </w:r>
      <w:r w:rsidRPr="0085799C">
        <w:rPr>
          <w:rFonts w:ascii="Times New Roman" w:eastAsia="Calibri" w:hAnsi="Times New Roman"/>
        </w:rPr>
        <w:t xml:space="preserve"> eur s medziročným nárastom o</w:t>
      </w:r>
      <w:r w:rsidR="00034798" w:rsidRPr="002A40EC">
        <w:rPr>
          <w:rFonts w:ascii="Times New Roman" w:eastAsia="Calibri" w:hAnsi="Times New Roman"/>
          <w:szCs w:val="22"/>
        </w:rPr>
        <w:t> </w:t>
      </w:r>
      <w:r w:rsidRPr="0085799C">
        <w:rPr>
          <w:rFonts w:ascii="Times New Roman" w:eastAsia="Calibri" w:hAnsi="Times New Roman"/>
        </w:rPr>
        <w:t>39</w:t>
      </w:r>
      <w:r w:rsidR="0093267D" w:rsidRPr="0085799C">
        <w:rPr>
          <w:rFonts w:ascii="Times New Roman" w:eastAsia="Calibri" w:hAnsi="Times New Roman"/>
        </w:rPr>
        <w:t> </w:t>
      </w:r>
      <w:r w:rsidRPr="0085799C">
        <w:rPr>
          <w:rFonts w:ascii="Times New Roman" w:eastAsia="Calibri" w:hAnsi="Times New Roman"/>
        </w:rPr>
        <w:t>04</w:t>
      </w:r>
      <w:r w:rsidR="0093267D" w:rsidRPr="0085799C">
        <w:rPr>
          <w:rFonts w:ascii="Times New Roman" w:eastAsia="Calibri" w:hAnsi="Times New Roman"/>
        </w:rPr>
        <w:t>6 tis.</w:t>
      </w:r>
      <w:r w:rsidRPr="0085799C">
        <w:rPr>
          <w:rFonts w:ascii="Times New Roman" w:eastAsia="Calibri" w:hAnsi="Times New Roman"/>
        </w:rPr>
        <w:t xml:space="preserve"> eur, z dôvodu nákupu pozemkov pre nové priemyselné parky. </w:t>
      </w:r>
      <w:r w:rsidRPr="0085799C">
        <w:rPr>
          <w:rFonts w:ascii="Times New Roman" w:eastAsia="Calibri" w:hAnsi="Times New Roman"/>
          <w:u w:val="single"/>
        </w:rPr>
        <w:t>Jadrová a vyraďovacia spoločnosť, a.s.</w:t>
      </w:r>
      <w:r w:rsidRPr="0085799C">
        <w:rPr>
          <w:rFonts w:ascii="Times New Roman" w:eastAsia="Calibri" w:hAnsi="Times New Roman"/>
        </w:rPr>
        <w:t xml:space="preserve"> dosiahla hodnotu 19 820 </w:t>
      </w:r>
      <w:r w:rsidR="0093267D" w:rsidRPr="0085799C">
        <w:rPr>
          <w:rFonts w:ascii="Times New Roman" w:eastAsia="Calibri" w:hAnsi="Times New Roman"/>
        </w:rPr>
        <w:t xml:space="preserve">tis. </w:t>
      </w:r>
      <w:r w:rsidRPr="0085799C">
        <w:rPr>
          <w:rFonts w:ascii="Times New Roman" w:eastAsia="Calibri" w:hAnsi="Times New Roman"/>
        </w:rPr>
        <w:t>eur s medziročným poklesom o 61</w:t>
      </w:r>
      <w:r w:rsidR="00887BD5" w:rsidRPr="0085799C">
        <w:rPr>
          <w:rFonts w:ascii="Times New Roman" w:eastAsia="Calibri" w:hAnsi="Times New Roman"/>
        </w:rPr>
        <w:t> </w:t>
      </w:r>
      <w:r w:rsidRPr="0085799C">
        <w:rPr>
          <w:rFonts w:ascii="Times New Roman" w:eastAsia="Calibri" w:hAnsi="Times New Roman"/>
        </w:rPr>
        <w:t>00</w:t>
      </w:r>
      <w:r w:rsidR="00887BD5" w:rsidRPr="0085799C">
        <w:rPr>
          <w:rFonts w:ascii="Times New Roman" w:eastAsia="Calibri" w:hAnsi="Times New Roman"/>
        </w:rPr>
        <w:t>6 tis.</w:t>
      </w:r>
      <w:r w:rsidRPr="0085799C">
        <w:rPr>
          <w:rFonts w:ascii="Times New Roman" w:eastAsia="Calibri" w:hAnsi="Times New Roman"/>
        </w:rPr>
        <w:t xml:space="preserve"> eur v dôsledku nižšej hodnoty obstarania majetku a vyššej hodnoty zaradenia majetku ako v roku 2023, kedy sa išlo najmä o prostriedky na projekt vyradenia jadrovej elektrárne A1 (III. a IV. etapa) a dobudovanie skladovacích kapacít vyhoretého jadrového paliva.</w:t>
      </w:r>
    </w:p>
    <w:p w14:paraId="6BB04248" w14:textId="23B5E702" w:rsidR="3C163AA9" w:rsidRPr="0085799C" w:rsidRDefault="3C163AA9" w:rsidP="0085799C">
      <w:pPr>
        <w:spacing w:after="120" w:line="240" w:lineRule="auto"/>
        <w:jc w:val="both"/>
        <w:rPr>
          <w:rFonts w:ascii="Times New Roman" w:eastAsia="Calibri" w:hAnsi="Times New Roman"/>
        </w:rPr>
      </w:pPr>
      <w:r w:rsidRPr="0085799C">
        <w:rPr>
          <w:rFonts w:ascii="Times New Roman" w:eastAsia="Calibri" w:hAnsi="Times New Roman"/>
          <w:u w:val="single"/>
        </w:rPr>
        <w:t>Kapitola Ministerstva zdravotníctva SR</w:t>
      </w:r>
      <w:r w:rsidRPr="0085799C">
        <w:rPr>
          <w:rFonts w:ascii="Times New Roman" w:eastAsia="Calibri" w:hAnsi="Times New Roman"/>
          <w:b/>
          <w:i/>
        </w:rPr>
        <w:t xml:space="preserve"> </w:t>
      </w:r>
      <w:r w:rsidRPr="0085799C">
        <w:rPr>
          <w:rFonts w:ascii="Times New Roman" w:eastAsia="Calibri" w:hAnsi="Times New Roman"/>
        </w:rPr>
        <w:t xml:space="preserve">vykazuje hodnotu 100 209 </w:t>
      </w:r>
      <w:r w:rsidR="00E16511" w:rsidRPr="0085799C">
        <w:rPr>
          <w:rFonts w:ascii="Times New Roman" w:eastAsia="Calibri" w:hAnsi="Times New Roman"/>
        </w:rPr>
        <w:t>tis.</w:t>
      </w:r>
      <w:r w:rsidRPr="0085799C">
        <w:rPr>
          <w:rFonts w:ascii="Times New Roman" w:eastAsia="Calibri" w:hAnsi="Times New Roman"/>
        </w:rPr>
        <w:t xml:space="preserve"> eur s medziročným nárastom 55</w:t>
      </w:r>
      <w:r w:rsidR="00E16511" w:rsidRPr="0085799C">
        <w:rPr>
          <w:rFonts w:ascii="Times New Roman" w:eastAsia="Calibri" w:hAnsi="Times New Roman"/>
        </w:rPr>
        <w:t> </w:t>
      </w:r>
      <w:r w:rsidRPr="0085799C">
        <w:rPr>
          <w:rFonts w:ascii="Times New Roman" w:eastAsia="Calibri" w:hAnsi="Times New Roman"/>
        </w:rPr>
        <w:t>9</w:t>
      </w:r>
      <w:r w:rsidR="00E16511" w:rsidRPr="0085799C">
        <w:rPr>
          <w:rFonts w:ascii="Times New Roman" w:eastAsia="Calibri" w:hAnsi="Times New Roman"/>
        </w:rPr>
        <w:t>60 tis.</w:t>
      </w:r>
      <w:r w:rsidRPr="0085799C">
        <w:rPr>
          <w:rFonts w:ascii="Times New Roman" w:eastAsia="Calibri" w:hAnsi="Times New Roman"/>
        </w:rPr>
        <w:t xml:space="preserve"> eur.</w:t>
      </w:r>
      <w:r w:rsidR="008252FD">
        <w:rPr>
          <w:rFonts w:ascii="Times New Roman" w:eastAsia="Calibri" w:hAnsi="Times New Roman"/>
        </w:rPr>
        <w:t xml:space="preserve"> Najvýznamnejšie hodnoty na tejto položke súvisia so stavebným prácami na výstavbe Univerzitnej nemocnice sv. Martina,</w:t>
      </w:r>
      <w:r w:rsidR="00EF2D76">
        <w:rPr>
          <w:rFonts w:ascii="Times New Roman" w:eastAsia="Calibri" w:hAnsi="Times New Roman"/>
        </w:rPr>
        <w:t xml:space="preserve"> </w:t>
      </w:r>
      <w:r w:rsidR="008252FD">
        <w:rPr>
          <w:rFonts w:ascii="Times New Roman" w:eastAsia="Calibri" w:hAnsi="Times New Roman"/>
        </w:rPr>
        <w:t>rekonštrukci</w:t>
      </w:r>
      <w:r w:rsidR="00EF2D76">
        <w:rPr>
          <w:rFonts w:ascii="Times New Roman" w:eastAsia="Calibri" w:hAnsi="Times New Roman"/>
        </w:rPr>
        <w:t xml:space="preserve">i </w:t>
      </w:r>
      <w:r w:rsidR="008252FD">
        <w:rPr>
          <w:rFonts w:ascii="Times New Roman" w:eastAsia="Calibri" w:hAnsi="Times New Roman"/>
        </w:rPr>
        <w:t xml:space="preserve">a </w:t>
      </w:r>
      <w:r w:rsidR="008252FD" w:rsidRPr="0085799C">
        <w:rPr>
          <w:rFonts w:ascii="Times New Roman" w:eastAsia="Calibri" w:hAnsi="Times New Roman"/>
        </w:rPr>
        <w:t>dostavb</w:t>
      </w:r>
      <w:r w:rsidR="00EF2D76">
        <w:rPr>
          <w:rFonts w:ascii="Times New Roman" w:eastAsia="Calibri" w:hAnsi="Times New Roman"/>
        </w:rPr>
        <w:t>e</w:t>
      </w:r>
      <w:r w:rsidR="008252FD" w:rsidRPr="0085799C">
        <w:rPr>
          <w:rFonts w:ascii="Times New Roman" w:eastAsia="Calibri" w:hAnsi="Times New Roman"/>
        </w:rPr>
        <w:t xml:space="preserve"> Fakultnej nemocnice s poliklinikou F. D. Roosevelta Banská Bystrica</w:t>
      </w:r>
      <w:r w:rsidR="008252FD">
        <w:rPr>
          <w:rFonts w:ascii="Times New Roman" w:eastAsia="Calibri" w:hAnsi="Times New Roman"/>
        </w:rPr>
        <w:t>,</w:t>
      </w:r>
      <w:r w:rsidR="00EF2D76">
        <w:rPr>
          <w:rFonts w:ascii="Times New Roman" w:eastAsia="Calibri" w:hAnsi="Times New Roman"/>
        </w:rPr>
        <w:t xml:space="preserve"> ako aj rekonštrukcie Nemocnice Poprad.</w:t>
      </w:r>
      <w:r w:rsidR="008252FD">
        <w:rPr>
          <w:rFonts w:ascii="Times New Roman" w:eastAsia="Calibri" w:hAnsi="Times New Roman"/>
        </w:rPr>
        <w:t xml:space="preserve"> </w:t>
      </w:r>
    </w:p>
    <w:p w14:paraId="3516C5AF" w14:textId="1DA5E67F" w:rsidR="00647542" w:rsidRPr="002A40EC" w:rsidRDefault="00647542" w:rsidP="0085799C">
      <w:pPr>
        <w:spacing w:after="120" w:line="240" w:lineRule="auto"/>
        <w:jc w:val="both"/>
        <w:rPr>
          <w:rFonts w:ascii="Times New Roman" w:hAnsi="Times New Roman"/>
          <w:szCs w:val="22"/>
          <w:lang w:eastAsia="sk-SK"/>
        </w:rPr>
      </w:pPr>
      <w:r w:rsidRPr="002A40EC">
        <w:rPr>
          <w:rFonts w:ascii="Times New Roman" w:hAnsi="Times New Roman"/>
          <w:szCs w:val="22"/>
          <w:lang w:eastAsia="sk-SK"/>
        </w:rPr>
        <w:t xml:space="preserve">V územnej samospráve vykazujú obce zostatok obstarávaného hmotného majetku vo výške </w:t>
      </w:r>
      <w:r w:rsidRPr="002A40EC">
        <w:rPr>
          <w:rFonts w:ascii="Times New Roman" w:hAnsi="Times New Roman"/>
          <w:szCs w:val="22"/>
          <w:lang w:eastAsia="sk-SK"/>
        </w:rPr>
        <w:br/>
        <w:t>1 </w:t>
      </w:r>
      <w:r w:rsidR="000C6AA9" w:rsidRPr="002A40EC">
        <w:rPr>
          <w:rFonts w:ascii="Times New Roman" w:hAnsi="Times New Roman"/>
          <w:szCs w:val="22"/>
          <w:lang w:eastAsia="sk-SK"/>
        </w:rPr>
        <w:t xml:space="preserve">501 228 </w:t>
      </w:r>
      <w:r w:rsidRPr="002A40EC">
        <w:rPr>
          <w:rFonts w:ascii="Times New Roman" w:hAnsi="Times New Roman"/>
          <w:szCs w:val="22"/>
          <w:lang w:eastAsia="sk-SK"/>
        </w:rPr>
        <w:t xml:space="preserve">tis. eur a vyššie územné celky </w:t>
      </w:r>
      <w:r w:rsidR="00DC3A63" w:rsidRPr="002A40EC">
        <w:rPr>
          <w:rFonts w:ascii="Times New Roman" w:hAnsi="Times New Roman"/>
          <w:szCs w:val="22"/>
          <w:lang w:eastAsia="sk-SK"/>
        </w:rPr>
        <w:t>287</w:t>
      </w:r>
      <w:r w:rsidR="005A552B" w:rsidRPr="002A40EC">
        <w:rPr>
          <w:rFonts w:ascii="Times New Roman" w:hAnsi="Times New Roman"/>
          <w:szCs w:val="22"/>
          <w:lang w:eastAsia="sk-SK"/>
        </w:rPr>
        <w:t> </w:t>
      </w:r>
      <w:r w:rsidR="00DC3A63" w:rsidRPr="002A40EC">
        <w:rPr>
          <w:rFonts w:ascii="Times New Roman" w:hAnsi="Times New Roman"/>
          <w:szCs w:val="22"/>
          <w:lang w:eastAsia="sk-SK"/>
        </w:rPr>
        <w:t>389</w:t>
      </w:r>
      <w:r w:rsidR="005A552B" w:rsidRPr="002A40EC">
        <w:rPr>
          <w:rFonts w:ascii="Times New Roman" w:hAnsi="Times New Roman"/>
          <w:szCs w:val="22"/>
          <w:lang w:eastAsia="sk-SK"/>
        </w:rPr>
        <w:t xml:space="preserve"> </w:t>
      </w:r>
      <w:r w:rsidRPr="002A40EC">
        <w:rPr>
          <w:rFonts w:ascii="Times New Roman" w:hAnsi="Times New Roman"/>
          <w:szCs w:val="22"/>
          <w:lang w:eastAsia="sk-SK"/>
        </w:rPr>
        <w:t xml:space="preserve">tis. eur. Išlo najmä o budovanie a rekonštrukcie ciest II. a III. triedy, ďalej modernizáciu a rekonštrukcie školských zariadení, mostov, budovanie cyklotrás, ihrísk a podobne. </w:t>
      </w:r>
    </w:p>
    <w:p w14:paraId="45AA9787" w14:textId="5FE1D00F" w:rsidR="00647542" w:rsidRPr="002A40EC" w:rsidRDefault="00647542" w:rsidP="002A40EC">
      <w:pPr>
        <w:pStyle w:val="Pismenka"/>
        <w:tabs>
          <w:tab w:val="clear" w:pos="426"/>
        </w:tabs>
        <w:spacing w:after="120"/>
        <w:ind w:left="0" w:firstLine="0"/>
        <w:rPr>
          <w:b w:val="0"/>
          <w:sz w:val="22"/>
          <w:szCs w:val="22"/>
        </w:rPr>
      </w:pPr>
      <w:r w:rsidRPr="002A40EC">
        <w:rPr>
          <w:b w:val="0"/>
          <w:sz w:val="22"/>
          <w:szCs w:val="22"/>
        </w:rPr>
        <w:t xml:space="preserve">Ostatné subjekty verejnej správy vykázali obstarávaný dlhodobý hmotný majetok v hodnote </w:t>
      </w:r>
      <w:r w:rsidR="00D64244" w:rsidRPr="002A40EC">
        <w:rPr>
          <w:b w:val="0"/>
          <w:sz w:val="22"/>
          <w:szCs w:val="22"/>
        </w:rPr>
        <w:t xml:space="preserve">111 659 </w:t>
      </w:r>
      <w:r w:rsidRPr="002A40EC">
        <w:rPr>
          <w:b w:val="0"/>
          <w:sz w:val="22"/>
          <w:szCs w:val="22"/>
        </w:rPr>
        <w:t xml:space="preserve">tis. eur a v rámci nich verejné vysoké školy vykázali obstarávaný dlhodobý hmotný majetok v sume </w:t>
      </w:r>
      <w:r w:rsidR="009304BA" w:rsidRPr="0085799C">
        <w:rPr>
          <w:b w:val="0"/>
          <w:bCs w:val="0"/>
          <w:sz w:val="22"/>
          <w:szCs w:val="22"/>
        </w:rPr>
        <w:t>51</w:t>
      </w:r>
      <w:r w:rsidR="00A03559" w:rsidRPr="002A40EC">
        <w:rPr>
          <w:b w:val="0"/>
          <w:sz w:val="22"/>
          <w:szCs w:val="22"/>
        </w:rPr>
        <w:t> </w:t>
      </w:r>
      <w:r w:rsidR="009304BA" w:rsidRPr="0085799C">
        <w:rPr>
          <w:b w:val="0"/>
          <w:bCs w:val="0"/>
          <w:sz w:val="22"/>
          <w:szCs w:val="22"/>
        </w:rPr>
        <w:t>018</w:t>
      </w:r>
      <w:r w:rsidRPr="002A40EC">
        <w:rPr>
          <w:b w:val="0"/>
          <w:sz w:val="22"/>
          <w:szCs w:val="22"/>
        </w:rPr>
        <w:t> tis. eur.</w:t>
      </w:r>
      <w:bookmarkStart w:id="16" w:name="_Ref86091427"/>
    </w:p>
    <w:p w14:paraId="51C8DAF4" w14:textId="77777777" w:rsidR="00B41E84" w:rsidRPr="002A40EC" w:rsidRDefault="00B41E84" w:rsidP="002A40EC">
      <w:pPr>
        <w:pStyle w:val="Pismenka"/>
        <w:tabs>
          <w:tab w:val="clear" w:pos="426"/>
        </w:tabs>
        <w:spacing w:after="120"/>
        <w:ind w:left="0" w:firstLine="0"/>
        <w:rPr>
          <w:b w:val="0"/>
          <w:sz w:val="22"/>
          <w:szCs w:val="22"/>
        </w:rPr>
      </w:pPr>
    </w:p>
    <w:p w14:paraId="7A1D2DB4" w14:textId="1E56E8A0" w:rsidR="00B41E84" w:rsidRDefault="00E428F4" w:rsidP="009F2AF6">
      <w:pPr>
        <w:pStyle w:val="Nadpis4"/>
        <w:numPr>
          <w:ilvl w:val="0"/>
          <w:numId w:val="54"/>
        </w:numPr>
        <w:ind w:left="426" w:hanging="426"/>
      </w:pPr>
      <w:bookmarkStart w:id="17" w:name="_Ostatný_hmotný_majetok"/>
      <w:bookmarkEnd w:id="17"/>
      <w:r>
        <w:t>Ostatný hmotný majetok</w:t>
      </w:r>
    </w:p>
    <w:bookmarkEnd w:id="16"/>
    <w:p w14:paraId="29F8C0E8" w14:textId="77777777" w:rsidR="00647542" w:rsidRPr="00907622" w:rsidRDefault="00647542" w:rsidP="0085799C">
      <w:pPr>
        <w:pStyle w:val="Pismenka"/>
        <w:tabs>
          <w:tab w:val="clear" w:pos="426"/>
        </w:tabs>
        <w:spacing w:after="120"/>
        <w:ind w:left="0" w:firstLine="0"/>
        <w:rPr>
          <w:b w:val="0"/>
          <w:bCs w:val="0"/>
          <w:sz w:val="22"/>
          <w:szCs w:val="22"/>
        </w:rPr>
      </w:pPr>
      <w:r w:rsidRPr="00907622">
        <w:rPr>
          <w:b w:val="0"/>
          <w:bCs w:val="0"/>
          <w:sz w:val="22"/>
          <w:szCs w:val="22"/>
        </w:rPr>
        <w:t xml:space="preserve">V rámci </w:t>
      </w:r>
      <w:r w:rsidRPr="00907622">
        <w:rPr>
          <w:b w:val="0"/>
          <w:bCs w:val="0"/>
          <w:sz w:val="22"/>
          <w:szCs w:val="22"/>
          <w:u w:val="single"/>
        </w:rPr>
        <w:t>ostatného dlhodobého hmotného</w:t>
      </w:r>
      <w:r w:rsidRPr="00907622">
        <w:rPr>
          <w:b w:val="0"/>
          <w:bCs w:val="0"/>
          <w:sz w:val="22"/>
          <w:szCs w:val="22"/>
        </w:rPr>
        <w:t xml:space="preserve"> majetku sa vykazuje najmä </w:t>
      </w:r>
      <w:r w:rsidRPr="00907622">
        <w:rPr>
          <w:b w:val="0"/>
          <w:bCs w:val="0"/>
          <w:sz w:val="22"/>
          <w:szCs w:val="22"/>
          <w:u w:val="single"/>
        </w:rPr>
        <w:t>technické zhodnotenie</w:t>
      </w:r>
      <w:r w:rsidRPr="00907622">
        <w:rPr>
          <w:b w:val="0"/>
          <w:bCs w:val="0"/>
          <w:sz w:val="22"/>
          <w:szCs w:val="22"/>
        </w:rPr>
        <w:t xml:space="preserve"> budov a stavieb štátnych rozpočtových a príspevkových organizácií. Dôvodom pre samostatné účtovania o technickom zhodnotení je evidencia niektorých budov ako nehnuteľných kultúrnych pamiatok, ktorých ocenenie nie je možné spoľahlivo určiť. Z tohto dôvodu bolo v majetku ponechané len následné technické zhodnotenie týchto budov uskutočnené po uvedení budov do používania.</w:t>
      </w:r>
    </w:p>
    <w:p w14:paraId="27EFAE2A" w14:textId="08921D27" w:rsidR="244EB992" w:rsidRPr="0085799C" w:rsidRDefault="244EB992" w:rsidP="0085799C">
      <w:pPr>
        <w:spacing w:after="120" w:line="240" w:lineRule="auto"/>
        <w:jc w:val="both"/>
        <w:rPr>
          <w:rFonts w:ascii="Times New Roman" w:eastAsia="Calibri" w:hAnsi="Times New Roman"/>
        </w:rPr>
      </w:pPr>
      <w:r w:rsidRPr="0085799C">
        <w:rPr>
          <w:rFonts w:ascii="Times New Roman" w:eastAsia="Calibri" w:hAnsi="Times New Roman"/>
        </w:rPr>
        <w:t xml:space="preserve">Hodnota ostatného dlhodobého hmotného majetku </w:t>
      </w:r>
      <w:r w:rsidR="00E943C6" w:rsidRPr="0085799C">
        <w:rPr>
          <w:rFonts w:ascii="Times New Roman" w:eastAsia="Calibri" w:hAnsi="Times New Roman"/>
        </w:rPr>
        <w:t xml:space="preserve">za súhrnný celok </w:t>
      </w:r>
      <w:r w:rsidRPr="0085799C">
        <w:rPr>
          <w:rFonts w:ascii="Times New Roman" w:eastAsia="Calibri" w:hAnsi="Times New Roman"/>
        </w:rPr>
        <w:t xml:space="preserve">dosiahla sumu </w:t>
      </w:r>
      <w:r w:rsidR="00E943C6" w:rsidRPr="0085799C">
        <w:rPr>
          <w:rFonts w:ascii="Times New Roman" w:eastAsia="Calibri" w:hAnsi="Times New Roman"/>
        </w:rPr>
        <w:t>789 440 tis.</w:t>
      </w:r>
      <w:r w:rsidRPr="0085799C">
        <w:rPr>
          <w:rFonts w:ascii="Times New Roman" w:eastAsia="Calibri" w:hAnsi="Times New Roman"/>
        </w:rPr>
        <w:t xml:space="preserve"> eur a medziročne sa zvýšila o</w:t>
      </w:r>
      <w:r w:rsidR="00A525A8" w:rsidRPr="0085799C">
        <w:rPr>
          <w:rFonts w:ascii="Times New Roman" w:eastAsia="Calibri" w:hAnsi="Times New Roman"/>
        </w:rPr>
        <w:t> 23 978 tis.</w:t>
      </w:r>
      <w:r w:rsidRPr="0085799C">
        <w:rPr>
          <w:rFonts w:ascii="Times New Roman" w:eastAsia="Calibri" w:hAnsi="Times New Roman"/>
        </w:rPr>
        <w:t xml:space="preserve"> eur. Najvýznamnejšiu hodnotu </w:t>
      </w:r>
      <w:r w:rsidR="00F24181" w:rsidRPr="0085799C">
        <w:rPr>
          <w:rFonts w:ascii="Times New Roman" w:eastAsia="Calibri" w:hAnsi="Times New Roman"/>
        </w:rPr>
        <w:t xml:space="preserve">v rámci ústrednej správy </w:t>
      </w:r>
      <w:r w:rsidRPr="0085799C">
        <w:rPr>
          <w:rFonts w:ascii="Times New Roman" w:eastAsia="Calibri" w:hAnsi="Times New Roman"/>
        </w:rPr>
        <w:t xml:space="preserve">vykazuje </w:t>
      </w:r>
      <w:r w:rsidRPr="0085799C">
        <w:rPr>
          <w:rFonts w:ascii="Times New Roman" w:eastAsia="Calibri" w:hAnsi="Times New Roman"/>
          <w:u w:val="single"/>
        </w:rPr>
        <w:t>Kancelária národnej rady SR</w:t>
      </w:r>
      <w:r w:rsidRPr="0085799C">
        <w:rPr>
          <w:rFonts w:ascii="Times New Roman" w:eastAsia="Calibri" w:hAnsi="Times New Roman"/>
        </w:rPr>
        <w:t xml:space="preserve"> v sume 99 009 </w:t>
      </w:r>
      <w:r w:rsidR="00F24181" w:rsidRPr="0085799C">
        <w:rPr>
          <w:rFonts w:ascii="Times New Roman" w:eastAsia="Calibri" w:hAnsi="Times New Roman"/>
        </w:rPr>
        <w:t>tis.</w:t>
      </w:r>
      <w:r w:rsidRPr="0085799C">
        <w:rPr>
          <w:rFonts w:ascii="Times New Roman" w:eastAsia="Calibri" w:hAnsi="Times New Roman"/>
        </w:rPr>
        <w:t xml:space="preserve"> eur, v podobe technického zhodnotenia nehnuteľnej kultúrnej pamiatky Bratislavský hrad, </w:t>
      </w:r>
      <w:r w:rsidRPr="0085799C">
        <w:rPr>
          <w:rFonts w:ascii="Times New Roman" w:eastAsia="Calibri" w:hAnsi="Times New Roman"/>
          <w:u w:val="single"/>
        </w:rPr>
        <w:t>kapitola Ministerstva životného prostredia SR</w:t>
      </w:r>
      <w:r w:rsidRPr="0085799C">
        <w:rPr>
          <w:rFonts w:ascii="Times New Roman" w:eastAsia="Calibri" w:hAnsi="Times New Roman"/>
        </w:rPr>
        <w:t xml:space="preserve"> v sume 97 090 </w:t>
      </w:r>
      <w:r w:rsidR="00F24181" w:rsidRPr="0085799C">
        <w:rPr>
          <w:rFonts w:ascii="Times New Roman" w:eastAsia="Calibri" w:hAnsi="Times New Roman"/>
        </w:rPr>
        <w:t>tis.</w:t>
      </w:r>
      <w:r w:rsidRPr="0085799C">
        <w:rPr>
          <w:rFonts w:ascii="Times New Roman" w:eastAsia="Calibri" w:hAnsi="Times New Roman"/>
        </w:rPr>
        <w:t xml:space="preserve"> eur a v rámci nej </w:t>
      </w:r>
      <w:r w:rsidRPr="0085799C">
        <w:rPr>
          <w:rFonts w:ascii="Times New Roman" w:eastAsia="Calibri" w:hAnsi="Times New Roman"/>
          <w:u w:val="single"/>
        </w:rPr>
        <w:t xml:space="preserve">Vodohospodárska výstavba, </w:t>
      </w:r>
      <w:proofErr w:type="spellStart"/>
      <w:r w:rsidRPr="0085799C">
        <w:rPr>
          <w:rFonts w:ascii="Times New Roman" w:eastAsia="Calibri" w:hAnsi="Times New Roman"/>
          <w:u w:val="single"/>
        </w:rPr>
        <w:t>š.p</w:t>
      </w:r>
      <w:proofErr w:type="spellEnd"/>
      <w:r w:rsidRPr="0085799C">
        <w:rPr>
          <w:rFonts w:ascii="Times New Roman" w:eastAsia="Calibri" w:hAnsi="Times New Roman"/>
          <w:b/>
          <w:i/>
        </w:rPr>
        <w:t>.</w:t>
      </w:r>
      <w:r w:rsidRPr="0085799C">
        <w:rPr>
          <w:rFonts w:ascii="Times New Roman" w:eastAsia="Calibri" w:hAnsi="Times New Roman"/>
        </w:rPr>
        <w:t xml:space="preserve"> v sume 90 392 </w:t>
      </w:r>
      <w:r w:rsidR="00F24181" w:rsidRPr="0085799C">
        <w:rPr>
          <w:rFonts w:ascii="Times New Roman" w:eastAsia="Calibri" w:hAnsi="Times New Roman"/>
        </w:rPr>
        <w:t>tis.</w:t>
      </w:r>
      <w:r w:rsidRPr="0085799C">
        <w:rPr>
          <w:rFonts w:ascii="Times New Roman" w:eastAsia="Calibri" w:hAnsi="Times New Roman"/>
        </w:rPr>
        <w:t xml:space="preserve"> eur</w:t>
      </w:r>
      <w:r w:rsidRPr="0085799C">
        <w:rPr>
          <w:rFonts w:ascii="Times New Roman" w:eastAsia="Calibri" w:hAnsi="Times New Roman"/>
          <w:color w:val="C00000"/>
        </w:rPr>
        <w:t xml:space="preserve"> </w:t>
      </w:r>
      <w:r w:rsidRPr="0085799C">
        <w:rPr>
          <w:rFonts w:ascii="Times New Roman" w:eastAsia="Calibri" w:hAnsi="Times New Roman"/>
        </w:rPr>
        <w:t xml:space="preserve">a taktiež </w:t>
      </w:r>
      <w:r w:rsidRPr="0085799C">
        <w:rPr>
          <w:rFonts w:ascii="Times New Roman" w:eastAsia="Calibri" w:hAnsi="Times New Roman"/>
          <w:u w:val="single"/>
        </w:rPr>
        <w:t xml:space="preserve">kapitola Ministerstva kultúry SR </w:t>
      </w:r>
      <w:r w:rsidRPr="0085799C">
        <w:rPr>
          <w:rFonts w:ascii="Times New Roman" w:eastAsia="Calibri" w:hAnsi="Times New Roman"/>
        </w:rPr>
        <w:t>v sume</w:t>
      </w:r>
      <w:r w:rsidRPr="0085799C">
        <w:rPr>
          <w:rFonts w:ascii="Times New Roman" w:eastAsia="Calibri" w:hAnsi="Times New Roman"/>
          <w:color w:val="C00000"/>
        </w:rPr>
        <w:t xml:space="preserve"> </w:t>
      </w:r>
      <w:r w:rsidRPr="0085799C">
        <w:rPr>
          <w:rFonts w:ascii="Times New Roman" w:eastAsia="Calibri" w:hAnsi="Times New Roman"/>
        </w:rPr>
        <w:t>79</w:t>
      </w:r>
      <w:r w:rsidR="00F24181" w:rsidRPr="0085799C">
        <w:rPr>
          <w:rFonts w:ascii="Times New Roman" w:eastAsia="Calibri" w:hAnsi="Times New Roman"/>
        </w:rPr>
        <w:t> </w:t>
      </w:r>
      <w:r w:rsidRPr="0085799C">
        <w:rPr>
          <w:rFonts w:ascii="Times New Roman" w:eastAsia="Calibri" w:hAnsi="Times New Roman"/>
        </w:rPr>
        <w:t>7</w:t>
      </w:r>
      <w:r w:rsidR="00F24181" w:rsidRPr="0085799C">
        <w:rPr>
          <w:rFonts w:ascii="Times New Roman" w:eastAsia="Calibri" w:hAnsi="Times New Roman"/>
        </w:rPr>
        <w:t>30 tis.</w:t>
      </w:r>
      <w:r w:rsidRPr="0085799C">
        <w:rPr>
          <w:rFonts w:ascii="Times New Roman" w:eastAsia="Calibri" w:hAnsi="Times New Roman"/>
        </w:rPr>
        <w:t xml:space="preserve"> eur, najmä prostredníctvom </w:t>
      </w:r>
      <w:r w:rsidRPr="0085799C">
        <w:rPr>
          <w:rFonts w:ascii="Times New Roman" w:eastAsia="Calibri" w:hAnsi="Times New Roman"/>
          <w:u w:val="single"/>
        </w:rPr>
        <w:t>Slovenskej filharmónie</w:t>
      </w:r>
      <w:r w:rsidRPr="0085799C">
        <w:rPr>
          <w:rFonts w:ascii="Times New Roman" w:eastAsia="Calibri" w:hAnsi="Times New Roman"/>
        </w:rPr>
        <w:t xml:space="preserve"> 28</w:t>
      </w:r>
      <w:r w:rsidR="00F24181" w:rsidRPr="0085799C">
        <w:rPr>
          <w:rFonts w:ascii="Times New Roman" w:eastAsia="Calibri" w:hAnsi="Times New Roman"/>
        </w:rPr>
        <w:t> </w:t>
      </w:r>
      <w:r w:rsidRPr="0085799C">
        <w:rPr>
          <w:rFonts w:ascii="Times New Roman" w:eastAsia="Calibri" w:hAnsi="Times New Roman"/>
        </w:rPr>
        <w:t>85</w:t>
      </w:r>
      <w:r w:rsidR="00F24181" w:rsidRPr="0085799C">
        <w:rPr>
          <w:rFonts w:ascii="Times New Roman" w:eastAsia="Calibri" w:hAnsi="Times New Roman"/>
        </w:rPr>
        <w:t>3 tis.</w:t>
      </w:r>
      <w:r w:rsidRPr="0085799C">
        <w:rPr>
          <w:rFonts w:ascii="Times New Roman" w:eastAsia="Calibri" w:hAnsi="Times New Roman"/>
        </w:rPr>
        <w:t xml:space="preserve"> eur a </w:t>
      </w:r>
      <w:r w:rsidRPr="0085799C">
        <w:rPr>
          <w:rFonts w:ascii="Times New Roman" w:eastAsia="Calibri" w:hAnsi="Times New Roman"/>
          <w:u w:val="single"/>
        </w:rPr>
        <w:t>Slovenského národného múzea</w:t>
      </w:r>
      <w:r w:rsidRPr="0085799C">
        <w:rPr>
          <w:rFonts w:ascii="Times New Roman" w:eastAsia="Calibri" w:hAnsi="Times New Roman"/>
        </w:rPr>
        <w:t xml:space="preserve"> sumou 15</w:t>
      </w:r>
      <w:r w:rsidR="00F24181" w:rsidRPr="0085799C">
        <w:rPr>
          <w:rFonts w:ascii="Times New Roman" w:eastAsia="Calibri" w:hAnsi="Times New Roman"/>
        </w:rPr>
        <w:t> </w:t>
      </w:r>
      <w:r w:rsidRPr="0085799C">
        <w:rPr>
          <w:rFonts w:ascii="Times New Roman" w:eastAsia="Calibri" w:hAnsi="Times New Roman"/>
        </w:rPr>
        <w:t>32</w:t>
      </w:r>
      <w:r w:rsidR="00F24181" w:rsidRPr="0085799C">
        <w:rPr>
          <w:rFonts w:ascii="Times New Roman" w:eastAsia="Calibri" w:hAnsi="Times New Roman"/>
        </w:rPr>
        <w:t>8 tis.</w:t>
      </w:r>
      <w:r w:rsidRPr="0085799C">
        <w:rPr>
          <w:rFonts w:ascii="Times New Roman" w:eastAsia="Calibri" w:hAnsi="Times New Roman"/>
        </w:rPr>
        <w:t xml:space="preserve"> eur.</w:t>
      </w:r>
    </w:p>
    <w:p w14:paraId="72F84D76" w14:textId="4A0D9971" w:rsidR="69262B40" w:rsidRPr="00907622" w:rsidRDefault="69262B40" w:rsidP="0085799C">
      <w:pPr>
        <w:pStyle w:val="Pismenka"/>
        <w:tabs>
          <w:tab w:val="clear" w:pos="426"/>
        </w:tabs>
        <w:spacing w:after="120"/>
        <w:ind w:left="0" w:firstLine="0"/>
        <w:rPr>
          <w:b w:val="0"/>
          <w:bCs w:val="0"/>
          <w:sz w:val="22"/>
          <w:szCs w:val="22"/>
        </w:rPr>
      </w:pPr>
    </w:p>
    <w:p w14:paraId="66FA7BC4" w14:textId="77777777" w:rsidR="00647542" w:rsidRPr="007253B7" w:rsidRDefault="00647542" w:rsidP="0085799C">
      <w:pPr>
        <w:pStyle w:val="Nadpis3"/>
        <w:rPr>
          <w:sz w:val="24"/>
          <w:szCs w:val="24"/>
          <w:lang w:eastAsia="sk-SK"/>
        </w:rPr>
      </w:pPr>
      <w:r w:rsidRPr="008F3072">
        <w:rPr>
          <w:sz w:val="24"/>
          <w:szCs w:val="24"/>
          <w:lang w:eastAsia="sk-SK"/>
        </w:rPr>
        <w:t>A.III. Finančný majetok</w:t>
      </w:r>
    </w:p>
    <w:p w14:paraId="40973556" w14:textId="0C2DAFED" w:rsidR="307C6D3B" w:rsidRPr="0085799C" w:rsidRDefault="307C6D3B" w:rsidP="0085799C">
      <w:pPr>
        <w:spacing w:after="120" w:line="240" w:lineRule="auto"/>
        <w:jc w:val="both"/>
        <w:rPr>
          <w:rFonts w:ascii="Times New Roman" w:eastAsia="Calibri" w:hAnsi="Times New Roman"/>
          <w:szCs w:val="22"/>
        </w:rPr>
      </w:pPr>
      <w:r w:rsidRPr="0085799C">
        <w:rPr>
          <w:rFonts w:ascii="Times New Roman" w:eastAsia="Calibri" w:hAnsi="Times New Roman"/>
          <w:szCs w:val="22"/>
        </w:rPr>
        <w:t xml:space="preserve">Dlhodobý finančný majetok </w:t>
      </w:r>
      <w:r w:rsidR="00A50525" w:rsidRPr="0085799C">
        <w:rPr>
          <w:rFonts w:ascii="Times New Roman" w:eastAsia="Calibri" w:hAnsi="Times New Roman"/>
          <w:szCs w:val="22"/>
        </w:rPr>
        <w:t>súhrnného</w:t>
      </w:r>
      <w:r w:rsidRPr="0085799C">
        <w:rPr>
          <w:rFonts w:ascii="Times New Roman" w:eastAsia="Calibri" w:hAnsi="Times New Roman"/>
          <w:szCs w:val="22"/>
        </w:rPr>
        <w:t xml:space="preserve"> celku dosiahol k</w:t>
      </w:r>
      <w:r w:rsidR="00867606">
        <w:rPr>
          <w:rFonts w:ascii="Times New Roman" w:eastAsia="Calibri" w:hAnsi="Times New Roman"/>
          <w:szCs w:val="22"/>
        </w:rPr>
        <w:t> </w:t>
      </w:r>
      <w:r w:rsidRPr="0085799C">
        <w:rPr>
          <w:rFonts w:ascii="Times New Roman" w:eastAsia="Calibri" w:hAnsi="Times New Roman"/>
          <w:szCs w:val="22"/>
        </w:rPr>
        <w:t>31.</w:t>
      </w:r>
      <w:r w:rsidR="00867606">
        <w:rPr>
          <w:rFonts w:ascii="Times New Roman" w:eastAsia="Calibri" w:hAnsi="Times New Roman"/>
          <w:szCs w:val="22"/>
        </w:rPr>
        <w:t xml:space="preserve"> </w:t>
      </w:r>
      <w:r w:rsidR="00F418A2">
        <w:rPr>
          <w:rFonts w:ascii="Times New Roman" w:eastAsia="Calibri" w:hAnsi="Times New Roman"/>
          <w:szCs w:val="22"/>
        </w:rPr>
        <w:t>12.</w:t>
      </w:r>
      <w:r w:rsidR="00867606">
        <w:rPr>
          <w:rFonts w:ascii="Times New Roman" w:eastAsia="Calibri" w:hAnsi="Times New Roman"/>
          <w:szCs w:val="22"/>
        </w:rPr>
        <w:t xml:space="preserve"> </w:t>
      </w:r>
      <w:r w:rsidRPr="0085799C">
        <w:rPr>
          <w:rFonts w:ascii="Times New Roman" w:eastAsia="Calibri" w:hAnsi="Times New Roman"/>
          <w:szCs w:val="22"/>
        </w:rPr>
        <w:t>2024 hodnotu</w:t>
      </w:r>
      <w:r w:rsidRPr="0085799C">
        <w:rPr>
          <w:rFonts w:ascii="Times New Roman" w:eastAsia="Calibri" w:hAnsi="Times New Roman"/>
          <w:color w:val="C00000"/>
          <w:szCs w:val="22"/>
        </w:rPr>
        <w:t xml:space="preserve"> </w:t>
      </w:r>
      <w:r w:rsidR="00E42845" w:rsidRPr="0085799C">
        <w:rPr>
          <w:rFonts w:ascii="Times New Roman" w:eastAsia="Calibri" w:hAnsi="Times New Roman"/>
          <w:szCs w:val="22"/>
        </w:rPr>
        <w:t>9 06</w:t>
      </w:r>
      <w:r w:rsidR="002B55A4">
        <w:rPr>
          <w:rFonts w:ascii="Times New Roman" w:eastAsia="Calibri" w:hAnsi="Times New Roman"/>
          <w:szCs w:val="22"/>
        </w:rPr>
        <w:t>5 645</w:t>
      </w:r>
      <w:r w:rsidR="00F418A2">
        <w:rPr>
          <w:rFonts w:ascii="Times New Roman" w:eastAsia="Calibri" w:hAnsi="Times New Roman"/>
          <w:szCs w:val="22"/>
        </w:rPr>
        <w:t> </w:t>
      </w:r>
      <w:r w:rsidR="00E42845" w:rsidRPr="0085799C">
        <w:rPr>
          <w:rFonts w:ascii="Times New Roman" w:eastAsia="Calibri" w:hAnsi="Times New Roman"/>
          <w:szCs w:val="22"/>
        </w:rPr>
        <w:t>tis.</w:t>
      </w:r>
      <w:r w:rsidR="00F418A2">
        <w:rPr>
          <w:rFonts w:ascii="Times New Roman" w:eastAsia="Calibri" w:hAnsi="Times New Roman"/>
          <w:szCs w:val="22"/>
        </w:rPr>
        <w:t> </w:t>
      </w:r>
      <w:r w:rsidRPr="0085799C">
        <w:rPr>
          <w:rFonts w:ascii="Times New Roman" w:eastAsia="Calibri" w:hAnsi="Times New Roman"/>
          <w:szCs w:val="22"/>
        </w:rPr>
        <w:t xml:space="preserve">eur (2023: 8 </w:t>
      </w:r>
      <w:r w:rsidR="001B2D5F" w:rsidRPr="0085799C">
        <w:rPr>
          <w:rFonts w:ascii="Times New Roman" w:eastAsia="Calibri" w:hAnsi="Times New Roman"/>
          <w:szCs w:val="22"/>
        </w:rPr>
        <w:t xml:space="preserve">644 848 </w:t>
      </w:r>
      <w:r w:rsidR="0035609E" w:rsidRPr="0085799C">
        <w:rPr>
          <w:rFonts w:ascii="Times New Roman" w:eastAsia="Calibri" w:hAnsi="Times New Roman"/>
          <w:szCs w:val="22"/>
        </w:rPr>
        <w:t>tis.</w:t>
      </w:r>
      <w:r w:rsidRPr="0085799C">
        <w:rPr>
          <w:rFonts w:ascii="Times New Roman" w:eastAsia="Calibri" w:hAnsi="Times New Roman"/>
          <w:szCs w:val="22"/>
        </w:rPr>
        <w:t xml:space="preserve"> eur) a medziročný nárast o</w:t>
      </w:r>
      <w:r w:rsidR="0035609E" w:rsidRPr="0085799C">
        <w:rPr>
          <w:rFonts w:ascii="Times New Roman" w:eastAsia="Calibri" w:hAnsi="Times New Roman"/>
          <w:szCs w:val="22"/>
        </w:rPr>
        <w:t> 420 797 tis.</w:t>
      </w:r>
      <w:r w:rsidRPr="0085799C">
        <w:rPr>
          <w:rFonts w:ascii="Times New Roman" w:eastAsia="Calibri" w:hAnsi="Times New Roman"/>
          <w:szCs w:val="22"/>
        </w:rPr>
        <w:t xml:space="preserve"> eur. V rámci dlhodobého finančného majetku najvyššiu hodnotu tvorili </w:t>
      </w:r>
      <w:r w:rsidRPr="0085799C">
        <w:rPr>
          <w:rFonts w:ascii="Times New Roman" w:eastAsia="Calibri" w:hAnsi="Times New Roman"/>
          <w:szCs w:val="22"/>
          <w:u w:val="single"/>
        </w:rPr>
        <w:t>podielové cenné papiere a podiely v obchodných spoločnostiach s</w:t>
      </w:r>
      <w:r w:rsidR="003A3A52">
        <w:rPr>
          <w:rFonts w:ascii="Times New Roman" w:eastAsia="Calibri" w:hAnsi="Times New Roman"/>
          <w:szCs w:val="22"/>
          <w:u w:val="single"/>
        </w:rPr>
        <w:t> </w:t>
      </w:r>
      <w:r w:rsidRPr="0085799C">
        <w:rPr>
          <w:rFonts w:ascii="Times New Roman" w:eastAsia="Calibri" w:hAnsi="Times New Roman"/>
          <w:szCs w:val="22"/>
          <w:u w:val="single"/>
        </w:rPr>
        <w:t>podstatným vplyvom</w:t>
      </w:r>
      <w:r w:rsidRPr="0085799C">
        <w:rPr>
          <w:rFonts w:ascii="Times New Roman" w:eastAsia="Calibri" w:hAnsi="Times New Roman"/>
          <w:szCs w:val="22"/>
        </w:rPr>
        <w:t xml:space="preserve"> v hodnote </w:t>
      </w:r>
      <w:r w:rsidR="000E7D30" w:rsidRPr="0085799C">
        <w:rPr>
          <w:rFonts w:ascii="Times New Roman" w:eastAsia="Calibri" w:hAnsi="Times New Roman"/>
          <w:szCs w:val="22"/>
        </w:rPr>
        <w:t>6 130 599 tis.</w:t>
      </w:r>
      <w:r w:rsidRPr="0085799C">
        <w:rPr>
          <w:rFonts w:ascii="Times New Roman" w:eastAsia="Calibri" w:hAnsi="Times New Roman"/>
          <w:szCs w:val="22"/>
        </w:rPr>
        <w:t xml:space="preserve"> eur, čo je </w:t>
      </w:r>
      <w:r w:rsidR="00954DA6" w:rsidRPr="0085799C">
        <w:rPr>
          <w:rFonts w:ascii="Times New Roman" w:eastAsia="Calibri" w:hAnsi="Times New Roman"/>
          <w:szCs w:val="22"/>
        </w:rPr>
        <w:t>67,6</w:t>
      </w:r>
      <w:r w:rsidRPr="0085799C">
        <w:rPr>
          <w:rFonts w:ascii="Times New Roman" w:eastAsia="Calibri" w:hAnsi="Times New Roman"/>
          <w:szCs w:val="22"/>
        </w:rPr>
        <w:t xml:space="preserve"> % z celkového dlhodobého finančného majetku. </w:t>
      </w:r>
      <w:r w:rsidR="00E21EF2">
        <w:rPr>
          <w:rFonts w:ascii="Times New Roman" w:eastAsia="Calibri" w:hAnsi="Times New Roman"/>
          <w:szCs w:val="22"/>
        </w:rPr>
        <w:t>Ide</w:t>
      </w:r>
      <w:r w:rsidR="00E21EF2" w:rsidRPr="0085799C">
        <w:rPr>
          <w:rFonts w:ascii="Times New Roman" w:eastAsia="Calibri" w:hAnsi="Times New Roman"/>
          <w:szCs w:val="22"/>
        </w:rPr>
        <w:t xml:space="preserve"> </w:t>
      </w:r>
      <w:r w:rsidRPr="0085799C">
        <w:rPr>
          <w:rFonts w:ascii="Times New Roman" w:eastAsia="Calibri" w:hAnsi="Times New Roman"/>
          <w:szCs w:val="22"/>
        </w:rPr>
        <w:t>o pridružené účtovné jednotky kapitol štátneho rozpočtu, ako aj podiely v takýchto spoločnostiach, ktoré vlastnia dcérske spoločnosti štátu.</w:t>
      </w:r>
    </w:p>
    <w:p w14:paraId="32FF39DB" w14:textId="06C779B9" w:rsidR="307C6D3B" w:rsidRPr="0085799C" w:rsidRDefault="307C6D3B" w:rsidP="0085799C">
      <w:pPr>
        <w:spacing w:after="120" w:line="240" w:lineRule="auto"/>
        <w:jc w:val="both"/>
        <w:rPr>
          <w:rFonts w:ascii="Times New Roman" w:eastAsia="Calibri" w:hAnsi="Times New Roman"/>
        </w:rPr>
      </w:pPr>
      <w:r w:rsidRPr="0085799C">
        <w:rPr>
          <w:rFonts w:ascii="Times New Roman" w:eastAsia="Calibri" w:hAnsi="Times New Roman"/>
        </w:rPr>
        <w:lastRenderedPageBreak/>
        <w:t>Druhú najvyššiu hodnotu v rámci dlhodobého finančného majetku tvorili</w:t>
      </w:r>
      <w:r w:rsidRPr="0085799C">
        <w:rPr>
          <w:rFonts w:ascii="Times New Roman" w:eastAsia="Calibri" w:hAnsi="Times New Roman"/>
          <w:color w:val="C00000"/>
        </w:rPr>
        <w:t xml:space="preserve"> </w:t>
      </w:r>
      <w:r w:rsidRPr="0085799C">
        <w:rPr>
          <w:rFonts w:ascii="Times New Roman" w:eastAsia="Calibri" w:hAnsi="Times New Roman"/>
        </w:rPr>
        <w:t xml:space="preserve">tzv. </w:t>
      </w:r>
      <w:r w:rsidRPr="0085799C">
        <w:rPr>
          <w:rFonts w:ascii="Times New Roman" w:eastAsia="Calibri" w:hAnsi="Times New Roman"/>
          <w:u w:val="single"/>
        </w:rPr>
        <w:t>ostatné pôžičky</w:t>
      </w:r>
      <w:r w:rsidRPr="0085799C">
        <w:rPr>
          <w:rFonts w:ascii="Times New Roman" w:eastAsia="Calibri" w:hAnsi="Times New Roman"/>
        </w:rPr>
        <w:t xml:space="preserve"> v sume </w:t>
      </w:r>
      <w:r w:rsidR="00FA5C04" w:rsidRPr="0085799C">
        <w:rPr>
          <w:rFonts w:ascii="Times New Roman" w:eastAsia="Calibri" w:hAnsi="Times New Roman"/>
        </w:rPr>
        <w:t>1 603 227 tis.</w:t>
      </w:r>
      <w:r w:rsidRPr="0085799C">
        <w:rPr>
          <w:rFonts w:ascii="Times New Roman" w:eastAsia="Calibri" w:hAnsi="Times New Roman"/>
        </w:rPr>
        <w:t xml:space="preserve"> eur. Išlo o pôžičky, na ktorých sa v najväčšej miere podieľa </w:t>
      </w:r>
      <w:r w:rsidRPr="0085799C">
        <w:rPr>
          <w:rFonts w:ascii="Times New Roman" w:eastAsia="Calibri" w:hAnsi="Times New Roman"/>
          <w:u w:val="single"/>
        </w:rPr>
        <w:t>Štátny fond rozvoja bývania</w:t>
      </w:r>
      <w:r w:rsidRPr="0085799C">
        <w:rPr>
          <w:rFonts w:ascii="Times New Roman" w:eastAsia="Calibri" w:hAnsi="Times New Roman"/>
        </w:rPr>
        <w:t xml:space="preserve"> sumou </w:t>
      </w:r>
      <w:r w:rsidR="00C86383" w:rsidRPr="0085799C">
        <w:rPr>
          <w:rFonts w:ascii="Times New Roman" w:eastAsia="Calibri" w:hAnsi="Times New Roman"/>
        </w:rPr>
        <w:t>1</w:t>
      </w:r>
      <w:r w:rsidR="009D0BD9" w:rsidRPr="0085799C">
        <w:rPr>
          <w:rFonts w:ascii="Times New Roman" w:eastAsia="Calibri" w:hAnsi="Times New Roman"/>
        </w:rPr>
        <w:t> </w:t>
      </w:r>
      <w:r w:rsidR="003122E3" w:rsidRPr="0085799C">
        <w:rPr>
          <w:rFonts w:ascii="Times New Roman" w:eastAsia="Calibri" w:hAnsi="Times New Roman"/>
        </w:rPr>
        <w:t>503</w:t>
      </w:r>
      <w:r w:rsidR="009D0BD9" w:rsidRPr="0085799C">
        <w:rPr>
          <w:rFonts w:ascii="Times New Roman" w:eastAsia="Calibri" w:hAnsi="Times New Roman"/>
        </w:rPr>
        <w:t> </w:t>
      </w:r>
      <w:r w:rsidR="003122E3" w:rsidRPr="0085799C">
        <w:rPr>
          <w:rFonts w:ascii="Times New Roman" w:eastAsia="Calibri" w:hAnsi="Times New Roman"/>
        </w:rPr>
        <w:t>222</w:t>
      </w:r>
      <w:r w:rsidR="009D0BD9" w:rsidRPr="001A67CA">
        <w:rPr>
          <w:rFonts w:ascii="Times New Roman" w:eastAsia="Calibri" w:hAnsi="Times New Roman"/>
        </w:rPr>
        <w:t> </w:t>
      </w:r>
      <w:r w:rsidR="00C86383" w:rsidRPr="0085799C">
        <w:rPr>
          <w:rFonts w:ascii="Times New Roman" w:eastAsia="Calibri" w:hAnsi="Times New Roman"/>
        </w:rPr>
        <w:t>tis.</w:t>
      </w:r>
      <w:r w:rsidR="009D0BD9" w:rsidRPr="001A67CA">
        <w:rPr>
          <w:rFonts w:ascii="Times New Roman" w:eastAsia="Calibri" w:hAnsi="Times New Roman"/>
        </w:rPr>
        <w:t> </w:t>
      </w:r>
      <w:r w:rsidRPr="0085799C">
        <w:rPr>
          <w:rFonts w:ascii="Times New Roman" w:eastAsia="Calibri" w:hAnsi="Times New Roman"/>
        </w:rPr>
        <w:t>eur, ktorá predstavuje poskytnuté úvery určené pre právnické osoby.</w:t>
      </w:r>
    </w:p>
    <w:p w14:paraId="18B7DB20" w14:textId="73DE4931" w:rsidR="00C83960" w:rsidRPr="0085799C" w:rsidRDefault="307C6D3B" w:rsidP="0085799C">
      <w:pPr>
        <w:spacing w:after="120" w:line="240" w:lineRule="auto"/>
        <w:ind w:left="6"/>
        <w:jc w:val="both"/>
        <w:rPr>
          <w:rFonts w:ascii="Times New Roman" w:eastAsia="Calibri" w:hAnsi="Times New Roman"/>
        </w:rPr>
      </w:pPr>
      <w:r w:rsidRPr="0085799C">
        <w:rPr>
          <w:rFonts w:ascii="Times New Roman" w:eastAsia="Calibri" w:hAnsi="Times New Roman"/>
        </w:rPr>
        <w:t xml:space="preserve">Treťou významnou položkou dlhodobého finančného </w:t>
      </w:r>
      <w:r w:rsidR="00C83960" w:rsidRPr="0085799C">
        <w:rPr>
          <w:rFonts w:ascii="Times New Roman" w:eastAsia="Calibri" w:hAnsi="Times New Roman"/>
        </w:rPr>
        <w:t xml:space="preserve">majetku je </w:t>
      </w:r>
      <w:r w:rsidR="00C83960" w:rsidRPr="0085799C">
        <w:rPr>
          <w:rFonts w:ascii="Times New Roman" w:eastAsia="Calibri" w:hAnsi="Times New Roman"/>
          <w:u w:val="single"/>
        </w:rPr>
        <w:t>ostatný dlhodobý finančný majetok</w:t>
      </w:r>
      <w:r w:rsidR="00C83960" w:rsidRPr="0085799C">
        <w:rPr>
          <w:rFonts w:ascii="Times New Roman" w:eastAsia="Calibri" w:hAnsi="Times New Roman"/>
        </w:rPr>
        <w:t xml:space="preserve">, ktorý v roku 2024 dosiahol hodnotu </w:t>
      </w:r>
      <w:r w:rsidR="00745760" w:rsidRPr="0085799C">
        <w:rPr>
          <w:rFonts w:ascii="Times New Roman" w:eastAsia="Calibri" w:hAnsi="Times New Roman"/>
        </w:rPr>
        <w:t>1 300 103 tis.</w:t>
      </w:r>
      <w:r w:rsidR="00C83960" w:rsidRPr="0085799C">
        <w:rPr>
          <w:rFonts w:ascii="Times New Roman" w:eastAsia="Calibri" w:hAnsi="Times New Roman"/>
        </w:rPr>
        <w:t xml:space="preserve"> eur. V rámci dlhodobého finančného majetku boli vykázané najmä podiely v medzinárodných finančných inštitúciách, ako napríklad v Medzinárodnej banke pre obnovu a rozvoj, v skupine Svetovej banky a v Európskej investičnej banke, ktoré spravuje </w:t>
      </w:r>
      <w:r w:rsidR="00C83960" w:rsidRPr="0085799C">
        <w:rPr>
          <w:rFonts w:ascii="Times New Roman" w:eastAsia="Calibri" w:hAnsi="Times New Roman"/>
          <w:u w:val="single"/>
        </w:rPr>
        <w:t>Ministerstvo financií SR</w:t>
      </w:r>
      <w:r w:rsidR="00C83960" w:rsidRPr="0085799C">
        <w:rPr>
          <w:rFonts w:ascii="Times New Roman" w:eastAsia="Calibri" w:hAnsi="Times New Roman"/>
        </w:rPr>
        <w:t xml:space="preserve"> v mene Slovenskej republiky a ktorých výška odzrkadľovala účasť na imaní týchto inštitúcií. </w:t>
      </w:r>
    </w:p>
    <w:p w14:paraId="50341C08" w14:textId="30A44154" w:rsidR="00647542" w:rsidRDefault="00647542" w:rsidP="00E03217">
      <w:pPr>
        <w:spacing w:after="120" w:line="240" w:lineRule="auto"/>
        <w:jc w:val="both"/>
        <w:rPr>
          <w:rFonts w:ascii="Times New Roman" w:hAnsi="Times New Roman"/>
          <w:szCs w:val="22"/>
          <w:lang w:eastAsia="sk-SK"/>
        </w:rPr>
      </w:pPr>
      <w:r w:rsidRPr="00907622">
        <w:rPr>
          <w:rFonts w:ascii="Times New Roman" w:hAnsi="Times New Roman"/>
          <w:szCs w:val="22"/>
          <w:lang w:eastAsia="sk-SK"/>
        </w:rPr>
        <w:t xml:space="preserve">Ústredná štátna správa vykázala hodnotu dlhodobého finančného </w:t>
      </w:r>
      <w:r w:rsidRPr="001A67CA">
        <w:rPr>
          <w:rFonts w:ascii="Times New Roman" w:hAnsi="Times New Roman"/>
          <w:szCs w:val="22"/>
          <w:lang w:eastAsia="sk-SK"/>
        </w:rPr>
        <w:t xml:space="preserve">majetku </w:t>
      </w:r>
      <w:r w:rsidR="00F929DD" w:rsidRPr="001A67CA">
        <w:rPr>
          <w:rFonts w:ascii="Times New Roman" w:hAnsi="Times New Roman"/>
          <w:szCs w:val="22"/>
          <w:lang w:eastAsia="sk-SK"/>
        </w:rPr>
        <w:t>7</w:t>
      </w:r>
      <w:r w:rsidR="00F418A2" w:rsidRPr="0085799C">
        <w:rPr>
          <w:rFonts w:ascii="Times New Roman" w:hAnsi="Times New Roman"/>
          <w:szCs w:val="22"/>
          <w:lang w:eastAsia="sk-SK"/>
        </w:rPr>
        <w:t> </w:t>
      </w:r>
      <w:r w:rsidR="00F929DD" w:rsidRPr="001A67CA">
        <w:rPr>
          <w:rFonts w:ascii="Times New Roman" w:hAnsi="Times New Roman"/>
          <w:szCs w:val="22"/>
          <w:lang w:eastAsia="sk-SK"/>
        </w:rPr>
        <w:t>93</w:t>
      </w:r>
      <w:r w:rsidR="00554366" w:rsidRPr="001A67CA">
        <w:rPr>
          <w:rFonts w:ascii="Times New Roman" w:hAnsi="Times New Roman"/>
          <w:szCs w:val="22"/>
          <w:lang w:eastAsia="sk-SK"/>
        </w:rPr>
        <w:t>5</w:t>
      </w:r>
      <w:r w:rsidR="00F418A2" w:rsidRPr="0085799C">
        <w:rPr>
          <w:rFonts w:ascii="Times New Roman" w:hAnsi="Times New Roman"/>
          <w:szCs w:val="22"/>
          <w:lang w:eastAsia="sk-SK"/>
        </w:rPr>
        <w:t> </w:t>
      </w:r>
      <w:r w:rsidR="00554366" w:rsidRPr="001A67CA">
        <w:rPr>
          <w:rFonts w:ascii="Times New Roman" w:hAnsi="Times New Roman"/>
          <w:szCs w:val="22"/>
          <w:lang w:eastAsia="sk-SK"/>
        </w:rPr>
        <w:t>688</w:t>
      </w:r>
      <w:r w:rsidRPr="001A67CA">
        <w:rPr>
          <w:rFonts w:ascii="Times New Roman" w:hAnsi="Times New Roman"/>
          <w:szCs w:val="22"/>
          <w:lang w:eastAsia="sk-SK"/>
        </w:rPr>
        <w:t> tis. eur,</w:t>
      </w:r>
      <w:r w:rsidRPr="00907622">
        <w:rPr>
          <w:rFonts w:ascii="Times New Roman" w:hAnsi="Times New Roman"/>
          <w:szCs w:val="22"/>
          <w:lang w:eastAsia="sk-SK"/>
        </w:rPr>
        <w:t xml:space="preserve"> obce 1 </w:t>
      </w:r>
      <w:r w:rsidR="00554366" w:rsidRPr="004A05C2">
        <w:rPr>
          <w:rFonts w:ascii="Times New Roman" w:hAnsi="Times New Roman"/>
          <w:szCs w:val="22"/>
          <w:lang w:eastAsia="sk-SK"/>
        </w:rPr>
        <w:t>033</w:t>
      </w:r>
      <w:r w:rsidR="00554366" w:rsidRPr="00394E1F">
        <w:rPr>
          <w:rFonts w:ascii="Times New Roman" w:hAnsi="Times New Roman"/>
          <w:szCs w:val="22"/>
          <w:lang w:eastAsia="sk-SK"/>
        </w:rPr>
        <w:t> </w:t>
      </w:r>
      <w:r w:rsidR="00554366" w:rsidRPr="00C72798">
        <w:rPr>
          <w:rFonts w:ascii="Times New Roman" w:hAnsi="Times New Roman"/>
          <w:szCs w:val="22"/>
          <w:lang w:eastAsia="sk-SK"/>
        </w:rPr>
        <w:t xml:space="preserve">361 </w:t>
      </w:r>
      <w:r w:rsidRPr="00907622">
        <w:rPr>
          <w:rFonts w:ascii="Times New Roman" w:hAnsi="Times New Roman"/>
          <w:szCs w:val="22"/>
          <w:lang w:eastAsia="sk-SK"/>
        </w:rPr>
        <w:t>tis. eur, vyššie územné celky 10</w:t>
      </w:r>
      <w:r w:rsidR="00325076">
        <w:rPr>
          <w:rFonts w:ascii="Times New Roman" w:hAnsi="Times New Roman"/>
          <w:szCs w:val="22"/>
          <w:lang w:eastAsia="sk-SK"/>
        </w:rPr>
        <w:t> </w:t>
      </w:r>
      <w:r w:rsidR="000D3F82" w:rsidRPr="000D3F82">
        <w:rPr>
          <w:rFonts w:ascii="Times New Roman" w:hAnsi="Times New Roman"/>
          <w:szCs w:val="22"/>
          <w:lang w:eastAsia="sk-SK"/>
        </w:rPr>
        <w:t>17</w:t>
      </w:r>
      <w:r w:rsidR="00325076">
        <w:rPr>
          <w:rFonts w:ascii="Times New Roman" w:hAnsi="Times New Roman"/>
          <w:szCs w:val="22"/>
          <w:lang w:eastAsia="sk-SK"/>
        </w:rPr>
        <w:t xml:space="preserve">3 </w:t>
      </w:r>
      <w:r w:rsidRPr="00907622">
        <w:rPr>
          <w:rFonts w:ascii="Times New Roman" w:hAnsi="Times New Roman"/>
          <w:szCs w:val="22"/>
          <w:lang w:eastAsia="sk-SK"/>
        </w:rPr>
        <w:t xml:space="preserve">tis. eur a ostatné subjekty </w:t>
      </w:r>
      <w:r w:rsidR="004A05C2" w:rsidRPr="004A05C2">
        <w:rPr>
          <w:rFonts w:ascii="Times New Roman" w:hAnsi="Times New Roman"/>
          <w:szCs w:val="22"/>
          <w:lang w:eastAsia="sk-SK"/>
        </w:rPr>
        <w:t>54</w:t>
      </w:r>
      <w:r w:rsidR="004A05C2">
        <w:rPr>
          <w:rFonts w:ascii="Times New Roman" w:hAnsi="Times New Roman"/>
          <w:szCs w:val="22"/>
          <w:lang w:eastAsia="sk-SK"/>
        </w:rPr>
        <w:t xml:space="preserve"> </w:t>
      </w:r>
      <w:r w:rsidR="004A05C2" w:rsidRPr="004A05C2">
        <w:rPr>
          <w:rFonts w:ascii="Times New Roman" w:hAnsi="Times New Roman"/>
          <w:szCs w:val="22"/>
          <w:lang w:eastAsia="sk-SK"/>
        </w:rPr>
        <w:t>70</w:t>
      </w:r>
      <w:r w:rsidR="004A05C2">
        <w:rPr>
          <w:rFonts w:ascii="Times New Roman" w:hAnsi="Times New Roman"/>
          <w:szCs w:val="22"/>
          <w:lang w:eastAsia="sk-SK"/>
        </w:rPr>
        <w:t>6</w:t>
      </w:r>
      <w:r w:rsidRPr="00907622">
        <w:rPr>
          <w:rFonts w:ascii="Times New Roman" w:hAnsi="Times New Roman"/>
          <w:szCs w:val="22"/>
          <w:lang w:eastAsia="sk-SK"/>
        </w:rPr>
        <w:t> tis. eur. Medziročný prírastok hodnoty bol spôsobený najmä nárastom hodnoty podielov štátu v energetických spoločnostiach, ktorých hodnota vlastného imania sa zvýšila z dôvodu ich výsledkov hospodárenia za bežné obdobie (ovplyvnené stále vysokými cenami energií na komoditných trhoch)</w:t>
      </w:r>
      <w:r w:rsidR="00325076">
        <w:rPr>
          <w:rFonts w:ascii="Times New Roman" w:hAnsi="Times New Roman"/>
          <w:szCs w:val="22"/>
          <w:lang w:eastAsia="sk-SK"/>
        </w:rPr>
        <w:t>,</w:t>
      </w:r>
      <w:r w:rsidRPr="00907622">
        <w:rPr>
          <w:rFonts w:ascii="Times New Roman" w:hAnsi="Times New Roman"/>
          <w:szCs w:val="22"/>
          <w:lang w:eastAsia="sk-SK"/>
        </w:rPr>
        <w:t xml:space="preserve"> ako aj reorganizáciou spoločností v rámci vlastníckych štruktúr.</w:t>
      </w:r>
    </w:p>
    <w:p w14:paraId="24AA6E53" w14:textId="77777777" w:rsidR="00E03217" w:rsidRPr="00907622" w:rsidRDefault="00E03217" w:rsidP="00E03217">
      <w:pPr>
        <w:spacing w:after="120" w:line="240" w:lineRule="auto"/>
        <w:jc w:val="both"/>
        <w:rPr>
          <w:rFonts w:ascii="Times New Roman" w:hAnsi="Times New Roman"/>
          <w:szCs w:val="22"/>
          <w:lang w:eastAsia="sk-SK"/>
        </w:rPr>
      </w:pPr>
    </w:p>
    <w:p w14:paraId="78246B20" w14:textId="1FA6C915" w:rsidR="00647542" w:rsidRPr="00907622" w:rsidRDefault="00647542" w:rsidP="00647542">
      <w:pPr>
        <w:pStyle w:val="Popis"/>
        <w:keepNext/>
        <w:rPr>
          <w:noProof/>
        </w:rPr>
      </w:pPr>
      <w:r w:rsidRPr="00907622">
        <w:t xml:space="preserve">Tabuľka </w:t>
      </w:r>
      <w:r w:rsidRPr="00907622">
        <w:fldChar w:fldCharType="begin"/>
      </w:r>
      <w:r w:rsidRPr="00907622">
        <w:instrText xml:space="preserve"> SEQ Tabuľka \* ARABIC </w:instrText>
      </w:r>
      <w:r w:rsidRPr="00907622">
        <w:fldChar w:fldCharType="separate"/>
      </w:r>
      <w:r w:rsidRPr="00907622">
        <w:rPr>
          <w:noProof/>
        </w:rPr>
        <w:t>5</w:t>
      </w:r>
      <w:r w:rsidRPr="00907622">
        <w:rPr>
          <w:noProof/>
        </w:rPr>
        <w:fldChar w:fldCharType="end"/>
      </w:r>
    </w:p>
    <w:tbl>
      <w:tblPr>
        <w:tblW w:w="9072" w:type="dxa"/>
        <w:jc w:val="center"/>
        <w:tblCellMar>
          <w:left w:w="70" w:type="dxa"/>
          <w:right w:w="70" w:type="dxa"/>
        </w:tblCellMar>
        <w:tblLook w:val="04A0" w:firstRow="1" w:lastRow="0" w:firstColumn="1" w:lastColumn="0" w:noHBand="0" w:noVBand="1"/>
      </w:tblPr>
      <w:tblGrid>
        <w:gridCol w:w="4991"/>
        <w:gridCol w:w="1359"/>
        <w:gridCol w:w="1359"/>
        <w:gridCol w:w="1363"/>
      </w:tblGrid>
      <w:tr w:rsidR="00DE718B" w:rsidRPr="00DE718B" w14:paraId="086795D9" w14:textId="77777777" w:rsidTr="003B1E4C">
        <w:trPr>
          <w:trHeight w:val="227"/>
          <w:jc w:val="center"/>
        </w:trPr>
        <w:tc>
          <w:tcPr>
            <w:tcW w:w="2751" w:type="pct"/>
            <w:tcBorders>
              <w:top w:val="single" w:sz="8" w:space="0" w:color="auto"/>
              <w:left w:val="nil"/>
              <w:bottom w:val="single" w:sz="8" w:space="0" w:color="auto"/>
              <w:right w:val="nil"/>
            </w:tcBorders>
            <w:shd w:val="clear" w:color="000000" w:fill="F4B084"/>
            <w:noWrap/>
            <w:vAlign w:val="center"/>
            <w:hideMark/>
          </w:tcPr>
          <w:p w14:paraId="1E26094E" w14:textId="77777777" w:rsidR="00AD6F1F" w:rsidRPr="008F3072" w:rsidRDefault="00AD6F1F" w:rsidP="00AD6F1F">
            <w:pPr>
              <w:spacing w:after="0" w:line="240" w:lineRule="auto"/>
              <w:rPr>
                <w:rFonts w:ascii="Times New Roman" w:hAnsi="Times New Roman"/>
                <w:b/>
                <w:color w:val="000000"/>
                <w:sz w:val="18"/>
                <w:szCs w:val="18"/>
                <w:lang w:eastAsia="sk-SK"/>
              </w:rPr>
            </w:pPr>
            <w:r w:rsidRPr="008F3072">
              <w:rPr>
                <w:rFonts w:ascii="Times New Roman" w:hAnsi="Times New Roman"/>
                <w:b/>
                <w:color w:val="000000"/>
                <w:sz w:val="18"/>
                <w:szCs w:val="18"/>
                <w:lang w:eastAsia="sk-SK"/>
              </w:rPr>
              <w:t>Dlhodobý finančný majetok</w:t>
            </w:r>
          </w:p>
        </w:tc>
        <w:tc>
          <w:tcPr>
            <w:tcW w:w="749" w:type="pct"/>
            <w:tcBorders>
              <w:top w:val="single" w:sz="8" w:space="0" w:color="auto"/>
              <w:left w:val="nil"/>
              <w:bottom w:val="single" w:sz="8" w:space="0" w:color="auto"/>
              <w:right w:val="nil"/>
            </w:tcBorders>
            <w:shd w:val="clear" w:color="000000" w:fill="F4B084"/>
            <w:noWrap/>
            <w:vAlign w:val="center"/>
            <w:hideMark/>
          </w:tcPr>
          <w:p w14:paraId="343FB3C1" w14:textId="77777777" w:rsidR="00AD6F1F" w:rsidRPr="008F3072" w:rsidRDefault="00AD6F1F" w:rsidP="00AD6F1F">
            <w:pPr>
              <w:spacing w:after="0" w:line="240" w:lineRule="auto"/>
              <w:rPr>
                <w:rFonts w:ascii="Times New Roman" w:hAnsi="Times New Roman"/>
                <w:b/>
                <w:color w:val="000000"/>
                <w:sz w:val="18"/>
                <w:szCs w:val="18"/>
                <w:lang w:eastAsia="sk-SK"/>
              </w:rPr>
            </w:pPr>
            <w:r w:rsidRPr="008F3072">
              <w:rPr>
                <w:rFonts w:ascii="Times New Roman" w:hAnsi="Times New Roman"/>
                <w:b/>
                <w:color w:val="000000"/>
                <w:sz w:val="18"/>
                <w:szCs w:val="18"/>
                <w:lang w:eastAsia="sk-SK"/>
              </w:rPr>
              <w:t> </w:t>
            </w:r>
          </w:p>
        </w:tc>
        <w:tc>
          <w:tcPr>
            <w:tcW w:w="749" w:type="pct"/>
            <w:tcBorders>
              <w:top w:val="single" w:sz="8" w:space="0" w:color="auto"/>
              <w:left w:val="nil"/>
              <w:bottom w:val="single" w:sz="8" w:space="0" w:color="auto"/>
              <w:right w:val="nil"/>
            </w:tcBorders>
            <w:shd w:val="clear" w:color="000000" w:fill="F4B084"/>
            <w:noWrap/>
            <w:vAlign w:val="center"/>
            <w:hideMark/>
          </w:tcPr>
          <w:p w14:paraId="0ADFB25B" w14:textId="77777777" w:rsidR="00AD6F1F" w:rsidRPr="008F3072" w:rsidRDefault="00AD6F1F" w:rsidP="00AD6F1F">
            <w:pPr>
              <w:spacing w:after="0" w:line="240" w:lineRule="auto"/>
              <w:jc w:val="center"/>
              <w:rPr>
                <w:rFonts w:ascii="Times New Roman" w:hAnsi="Times New Roman"/>
                <w:b/>
                <w:color w:val="000000"/>
                <w:sz w:val="18"/>
                <w:szCs w:val="18"/>
                <w:lang w:eastAsia="sk-SK"/>
              </w:rPr>
            </w:pPr>
            <w:r w:rsidRPr="008F3072">
              <w:rPr>
                <w:rFonts w:ascii="Times New Roman" w:hAnsi="Times New Roman"/>
                <w:b/>
                <w:color w:val="000000"/>
                <w:sz w:val="18"/>
                <w:szCs w:val="18"/>
                <w:lang w:eastAsia="sk-SK"/>
              </w:rPr>
              <w:t>(v tis. eur)</w:t>
            </w:r>
          </w:p>
        </w:tc>
        <w:tc>
          <w:tcPr>
            <w:tcW w:w="751" w:type="pct"/>
            <w:tcBorders>
              <w:top w:val="single" w:sz="8" w:space="0" w:color="auto"/>
              <w:left w:val="nil"/>
              <w:bottom w:val="single" w:sz="8" w:space="0" w:color="auto"/>
              <w:right w:val="nil"/>
            </w:tcBorders>
            <w:shd w:val="clear" w:color="000000" w:fill="F4B084"/>
            <w:noWrap/>
            <w:vAlign w:val="center"/>
            <w:hideMark/>
          </w:tcPr>
          <w:p w14:paraId="42CA0C39" w14:textId="77777777" w:rsidR="00AD6F1F" w:rsidRPr="008F3072" w:rsidRDefault="00AD6F1F" w:rsidP="00AD6F1F">
            <w:pPr>
              <w:spacing w:after="0" w:line="240" w:lineRule="auto"/>
              <w:rPr>
                <w:rFonts w:ascii="Times New Roman" w:hAnsi="Times New Roman"/>
                <w:b/>
                <w:color w:val="000000"/>
                <w:sz w:val="18"/>
                <w:szCs w:val="18"/>
                <w:lang w:eastAsia="sk-SK"/>
              </w:rPr>
            </w:pPr>
            <w:r w:rsidRPr="008F3072">
              <w:rPr>
                <w:rFonts w:ascii="Times New Roman" w:hAnsi="Times New Roman"/>
                <w:b/>
                <w:color w:val="000000"/>
                <w:sz w:val="18"/>
                <w:szCs w:val="18"/>
                <w:lang w:eastAsia="sk-SK"/>
              </w:rPr>
              <w:t> </w:t>
            </w:r>
          </w:p>
        </w:tc>
      </w:tr>
      <w:tr w:rsidR="00DE718B" w:rsidRPr="00DE718B" w14:paraId="5CED8319" w14:textId="77777777" w:rsidTr="003B1E4C">
        <w:trPr>
          <w:trHeight w:val="227"/>
          <w:jc w:val="center"/>
        </w:trPr>
        <w:tc>
          <w:tcPr>
            <w:tcW w:w="2751" w:type="pct"/>
            <w:tcBorders>
              <w:top w:val="nil"/>
              <w:left w:val="nil"/>
              <w:bottom w:val="single" w:sz="8" w:space="0" w:color="auto"/>
              <w:right w:val="nil"/>
            </w:tcBorders>
            <w:shd w:val="clear" w:color="000000" w:fill="BDD7EE"/>
            <w:noWrap/>
            <w:vAlign w:val="center"/>
            <w:hideMark/>
          </w:tcPr>
          <w:p w14:paraId="2EF3A463" w14:textId="77777777" w:rsidR="00AD6F1F" w:rsidRPr="008F3072" w:rsidRDefault="00AD6F1F" w:rsidP="00AD6F1F">
            <w:pPr>
              <w:spacing w:after="0" w:line="240" w:lineRule="auto"/>
              <w:rPr>
                <w:rFonts w:ascii="Times New Roman" w:hAnsi="Times New Roman"/>
                <w:b/>
                <w:color w:val="000000"/>
                <w:sz w:val="18"/>
                <w:szCs w:val="18"/>
                <w:lang w:eastAsia="sk-SK"/>
              </w:rPr>
            </w:pPr>
            <w:r w:rsidRPr="007253B7">
              <w:rPr>
                <w:rFonts w:ascii="Times New Roman" w:hAnsi="Times New Roman"/>
                <w:b/>
                <w:color w:val="000000"/>
                <w:sz w:val="18"/>
                <w:szCs w:val="18"/>
                <w:lang w:eastAsia="sk-SK"/>
              </w:rPr>
              <w:t>Druh finančného majetku</w:t>
            </w:r>
          </w:p>
        </w:tc>
        <w:tc>
          <w:tcPr>
            <w:tcW w:w="749" w:type="pct"/>
            <w:tcBorders>
              <w:top w:val="nil"/>
              <w:left w:val="nil"/>
              <w:bottom w:val="single" w:sz="8" w:space="0" w:color="auto"/>
              <w:right w:val="nil"/>
            </w:tcBorders>
            <w:shd w:val="clear" w:color="000000" w:fill="BDD7EE"/>
            <w:noWrap/>
            <w:vAlign w:val="center"/>
            <w:hideMark/>
          </w:tcPr>
          <w:p w14:paraId="53F625E8" w14:textId="77777777" w:rsidR="00AD6F1F" w:rsidRPr="008F3072" w:rsidRDefault="00AD6F1F" w:rsidP="00AD6F1F">
            <w:pPr>
              <w:spacing w:after="0" w:line="240" w:lineRule="auto"/>
              <w:jc w:val="center"/>
              <w:rPr>
                <w:rFonts w:ascii="Times New Roman" w:hAnsi="Times New Roman"/>
                <w:b/>
                <w:color w:val="000000"/>
                <w:sz w:val="18"/>
                <w:szCs w:val="18"/>
                <w:lang w:eastAsia="sk-SK"/>
              </w:rPr>
            </w:pPr>
            <w:r w:rsidRPr="008F3072">
              <w:rPr>
                <w:rFonts w:ascii="Times New Roman" w:hAnsi="Times New Roman"/>
                <w:b/>
                <w:color w:val="000000"/>
                <w:sz w:val="18"/>
                <w:szCs w:val="18"/>
                <w:lang w:eastAsia="sk-SK"/>
              </w:rPr>
              <w:t>2024</w:t>
            </w:r>
          </w:p>
        </w:tc>
        <w:tc>
          <w:tcPr>
            <w:tcW w:w="749" w:type="pct"/>
            <w:tcBorders>
              <w:top w:val="nil"/>
              <w:left w:val="nil"/>
              <w:bottom w:val="single" w:sz="8" w:space="0" w:color="auto"/>
              <w:right w:val="nil"/>
            </w:tcBorders>
            <w:shd w:val="clear" w:color="000000" w:fill="BDD7EE"/>
            <w:noWrap/>
            <w:vAlign w:val="center"/>
            <w:hideMark/>
          </w:tcPr>
          <w:p w14:paraId="25191B1C" w14:textId="77777777" w:rsidR="00AD6F1F" w:rsidRPr="008F3072" w:rsidRDefault="00AD6F1F" w:rsidP="00AD6F1F">
            <w:pPr>
              <w:spacing w:after="0" w:line="240" w:lineRule="auto"/>
              <w:jc w:val="center"/>
              <w:rPr>
                <w:rFonts w:ascii="Times New Roman" w:hAnsi="Times New Roman"/>
                <w:b/>
                <w:color w:val="000000"/>
                <w:sz w:val="18"/>
                <w:szCs w:val="18"/>
                <w:lang w:eastAsia="sk-SK"/>
              </w:rPr>
            </w:pPr>
            <w:r w:rsidRPr="008F3072">
              <w:rPr>
                <w:rFonts w:ascii="Times New Roman" w:hAnsi="Times New Roman"/>
                <w:b/>
                <w:color w:val="000000"/>
                <w:sz w:val="18"/>
                <w:szCs w:val="18"/>
                <w:lang w:eastAsia="sk-SK"/>
              </w:rPr>
              <w:t>2023</w:t>
            </w:r>
          </w:p>
        </w:tc>
        <w:tc>
          <w:tcPr>
            <w:tcW w:w="751" w:type="pct"/>
            <w:tcBorders>
              <w:top w:val="nil"/>
              <w:left w:val="nil"/>
              <w:bottom w:val="single" w:sz="8" w:space="0" w:color="auto"/>
              <w:right w:val="nil"/>
            </w:tcBorders>
            <w:shd w:val="clear" w:color="000000" w:fill="BDD7EE"/>
            <w:vAlign w:val="center"/>
            <w:hideMark/>
          </w:tcPr>
          <w:p w14:paraId="4F31D53E" w14:textId="77777777" w:rsidR="00AD6F1F" w:rsidRPr="008F3072" w:rsidRDefault="00AD6F1F" w:rsidP="00AD6F1F">
            <w:pPr>
              <w:spacing w:after="0" w:line="240" w:lineRule="auto"/>
              <w:jc w:val="center"/>
              <w:rPr>
                <w:rFonts w:ascii="Times New Roman" w:hAnsi="Times New Roman"/>
                <w:b/>
                <w:color w:val="000000"/>
                <w:sz w:val="18"/>
                <w:szCs w:val="18"/>
                <w:lang w:eastAsia="sk-SK"/>
              </w:rPr>
            </w:pPr>
            <w:r w:rsidRPr="008F3072">
              <w:rPr>
                <w:rFonts w:ascii="Times New Roman" w:hAnsi="Times New Roman"/>
                <w:b/>
                <w:color w:val="000000"/>
                <w:sz w:val="18"/>
                <w:szCs w:val="18"/>
                <w:lang w:eastAsia="sk-SK"/>
              </w:rPr>
              <w:t>Δ 2024-2023</w:t>
            </w:r>
          </w:p>
        </w:tc>
      </w:tr>
      <w:tr w:rsidR="00BF0C9A" w:rsidRPr="00907622" w14:paraId="10FACF64" w14:textId="77777777" w:rsidTr="0085799C">
        <w:trPr>
          <w:trHeight w:val="227"/>
          <w:jc w:val="center"/>
        </w:trPr>
        <w:tc>
          <w:tcPr>
            <w:tcW w:w="2751" w:type="pct"/>
            <w:tcBorders>
              <w:top w:val="nil"/>
              <w:left w:val="nil"/>
              <w:bottom w:val="nil"/>
              <w:right w:val="nil"/>
            </w:tcBorders>
            <w:vAlign w:val="center"/>
            <w:hideMark/>
          </w:tcPr>
          <w:p w14:paraId="1DB9DFA7" w14:textId="77777777" w:rsidR="00AD6F1F" w:rsidRPr="00907622" w:rsidRDefault="00AD6F1F" w:rsidP="00AD6F1F">
            <w:pPr>
              <w:spacing w:after="0" w:line="240" w:lineRule="auto"/>
              <w:rPr>
                <w:rFonts w:ascii="Times New Roman" w:hAnsi="Times New Roman"/>
                <w:color w:val="000000"/>
                <w:sz w:val="18"/>
                <w:szCs w:val="18"/>
                <w:lang w:eastAsia="sk-SK"/>
              </w:rPr>
            </w:pPr>
            <w:r w:rsidRPr="00907622">
              <w:rPr>
                <w:rFonts w:ascii="Times New Roman" w:hAnsi="Times New Roman"/>
                <w:color w:val="000000"/>
                <w:sz w:val="18"/>
                <w:szCs w:val="18"/>
                <w:lang w:eastAsia="sk-SK"/>
              </w:rPr>
              <w:t xml:space="preserve">Cenné papiere a podiely </w:t>
            </w:r>
          </w:p>
        </w:tc>
        <w:tc>
          <w:tcPr>
            <w:tcW w:w="749" w:type="pct"/>
            <w:tcBorders>
              <w:top w:val="nil"/>
              <w:left w:val="nil"/>
              <w:bottom w:val="nil"/>
              <w:right w:val="nil"/>
            </w:tcBorders>
            <w:noWrap/>
            <w:vAlign w:val="center"/>
            <w:hideMark/>
          </w:tcPr>
          <w:p w14:paraId="7EC5BB0B"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6 105 169</w:t>
            </w:r>
          </w:p>
        </w:tc>
        <w:tc>
          <w:tcPr>
            <w:tcW w:w="749" w:type="pct"/>
            <w:tcBorders>
              <w:top w:val="nil"/>
              <w:left w:val="nil"/>
              <w:bottom w:val="nil"/>
              <w:right w:val="nil"/>
            </w:tcBorders>
            <w:noWrap/>
            <w:vAlign w:val="center"/>
            <w:hideMark/>
          </w:tcPr>
          <w:p w14:paraId="02A589BD"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5 729 857</w:t>
            </w:r>
          </w:p>
        </w:tc>
        <w:tc>
          <w:tcPr>
            <w:tcW w:w="751" w:type="pct"/>
            <w:tcBorders>
              <w:top w:val="nil"/>
              <w:left w:val="nil"/>
              <w:bottom w:val="nil"/>
              <w:right w:val="nil"/>
            </w:tcBorders>
            <w:vAlign w:val="center"/>
            <w:hideMark/>
          </w:tcPr>
          <w:p w14:paraId="23A1CB23"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375 312</w:t>
            </w:r>
          </w:p>
        </w:tc>
      </w:tr>
      <w:tr w:rsidR="00BF0C9A" w:rsidRPr="00907622" w14:paraId="7D76A31F" w14:textId="77777777" w:rsidTr="0085799C">
        <w:trPr>
          <w:trHeight w:val="227"/>
          <w:jc w:val="center"/>
        </w:trPr>
        <w:tc>
          <w:tcPr>
            <w:tcW w:w="2751" w:type="pct"/>
            <w:tcBorders>
              <w:top w:val="nil"/>
              <w:left w:val="nil"/>
              <w:bottom w:val="nil"/>
              <w:right w:val="nil"/>
            </w:tcBorders>
            <w:vAlign w:val="center"/>
            <w:hideMark/>
          </w:tcPr>
          <w:p w14:paraId="00F2F95D" w14:textId="77777777" w:rsidR="00AD6F1F" w:rsidRPr="00907622" w:rsidRDefault="00AD6F1F" w:rsidP="00AD6F1F">
            <w:pPr>
              <w:spacing w:after="0" w:line="240" w:lineRule="auto"/>
              <w:rPr>
                <w:rFonts w:ascii="Times New Roman" w:hAnsi="Times New Roman"/>
                <w:i/>
                <w:iCs/>
                <w:color w:val="000000"/>
                <w:sz w:val="18"/>
                <w:szCs w:val="18"/>
                <w:lang w:eastAsia="sk-SK"/>
              </w:rPr>
            </w:pPr>
            <w:r w:rsidRPr="00907622">
              <w:rPr>
                <w:rFonts w:ascii="Times New Roman" w:hAnsi="Times New Roman"/>
                <w:i/>
                <w:iCs/>
                <w:color w:val="000000"/>
                <w:sz w:val="18"/>
                <w:szCs w:val="18"/>
                <w:lang w:eastAsia="sk-SK"/>
              </w:rPr>
              <w:t>Z toho: Podiely v pridružených účtovných jednotkách</w:t>
            </w:r>
          </w:p>
        </w:tc>
        <w:tc>
          <w:tcPr>
            <w:tcW w:w="749" w:type="pct"/>
            <w:tcBorders>
              <w:top w:val="nil"/>
              <w:left w:val="nil"/>
              <w:bottom w:val="nil"/>
              <w:right w:val="nil"/>
            </w:tcBorders>
            <w:noWrap/>
            <w:vAlign w:val="center"/>
            <w:hideMark/>
          </w:tcPr>
          <w:p w14:paraId="04550396"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5 028 027</w:t>
            </w:r>
          </w:p>
        </w:tc>
        <w:tc>
          <w:tcPr>
            <w:tcW w:w="749" w:type="pct"/>
            <w:tcBorders>
              <w:top w:val="nil"/>
              <w:left w:val="nil"/>
              <w:bottom w:val="nil"/>
              <w:right w:val="nil"/>
            </w:tcBorders>
            <w:noWrap/>
            <w:vAlign w:val="center"/>
            <w:hideMark/>
          </w:tcPr>
          <w:p w14:paraId="4C7737B5"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4 641 568</w:t>
            </w:r>
          </w:p>
        </w:tc>
        <w:tc>
          <w:tcPr>
            <w:tcW w:w="751" w:type="pct"/>
            <w:tcBorders>
              <w:top w:val="nil"/>
              <w:left w:val="nil"/>
              <w:bottom w:val="nil"/>
              <w:right w:val="nil"/>
            </w:tcBorders>
            <w:vAlign w:val="center"/>
            <w:hideMark/>
          </w:tcPr>
          <w:p w14:paraId="14A0F228"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386 459</w:t>
            </w:r>
          </w:p>
        </w:tc>
      </w:tr>
      <w:tr w:rsidR="00BF0C9A" w:rsidRPr="00907622" w14:paraId="0B56FF2D" w14:textId="77777777" w:rsidTr="0085799C">
        <w:trPr>
          <w:trHeight w:val="227"/>
          <w:jc w:val="center"/>
        </w:trPr>
        <w:tc>
          <w:tcPr>
            <w:tcW w:w="2751" w:type="pct"/>
            <w:tcBorders>
              <w:top w:val="nil"/>
              <w:left w:val="nil"/>
              <w:bottom w:val="nil"/>
              <w:right w:val="nil"/>
            </w:tcBorders>
            <w:vAlign w:val="center"/>
            <w:hideMark/>
          </w:tcPr>
          <w:p w14:paraId="4B5CDE1D" w14:textId="77777777" w:rsidR="00AD6F1F" w:rsidRPr="00907622" w:rsidRDefault="00AD6F1F" w:rsidP="00AD6F1F">
            <w:pPr>
              <w:spacing w:after="0" w:line="240" w:lineRule="auto"/>
              <w:rPr>
                <w:rFonts w:ascii="Times New Roman" w:hAnsi="Times New Roman"/>
                <w:i/>
                <w:iCs/>
                <w:color w:val="000000"/>
                <w:sz w:val="18"/>
                <w:szCs w:val="18"/>
                <w:lang w:eastAsia="sk-SK"/>
              </w:rPr>
            </w:pPr>
            <w:r w:rsidRPr="00907622">
              <w:rPr>
                <w:rFonts w:ascii="Times New Roman" w:hAnsi="Times New Roman"/>
                <w:i/>
                <w:iCs/>
                <w:color w:val="000000"/>
                <w:sz w:val="18"/>
                <w:szCs w:val="18"/>
                <w:lang w:eastAsia="sk-SK"/>
              </w:rPr>
              <w:t xml:space="preserve">            Realizovateľné cenné papiere a podiely</w:t>
            </w:r>
          </w:p>
        </w:tc>
        <w:tc>
          <w:tcPr>
            <w:tcW w:w="749" w:type="pct"/>
            <w:tcBorders>
              <w:top w:val="nil"/>
              <w:left w:val="nil"/>
              <w:bottom w:val="nil"/>
              <w:right w:val="nil"/>
            </w:tcBorders>
            <w:noWrap/>
            <w:vAlign w:val="center"/>
            <w:hideMark/>
          </w:tcPr>
          <w:p w14:paraId="44C1D022"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867 361</w:t>
            </w:r>
          </w:p>
        </w:tc>
        <w:tc>
          <w:tcPr>
            <w:tcW w:w="749" w:type="pct"/>
            <w:tcBorders>
              <w:top w:val="nil"/>
              <w:left w:val="nil"/>
              <w:bottom w:val="nil"/>
              <w:right w:val="nil"/>
            </w:tcBorders>
            <w:noWrap/>
            <w:vAlign w:val="center"/>
            <w:hideMark/>
          </w:tcPr>
          <w:p w14:paraId="5A5A7AC5"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869 278</w:t>
            </w:r>
          </w:p>
        </w:tc>
        <w:tc>
          <w:tcPr>
            <w:tcW w:w="751" w:type="pct"/>
            <w:tcBorders>
              <w:top w:val="nil"/>
              <w:left w:val="nil"/>
              <w:bottom w:val="nil"/>
              <w:right w:val="nil"/>
            </w:tcBorders>
            <w:vAlign w:val="center"/>
            <w:hideMark/>
          </w:tcPr>
          <w:p w14:paraId="5C24D046"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-1 917</w:t>
            </w:r>
          </w:p>
        </w:tc>
      </w:tr>
      <w:tr w:rsidR="00BF0C9A" w:rsidRPr="00907622" w14:paraId="1BFA1B0A" w14:textId="77777777" w:rsidTr="0085799C">
        <w:trPr>
          <w:trHeight w:val="227"/>
          <w:jc w:val="center"/>
        </w:trPr>
        <w:tc>
          <w:tcPr>
            <w:tcW w:w="2751" w:type="pct"/>
            <w:tcBorders>
              <w:top w:val="nil"/>
              <w:left w:val="nil"/>
              <w:bottom w:val="nil"/>
              <w:right w:val="nil"/>
            </w:tcBorders>
            <w:vAlign w:val="center"/>
            <w:hideMark/>
          </w:tcPr>
          <w:p w14:paraId="23880A7C" w14:textId="77777777" w:rsidR="00AD6F1F" w:rsidRPr="00907622" w:rsidRDefault="00AD6F1F" w:rsidP="00AD6F1F">
            <w:pPr>
              <w:spacing w:after="0" w:line="240" w:lineRule="auto"/>
              <w:rPr>
                <w:rFonts w:ascii="Times New Roman" w:hAnsi="Times New Roman"/>
                <w:i/>
                <w:iCs/>
                <w:color w:val="000000"/>
                <w:sz w:val="18"/>
                <w:szCs w:val="18"/>
                <w:lang w:eastAsia="sk-SK"/>
              </w:rPr>
            </w:pPr>
            <w:r w:rsidRPr="00907622">
              <w:rPr>
                <w:rFonts w:ascii="Times New Roman" w:hAnsi="Times New Roman"/>
                <w:i/>
                <w:iCs/>
                <w:color w:val="000000"/>
                <w:sz w:val="18"/>
                <w:szCs w:val="18"/>
                <w:lang w:eastAsia="sk-SK"/>
              </w:rPr>
              <w:t xml:space="preserve">            Podiely v dcérskych účtovných jednotkách</w:t>
            </w:r>
          </w:p>
        </w:tc>
        <w:tc>
          <w:tcPr>
            <w:tcW w:w="749" w:type="pct"/>
            <w:tcBorders>
              <w:top w:val="nil"/>
              <w:left w:val="nil"/>
              <w:bottom w:val="nil"/>
              <w:right w:val="nil"/>
            </w:tcBorders>
            <w:noWrap/>
            <w:vAlign w:val="center"/>
            <w:hideMark/>
          </w:tcPr>
          <w:p w14:paraId="3507062C"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209 781</w:t>
            </w:r>
          </w:p>
        </w:tc>
        <w:tc>
          <w:tcPr>
            <w:tcW w:w="749" w:type="pct"/>
            <w:tcBorders>
              <w:top w:val="nil"/>
              <w:left w:val="nil"/>
              <w:bottom w:val="nil"/>
              <w:right w:val="nil"/>
            </w:tcBorders>
            <w:noWrap/>
            <w:vAlign w:val="center"/>
            <w:hideMark/>
          </w:tcPr>
          <w:p w14:paraId="698498A1"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212 449</w:t>
            </w:r>
          </w:p>
        </w:tc>
        <w:tc>
          <w:tcPr>
            <w:tcW w:w="751" w:type="pct"/>
            <w:tcBorders>
              <w:top w:val="nil"/>
              <w:left w:val="nil"/>
              <w:bottom w:val="nil"/>
              <w:right w:val="nil"/>
            </w:tcBorders>
            <w:vAlign w:val="center"/>
            <w:hideMark/>
          </w:tcPr>
          <w:p w14:paraId="1EE03FBE"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-2 668</w:t>
            </w:r>
          </w:p>
        </w:tc>
      </w:tr>
      <w:tr w:rsidR="00BF0C9A" w:rsidRPr="00907622" w14:paraId="7DC28E18" w14:textId="77777777" w:rsidTr="0085799C">
        <w:trPr>
          <w:trHeight w:val="227"/>
          <w:jc w:val="center"/>
        </w:trPr>
        <w:tc>
          <w:tcPr>
            <w:tcW w:w="2751" w:type="pct"/>
            <w:tcBorders>
              <w:top w:val="nil"/>
              <w:left w:val="nil"/>
              <w:bottom w:val="nil"/>
              <w:right w:val="nil"/>
            </w:tcBorders>
            <w:vAlign w:val="center"/>
            <w:hideMark/>
          </w:tcPr>
          <w:p w14:paraId="64EC1F41" w14:textId="77777777" w:rsidR="00AD6F1F" w:rsidRPr="00907622" w:rsidRDefault="00AD6F1F" w:rsidP="00AD6F1F">
            <w:pPr>
              <w:spacing w:after="0" w:line="240" w:lineRule="auto"/>
              <w:rPr>
                <w:rFonts w:ascii="Times New Roman" w:hAnsi="Times New Roman"/>
                <w:color w:val="000000"/>
                <w:sz w:val="18"/>
                <w:szCs w:val="18"/>
                <w:lang w:eastAsia="sk-SK"/>
              </w:rPr>
            </w:pPr>
            <w:r w:rsidRPr="00907622">
              <w:rPr>
                <w:rFonts w:ascii="Times New Roman" w:hAnsi="Times New Roman"/>
                <w:color w:val="000000"/>
                <w:sz w:val="18"/>
                <w:szCs w:val="18"/>
                <w:lang w:eastAsia="sk-SK"/>
              </w:rPr>
              <w:t>Dlhodobé pôžičky</w:t>
            </w:r>
          </w:p>
        </w:tc>
        <w:tc>
          <w:tcPr>
            <w:tcW w:w="749" w:type="pct"/>
            <w:tcBorders>
              <w:top w:val="nil"/>
              <w:left w:val="nil"/>
              <w:bottom w:val="nil"/>
              <w:right w:val="nil"/>
            </w:tcBorders>
            <w:noWrap/>
            <w:vAlign w:val="center"/>
            <w:hideMark/>
          </w:tcPr>
          <w:p w14:paraId="5177EB89"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1 603 222</w:t>
            </w:r>
          </w:p>
        </w:tc>
        <w:tc>
          <w:tcPr>
            <w:tcW w:w="749" w:type="pct"/>
            <w:tcBorders>
              <w:top w:val="nil"/>
              <w:left w:val="nil"/>
              <w:bottom w:val="nil"/>
              <w:right w:val="nil"/>
            </w:tcBorders>
            <w:noWrap/>
            <w:vAlign w:val="center"/>
            <w:hideMark/>
          </w:tcPr>
          <w:p w14:paraId="0093C855"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1 501 298</w:t>
            </w:r>
          </w:p>
        </w:tc>
        <w:tc>
          <w:tcPr>
            <w:tcW w:w="751" w:type="pct"/>
            <w:tcBorders>
              <w:top w:val="nil"/>
              <w:left w:val="nil"/>
              <w:bottom w:val="nil"/>
              <w:right w:val="nil"/>
            </w:tcBorders>
            <w:vAlign w:val="center"/>
            <w:hideMark/>
          </w:tcPr>
          <w:p w14:paraId="40790506"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101 924</w:t>
            </w:r>
          </w:p>
        </w:tc>
      </w:tr>
      <w:tr w:rsidR="00BF0C9A" w:rsidRPr="00907622" w14:paraId="71EE68D0" w14:textId="77777777" w:rsidTr="0085799C">
        <w:trPr>
          <w:trHeight w:val="227"/>
          <w:jc w:val="center"/>
        </w:trPr>
        <w:tc>
          <w:tcPr>
            <w:tcW w:w="2751" w:type="pct"/>
            <w:tcBorders>
              <w:top w:val="nil"/>
              <w:left w:val="nil"/>
              <w:bottom w:val="nil"/>
              <w:right w:val="nil"/>
            </w:tcBorders>
            <w:vAlign w:val="center"/>
            <w:hideMark/>
          </w:tcPr>
          <w:p w14:paraId="2BD22EFF" w14:textId="77777777" w:rsidR="00AD6F1F" w:rsidRPr="00907622" w:rsidRDefault="00AD6F1F" w:rsidP="00AD6F1F">
            <w:pPr>
              <w:spacing w:after="0" w:line="240" w:lineRule="auto"/>
              <w:rPr>
                <w:rFonts w:ascii="Times New Roman" w:hAnsi="Times New Roman"/>
                <w:i/>
                <w:iCs/>
                <w:color w:val="000000"/>
                <w:sz w:val="18"/>
                <w:szCs w:val="18"/>
                <w:lang w:eastAsia="sk-SK"/>
              </w:rPr>
            </w:pPr>
            <w:r w:rsidRPr="00907622">
              <w:rPr>
                <w:rFonts w:ascii="Times New Roman" w:hAnsi="Times New Roman"/>
                <w:i/>
                <w:iCs/>
                <w:color w:val="000000"/>
                <w:sz w:val="18"/>
                <w:szCs w:val="18"/>
                <w:lang w:eastAsia="sk-SK"/>
              </w:rPr>
              <w:t>Z toho: ŠFRB</w:t>
            </w:r>
          </w:p>
        </w:tc>
        <w:tc>
          <w:tcPr>
            <w:tcW w:w="749" w:type="pct"/>
            <w:tcBorders>
              <w:top w:val="nil"/>
              <w:left w:val="nil"/>
              <w:bottom w:val="nil"/>
              <w:right w:val="nil"/>
            </w:tcBorders>
            <w:noWrap/>
            <w:vAlign w:val="center"/>
            <w:hideMark/>
          </w:tcPr>
          <w:p w14:paraId="3961C547"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1 503 222</w:t>
            </w:r>
          </w:p>
        </w:tc>
        <w:tc>
          <w:tcPr>
            <w:tcW w:w="749" w:type="pct"/>
            <w:tcBorders>
              <w:top w:val="nil"/>
              <w:left w:val="nil"/>
              <w:bottom w:val="nil"/>
              <w:right w:val="nil"/>
            </w:tcBorders>
            <w:noWrap/>
            <w:vAlign w:val="center"/>
            <w:hideMark/>
          </w:tcPr>
          <w:p w14:paraId="76DA0A0F"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1 406 045</w:t>
            </w:r>
          </w:p>
        </w:tc>
        <w:tc>
          <w:tcPr>
            <w:tcW w:w="751" w:type="pct"/>
            <w:tcBorders>
              <w:top w:val="nil"/>
              <w:left w:val="nil"/>
              <w:bottom w:val="nil"/>
              <w:right w:val="nil"/>
            </w:tcBorders>
            <w:vAlign w:val="center"/>
            <w:hideMark/>
          </w:tcPr>
          <w:p w14:paraId="25C0D66A"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97 177</w:t>
            </w:r>
          </w:p>
        </w:tc>
      </w:tr>
      <w:tr w:rsidR="00BF0C9A" w:rsidRPr="00907622" w14:paraId="0D016D4C" w14:textId="77777777" w:rsidTr="0085799C">
        <w:trPr>
          <w:trHeight w:val="227"/>
          <w:jc w:val="center"/>
        </w:trPr>
        <w:tc>
          <w:tcPr>
            <w:tcW w:w="2751" w:type="pct"/>
            <w:tcBorders>
              <w:top w:val="nil"/>
              <w:left w:val="nil"/>
              <w:bottom w:val="nil"/>
              <w:right w:val="nil"/>
            </w:tcBorders>
            <w:vAlign w:val="center"/>
            <w:hideMark/>
          </w:tcPr>
          <w:p w14:paraId="6237D844" w14:textId="77777777" w:rsidR="00AD6F1F" w:rsidRPr="00907622" w:rsidRDefault="00AD6F1F" w:rsidP="00AD6F1F">
            <w:pPr>
              <w:spacing w:after="0" w:line="240" w:lineRule="auto"/>
              <w:rPr>
                <w:rFonts w:ascii="Times New Roman" w:hAnsi="Times New Roman"/>
                <w:i/>
                <w:iCs/>
                <w:color w:val="000000"/>
                <w:sz w:val="18"/>
                <w:szCs w:val="18"/>
                <w:lang w:eastAsia="sk-SK"/>
              </w:rPr>
            </w:pPr>
            <w:r w:rsidRPr="00907622">
              <w:rPr>
                <w:rFonts w:ascii="Times New Roman" w:hAnsi="Times New Roman"/>
                <w:i/>
                <w:iCs/>
                <w:color w:val="000000"/>
                <w:sz w:val="18"/>
                <w:szCs w:val="18"/>
                <w:lang w:eastAsia="sk-SK"/>
              </w:rPr>
              <w:t xml:space="preserve">            National </w:t>
            </w:r>
            <w:proofErr w:type="spellStart"/>
            <w:r w:rsidRPr="00907622">
              <w:rPr>
                <w:rFonts w:ascii="Times New Roman" w:hAnsi="Times New Roman"/>
                <w:i/>
                <w:iCs/>
                <w:color w:val="000000"/>
                <w:sz w:val="18"/>
                <w:szCs w:val="18"/>
                <w:lang w:eastAsia="sk-SK"/>
              </w:rPr>
              <w:t>Development</w:t>
            </w:r>
            <w:proofErr w:type="spellEnd"/>
            <w:r w:rsidRPr="00907622">
              <w:rPr>
                <w:rFonts w:ascii="Times New Roman" w:hAnsi="Times New Roman"/>
                <w:i/>
                <w:iCs/>
                <w:color w:val="000000"/>
                <w:sz w:val="18"/>
                <w:szCs w:val="18"/>
                <w:lang w:eastAsia="sk-SK"/>
              </w:rPr>
              <w:t xml:space="preserve"> </w:t>
            </w:r>
            <w:proofErr w:type="spellStart"/>
            <w:r w:rsidRPr="00907622">
              <w:rPr>
                <w:rFonts w:ascii="Times New Roman" w:hAnsi="Times New Roman"/>
                <w:i/>
                <w:iCs/>
                <w:color w:val="000000"/>
                <w:sz w:val="18"/>
                <w:szCs w:val="18"/>
                <w:lang w:eastAsia="sk-SK"/>
              </w:rPr>
              <w:t>Fund</w:t>
            </w:r>
            <w:proofErr w:type="spellEnd"/>
            <w:r w:rsidRPr="00907622">
              <w:rPr>
                <w:rFonts w:ascii="Times New Roman" w:hAnsi="Times New Roman"/>
                <w:i/>
                <w:iCs/>
                <w:color w:val="000000"/>
                <w:sz w:val="18"/>
                <w:szCs w:val="18"/>
                <w:lang w:eastAsia="sk-SK"/>
              </w:rPr>
              <w:t xml:space="preserve"> II, </w:t>
            </w:r>
            <w:proofErr w:type="spellStart"/>
            <w:r w:rsidRPr="00907622">
              <w:rPr>
                <w:rFonts w:ascii="Times New Roman" w:hAnsi="Times New Roman"/>
                <w:i/>
                <w:iCs/>
                <w:color w:val="000000"/>
                <w:sz w:val="18"/>
                <w:szCs w:val="18"/>
                <w:lang w:eastAsia="sk-SK"/>
              </w:rPr>
              <w:t>a.s</w:t>
            </w:r>
            <w:proofErr w:type="spellEnd"/>
            <w:r w:rsidRPr="00907622">
              <w:rPr>
                <w:rFonts w:ascii="Times New Roman" w:hAnsi="Times New Roman"/>
                <w:i/>
                <w:iCs/>
                <w:color w:val="000000"/>
                <w:sz w:val="18"/>
                <w:szCs w:val="18"/>
                <w:lang w:eastAsia="sk-SK"/>
              </w:rPr>
              <w:t>.</w:t>
            </w:r>
          </w:p>
        </w:tc>
        <w:tc>
          <w:tcPr>
            <w:tcW w:w="749" w:type="pct"/>
            <w:tcBorders>
              <w:top w:val="nil"/>
              <w:left w:val="nil"/>
              <w:bottom w:val="nil"/>
              <w:right w:val="nil"/>
            </w:tcBorders>
            <w:noWrap/>
            <w:vAlign w:val="center"/>
            <w:hideMark/>
          </w:tcPr>
          <w:p w14:paraId="13708757"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46 971</w:t>
            </w:r>
          </w:p>
        </w:tc>
        <w:tc>
          <w:tcPr>
            <w:tcW w:w="749" w:type="pct"/>
            <w:tcBorders>
              <w:top w:val="nil"/>
              <w:left w:val="nil"/>
              <w:bottom w:val="nil"/>
              <w:right w:val="nil"/>
            </w:tcBorders>
            <w:noWrap/>
            <w:vAlign w:val="center"/>
            <w:hideMark/>
          </w:tcPr>
          <w:p w14:paraId="5F04D7E4"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48 448</w:t>
            </w:r>
          </w:p>
        </w:tc>
        <w:tc>
          <w:tcPr>
            <w:tcW w:w="751" w:type="pct"/>
            <w:tcBorders>
              <w:top w:val="nil"/>
              <w:left w:val="nil"/>
              <w:bottom w:val="nil"/>
              <w:right w:val="nil"/>
            </w:tcBorders>
            <w:vAlign w:val="center"/>
            <w:hideMark/>
          </w:tcPr>
          <w:p w14:paraId="57DB2403"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-1 477</w:t>
            </w:r>
          </w:p>
        </w:tc>
      </w:tr>
      <w:tr w:rsidR="00BF0C9A" w:rsidRPr="00907622" w14:paraId="647E98E7" w14:textId="77777777" w:rsidTr="0085799C">
        <w:trPr>
          <w:trHeight w:val="227"/>
          <w:jc w:val="center"/>
        </w:trPr>
        <w:tc>
          <w:tcPr>
            <w:tcW w:w="2751" w:type="pct"/>
            <w:tcBorders>
              <w:top w:val="nil"/>
              <w:left w:val="nil"/>
              <w:bottom w:val="nil"/>
              <w:right w:val="nil"/>
            </w:tcBorders>
            <w:vAlign w:val="center"/>
            <w:hideMark/>
          </w:tcPr>
          <w:p w14:paraId="0ACAA6CC" w14:textId="77777777" w:rsidR="00AD6F1F" w:rsidRPr="00907622" w:rsidRDefault="00AD6F1F" w:rsidP="00AD6F1F">
            <w:pPr>
              <w:spacing w:after="0" w:line="240" w:lineRule="auto"/>
              <w:rPr>
                <w:rFonts w:ascii="Times New Roman" w:hAnsi="Times New Roman"/>
                <w:i/>
                <w:iCs/>
                <w:color w:val="000000"/>
                <w:sz w:val="18"/>
                <w:szCs w:val="18"/>
                <w:lang w:eastAsia="sk-SK"/>
              </w:rPr>
            </w:pPr>
            <w:r w:rsidRPr="00907622">
              <w:rPr>
                <w:rFonts w:ascii="Times New Roman" w:hAnsi="Times New Roman"/>
                <w:i/>
                <w:iCs/>
                <w:color w:val="000000"/>
                <w:sz w:val="18"/>
                <w:szCs w:val="18"/>
                <w:lang w:eastAsia="sk-SK"/>
              </w:rPr>
              <w:t xml:space="preserve">            </w:t>
            </w:r>
            <w:proofErr w:type="spellStart"/>
            <w:r w:rsidRPr="00907622">
              <w:rPr>
                <w:rFonts w:ascii="Times New Roman" w:hAnsi="Times New Roman"/>
                <w:i/>
                <w:iCs/>
                <w:color w:val="000000"/>
                <w:sz w:val="18"/>
                <w:szCs w:val="18"/>
                <w:lang w:eastAsia="sk-SK"/>
              </w:rPr>
              <w:t>Venture</w:t>
            </w:r>
            <w:proofErr w:type="spellEnd"/>
            <w:r w:rsidRPr="00907622">
              <w:rPr>
                <w:rFonts w:ascii="Times New Roman" w:hAnsi="Times New Roman"/>
                <w:i/>
                <w:iCs/>
                <w:color w:val="000000"/>
                <w:sz w:val="18"/>
                <w:szCs w:val="18"/>
                <w:lang w:eastAsia="sk-SK"/>
              </w:rPr>
              <w:t xml:space="preserve"> to </w:t>
            </w:r>
            <w:proofErr w:type="spellStart"/>
            <w:r w:rsidRPr="00907622">
              <w:rPr>
                <w:rFonts w:ascii="Times New Roman" w:hAnsi="Times New Roman"/>
                <w:i/>
                <w:iCs/>
                <w:color w:val="000000"/>
                <w:sz w:val="18"/>
                <w:szCs w:val="18"/>
                <w:lang w:eastAsia="sk-SK"/>
              </w:rPr>
              <w:t>Future</w:t>
            </w:r>
            <w:proofErr w:type="spellEnd"/>
            <w:r w:rsidRPr="00907622">
              <w:rPr>
                <w:rFonts w:ascii="Times New Roman" w:hAnsi="Times New Roman"/>
                <w:i/>
                <w:iCs/>
                <w:color w:val="000000"/>
                <w:sz w:val="18"/>
                <w:szCs w:val="18"/>
                <w:lang w:eastAsia="sk-SK"/>
              </w:rPr>
              <w:t xml:space="preserve"> </w:t>
            </w:r>
            <w:proofErr w:type="spellStart"/>
            <w:r w:rsidRPr="00907622">
              <w:rPr>
                <w:rFonts w:ascii="Times New Roman" w:hAnsi="Times New Roman"/>
                <w:i/>
                <w:iCs/>
                <w:color w:val="000000"/>
                <w:sz w:val="18"/>
                <w:szCs w:val="18"/>
                <w:lang w:eastAsia="sk-SK"/>
              </w:rPr>
              <w:t>Fund</w:t>
            </w:r>
            <w:proofErr w:type="spellEnd"/>
            <w:r w:rsidRPr="00907622">
              <w:rPr>
                <w:rFonts w:ascii="Times New Roman" w:hAnsi="Times New Roman"/>
                <w:i/>
                <w:iCs/>
                <w:color w:val="000000"/>
                <w:sz w:val="18"/>
                <w:szCs w:val="18"/>
                <w:lang w:eastAsia="sk-SK"/>
              </w:rPr>
              <w:t>, a.s.</w:t>
            </w:r>
          </w:p>
        </w:tc>
        <w:tc>
          <w:tcPr>
            <w:tcW w:w="749" w:type="pct"/>
            <w:tcBorders>
              <w:top w:val="nil"/>
              <w:left w:val="nil"/>
              <w:bottom w:val="nil"/>
              <w:right w:val="nil"/>
            </w:tcBorders>
            <w:noWrap/>
            <w:vAlign w:val="center"/>
            <w:hideMark/>
          </w:tcPr>
          <w:p w14:paraId="1B6D9DB4"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11 974</w:t>
            </w:r>
          </w:p>
        </w:tc>
        <w:tc>
          <w:tcPr>
            <w:tcW w:w="749" w:type="pct"/>
            <w:tcBorders>
              <w:top w:val="nil"/>
              <w:left w:val="nil"/>
              <w:bottom w:val="nil"/>
              <w:right w:val="nil"/>
            </w:tcBorders>
            <w:noWrap/>
            <w:vAlign w:val="center"/>
            <w:hideMark/>
          </w:tcPr>
          <w:p w14:paraId="5747C1B4"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6 131</w:t>
            </w:r>
          </w:p>
        </w:tc>
        <w:tc>
          <w:tcPr>
            <w:tcW w:w="751" w:type="pct"/>
            <w:tcBorders>
              <w:top w:val="nil"/>
              <w:left w:val="nil"/>
              <w:bottom w:val="nil"/>
              <w:right w:val="nil"/>
            </w:tcBorders>
            <w:vAlign w:val="center"/>
            <w:hideMark/>
          </w:tcPr>
          <w:p w14:paraId="76DF02E2"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5 843</w:t>
            </w:r>
          </w:p>
        </w:tc>
      </w:tr>
      <w:tr w:rsidR="00BF0C9A" w:rsidRPr="00907622" w14:paraId="7B3F2BD5" w14:textId="77777777" w:rsidTr="0085799C">
        <w:trPr>
          <w:trHeight w:val="227"/>
          <w:jc w:val="center"/>
        </w:trPr>
        <w:tc>
          <w:tcPr>
            <w:tcW w:w="2751" w:type="pct"/>
            <w:tcBorders>
              <w:top w:val="nil"/>
              <w:left w:val="nil"/>
              <w:bottom w:val="nil"/>
              <w:right w:val="nil"/>
            </w:tcBorders>
            <w:vAlign w:val="center"/>
            <w:hideMark/>
          </w:tcPr>
          <w:p w14:paraId="67BCB90C" w14:textId="77777777" w:rsidR="00AD6F1F" w:rsidRPr="00907622" w:rsidRDefault="00AD6F1F" w:rsidP="00AD6F1F">
            <w:pPr>
              <w:spacing w:after="0" w:line="240" w:lineRule="auto"/>
              <w:rPr>
                <w:rFonts w:ascii="Times New Roman" w:hAnsi="Times New Roman"/>
                <w:color w:val="000000"/>
                <w:sz w:val="18"/>
                <w:szCs w:val="18"/>
                <w:lang w:eastAsia="sk-SK"/>
              </w:rPr>
            </w:pPr>
            <w:r w:rsidRPr="00907622">
              <w:rPr>
                <w:rFonts w:ascii="Times New Roman" w:hAnsi="Times New Roman"/>
                <w:color w:val="000000"/>
                <w:sz w:val="18"/>
                <w:szCs w:val="18"/>
                <w:lang w:eastAsia="sk-SK"/>
              </w:rPr>
              <w:t>Termínované účty v bankách</w:t>
            </w:r>
          </w:p>
        </w:tc>
        <w:tc>
          <w:tcPr>
            <w:tcW w:w="749" w:type="pct"/>
            <w:tcBorders>
              <w:top w:val="nil"/>
              <w:left w:val="nil"/>
              <w:bottom w:val="nil"/>
              <w:right w:val="nil"/>
            </w:tcBorders>
            <w:noWrap/>
            <w:vAlign w:val="center"/>
            <w:hideMark/>
          </w:tcPr>
          <w:p w14:paraId="4E13E71D"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31 716</w:t>
            </w:r>
          </w:p>
        </w:tc>
        <w:tc>
          <w:tcPr>
            <w:tcW w:w="749" w:type="pct"/>
            <w:tcBorders>
              <w:top w:val="nil"/>
              <w:left w:val="nil"/>
              <w:bottom w:val="nil"/>
              <w:right w:val="nil"/>
            </w:tcBorders>
            <w:noWrap/>
            <w:vAlign w:val="center"/>
            <w:hideMark/>
          </w:tcPr>
          <w:p w14:paraId="6C9610A2"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25 768</w:t>
            </w:r>
          </w:p>
        </w:tc>
        <w:tc>
          <w:tcPr>
            <w:tcW w:w="751" w:type="pct"/>
            <w:tcBorders>
              <w:top w:val="nil"/>
              <w:left w:val="nil"/>
              <w:bottom w:val="nil"/>
              <w:right w:val="nil"/>
            </w:tcBorders>
            <w:vAlign w:val="center"/>
            <w:hideMark/>
          </w:tcPr>
          <w:p w14:paraId="54091388"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5 948</w:t>
            </w:r>
          </w:p>
        </w:tc>
      </w:tr>
      <w:tr w:rsidR="00BF0C9A" w:rsidRPr="00907622" w14:paraId="538101C2" w14:textId="77777777" w:rsidTr="0085799C">
        <w:trPr>
          <w:trHeight w:val="227"/>
          <w:jc w:val="center"/>
        </w:trPr>
        <w:tc>
          <w:tcPr>
            <w:tcW w:w="2751" w:type="pct"/>
            <w:tcBorders>
              <w:top w:val="nil"/>
              <w:left w:val="nil"/>
              <w:bottom w:val="nil"/>
              <w:right w:val="nil"/>
            </w:tcBorders>
            <w:vAlign w:val="center"/>
            <w:hideMark/>
          </w:tcPr>
          <w:p w14:paraId="41818C01" w14:textId="77777777" w:rsidR="00AD6F1F" w:rsidRPr="00907622" w:rsidRDefault="00AD6F1F" w:rsidP="00AD6F1F">
            <w:pPr>
              <w:spacing w:after="0" w:line="240" w:lineRule="auto"/>
              <w:rPr>
                <w:rFonts w:ascii="Times New Roman" w:hAnsi="Times New Roman"/>
                <w:color w:val="000000"/>
                <w:sz w:val="18"/>
                <w:szCs w:val="18"/>
                <w:lang w:eastAsia="sk-SK"/>
              </w:rPr>
            </w:pPr>
            <w:r w:rsidRPr="00907622">
              <w:rPr>
                <w:rFonts w:ascii="Times New Roman" w:hAnsi="Times New Roman"/>
                <w:color w:val="000000"/>
                <w:sz w:val="18"/>
                <w:szCs w:val="18"/>
                <w:lang w:eastAsia="sk-SK"/>
              </w:rPr>
              <w:t>Ostatný dlhodobý finančný majetok</w:t>
            </w:r>
          </w:p>
        </w:tc>
        <w:tc>
          <w:tcPr>
            <w:tcW w:w="749" w:type="pct"/>
            <w:tcBorders>
              <w:top w:val="nil"/>
              <w:left w:val="nil"/>
              <w:bottom w:val="nil"/>
              <w:right w:val="nil"/>
            </w:tcBorders>
            <w:noWrap/>
            <w:vAlign w:val="center"/>
            <w:hideMark/>
          </w:tcPr>
          <w:p w14:paraId="21E4E57F"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1 325 538</w:t>
            </w:r>
          </w:p>
        </w:tc>
        <w:tc>
          <w:tcPr>
            <w:tcW w:w="749" w:type="pct"/>
            <w:tcBorders>
              <w:top w:val="nil"/>
              <w:left w:val="nil"/>
              <w:bottom w:val="nil"/>
              <w:right w:val="nil"/>
            </w:tcBorders>
            <w:noWrap/>
            <w:vAlign w:val="center"/>
            <w:hideMark/>
          </w:tcPr>
          <w:p w14:paraId="6544F886"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1 313 638</w:t>
            </w:r>
          </w:p>
        </w:tc>
        <w:tc>
          <w:tcPr>
            <w:tcW w:w="751" w:type="pct"/>
            <w:tcBorders>
              <w:top w:val="nil"/>
              <w:left w:val="nil"/>
              <w:bottom w:val="nil"/>
              <w:right w:val="nil"/>
            </w:tcBorders>
            <w:vAlign w:val="center"/>
            <w:hideMark/>
          </w:tcPr>
          <w:p w14:paraId="21FF2025"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11 900</w:t>
            </w:r>
          </w:p>
        </w:tc>
      </w:tr>
      <w:tr w:rsidR="00BF0C9A" w:rsidRPr="00907622" w14:paraId="7FD8700E" w14:textId="77777777" w:rsidTr="0085799C">
        <w:trPr>
          <w:trHeight w:val="227"/>
          <w:jc w:val="center"/>
        </w:trPr>
        <w:tc>
          <w:tcPr>
            <w:tcW w:w="2751" w:type="pct"/>
            <w:tcBorders>
              <w:top w:val="nil"/>
              <w:left w:val="nil"/>
              <w:bottom w:val="single" w:sz="8" w:space="0" w:color="000000"/>
              <w:right w:val="nil"/>
            </w:tcBorders>
            <w:vAlign w:val="center"/>
            <w:hideMark/>
          </w:tcPr>
          <w:p w14:paraId="172D52E9" w14:textId="77777777" w:rsidR="00AD6F1F" w:rsidRPr="00907622" w:rsidRDefault="00AD6F1F" w:rsidP="00AD6F1F">
            <w:pPr>
              <w:spacing w:after="0" w:line="240" w:lineRule="auto"/>
              <w:rPr>
                <w:rFonts w:ascii="Times New Roman" w:hAnsi="Times New Roman"/>
                <w:i/>
                <w:iCs/>
                <w:color w:val="000000"/>
                <w:sz w:val="18"/>
                <w:szCs w:val="18"/>
                <w:lang w:eastAsia="sk-SK"/>
              </w:rPr>
            </w:pPr>
            <w:r w:rsidRPr="00907622">
              <w:rPr>
                <w:rFonts w:ascii="Times New Roman" w:hAnsi="Times New Roman"/>
                <w:i/>
                <w:iCs/>
                <w:color w:val="000000"/>
                <w:sz w:val="18"/>
                <w:szCs w:val="18"/>
                <w:lang w:eastAsia="sk-SK"/>
              </w:rPr>
              <w:t>Z toho: Podiely v medzinárodných finančných inštitúciách</w:t>
            </w:r>
          </w:p>
        </w:tc>
        <w:tc>
          <w:tcPr>
            <w:tcW w:w="749" w:type="pct"/>
            <w:tcBorders>
              <w:top w:val="nil"/>
              <w:left w:val="nil"/>
              <w:bottom w:val="single" w:sz="8" w:space="0" w:color="auto"/>
              <w:right w:val="nil"/>
            </w:tcBorders>
            <w:noWrap/>
            <w:vAlign w:val="center"/>
            <w:hideMark/>
          </w:tcPr>
          <w:p w14:paraId="40D2698B" w14:textId="1DE5531B"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1 064 07</w:t>
            </w:r>
            <w:r w:rsidR="00A716F0">
              <w:rPr>
                <w:rFonts w:ascii="Times New Roman" w:hAnsi="Times New Roman"/>
                <w:color w:val="000000"/>
                <w:sz w:val="18"/>
                <w:szCs w:val="18"/>
                <w:lang w:eastAsia="sk-SK"/>
              </w:rPr>
              <w:t>1</w:t>
            </w:r>
          </w:p>
        </w:tc>
        <w:tc>
          <w:tcPr>
            <w:tcW w:w="749" w:type="pct"/>
            <w:tcBorders>
              <w:top w:val="nil"/>
              <w:left w:val="nil"/>
              <w:bottom w:val="single" w:sz="8" w:space="0" w:color="auto"/>
              <w:right w:val="nil"/>
            </w:tcBorders>
            <w:noWrap/>
            <w:vAlign w:val="center"/>
            <w:hideMark/>
          </w:tcPr>
          <w:p w14:paraId="6327DC79" w14:textId="77777777"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1 054 168</w:t>
            </w:r>
          </w:p>
        </w:tc>
        <w:tc>
          <w:tcPr>
            <w:tcW w:w="751" w:type="pct"/>
            <w:tcBorders>
              <w:top w:val="nil"/>
              <w:left w:val="nil"/>
              <w:bottom w:val="nil"/>
              <w:right w:val="nil"/>
            </w:tcBorders>
            <w:vAlign w:val="center"/>
            <w:hideMark/>
          </w:tcPr>
          <w:p w14:paraId="0B420C24" w14:textId="01B1F4F9" w:rsidR="00AD6F1F" w:rsidRPr="00907622" w:rsidRDefault="00AD6F1F" w:rsidP="00AD6F1F">
            <w:pPr>
              <w:spacing w:after="0" w:line="240" w:lineRule="auto"/>
              <w:jc w:val="right"/>
              <w:rPr>
                <w:rFonts w:ascii="Times New Roman" w:hAnsi="Times New Roman"/>
                <w:color w:val="000000"/>
                <w:sz w:val="18"/>
                <w:szCs w:val="18"/>
                <w:lang w:eastAsia="sk-SK"/>
              </w:rPr>
            </w:pPr>
            <w:r w:rsidRPr="00907622">
              <w:rPr>
                <w:rFonts w:ascii="Times New Roman" w:hAnsi="Times New Roman"/>
                <w:color w:val="000000"/>
                <w:sz w:val="18"/>
                <w:szCs w:val="18"/>
                <w:lang w:eastAsia="sk-SK"/>
              </w:rPr>
              <w:t>9 90</w:t>
            </w:r>
            <w:r w:rsidR="00A716F0">
              <w:rPr>
                <w:rFonts w:ascii="Times New Roman" w:hAnsi="Times New Roman"/>
                <w:color w:val="000000"/>
                <w:sz w:val="18"/>
                <w:szCs w:val="18"/>
                <w:lang w:eastAsia="sk-SK"/>
              </w:rPr>
              <w:t>3</w:t>
            </w:r>
          </w:p>
        </w:tc>
      </w:tr>
      <w:tr w:rsidR="00BF0C9A" w:rsidRPr="00907622" w14:paraId="037D167D" w14:textId="77777777" w:rsidTr="0085799C">
        <w:trPr>
          <w:trHeight w:val="227"/>
          <w:jc w:val="center"/>
        </w:trPr>
        <w:tc>
          <w:tcPr>
            <w:tcW w:w="2751" w:type="pct"/>
            <w:tcBorders>
              <w:top w:val="nil"/>
              <w:left w:val="nil"/>
              <w:bottom w:val="single" w:sz="8" w:space="0" w:color="000000"/>
              <w:right w:val="nil"/>
            </w:tcBorders>
            <w:vAlign w:val="center"/>
            <w:hideMark/>
          </w:tcPr>
          <w:p w14:paraId="2D4FC505" w14:textId="77777777" w:rsidR="00AD6F1F" w:rsidRPr="00907622" w:rsidRDefault="00AD6F1F" w:rsidP="00AD6F1F">
            <w:pPr>
              <w:spacing w:after="0" w:line="240" w:lineRule="auto"/>
              <w:rPr>
                <w:rFonts w:ascii="Times New Roman" w:hAnsi="Times New Roman"/>
                <w:b/>
                <w:bCs/>
                <w:color w:val="000000"/>
                <w:sz w:val="18"/>
                <w:szCs w:val="18"/>
                <w:lang w:eastAsia="sk-SK"/>
              </w:rPr>
            </w:pPr>
            <w:r w:rsidRPr="00907622">
              <w:rPr>
                <w:rFonts w:ascii="Times New Roman" w:hAnsi="Times New Roman"/>
                <w:b/>
                <w:bCs/>
                <w:color w:val="000000"/>
                <w:sz w:val="18"/>
                <w:szCs w:val="18"/>
                <w:lang w:eastAsia="sk-SK"/>
              </w:rPr>
              <w:t>Spolu</w:t>
            </w:r>
          </w:p>
        </w:tc>
        <w:tc>
          <w:tcPr>
            <w:tcW w:w="749" w:type="pct"/>
            <w:tcBorders>
              <w:top w:val="nil"/>
              <w:left w:val="nil"/>
              <w:bottom w:val="single" w:sz="8" w:space="0" w:color="000000"/>
              <w:right w:val="nil"/>
            </w:tcBorders>
            <w:vAlign w:val="center"/>
            <w:hideMark/>
          </w:tcPr>
          <w:p w14:paraId="68461513" w14:textId="77777777" w:rsidR="00AD6F1F" w:rsidRPr="00907622" w:rsidRDefault="00AD6F1F" w:rsidP="00AD6F1F">
            <w:pPr>
              <w:spacing w:after="0" w:line="240" w:lineRule="auto"/>
              <w:jc w:val="right"/>
              <w:rPr>
                <w:rFonts w:ascii="Times New Roman" w:hAnsi="Times New Roman"/>
                <w:b/>
                <w:bCs/>
                <w:color w:val="000000"/>
                <w:sz w:val="18"/>
                <w:szCs w:val="18"/>
                <w:lang w:eastAsia="sk-SK"/>
              </w:rPr>
            </w:pPr>
            <w:r w:rsidRPr="00907622">
              <w:rPr>
                <w:rFonts w:ascii="Times New Roman" w:hAnsi="Times New Roman"/>
                <w:b/>
                <w:bCs/>
                <w:color w:val="000000"/>
                <w:sz w:val="18"/>
                <w:szCs w:val="18"/>
                <w:lang w:eastAsia="sk-SK"/>
              </w:rPr>
              <w:t>9 065 645</w:t>
            </w:r>
          </w:p>
        </w:tc>
        <w:tc>
          <w:tcPr>
            <w:tcW w:w="749" w:type="pct"/>
            <w:tcBorders>
              <w:top w:val="nil"/>
              <w:left w:val="nil"/>
              <w:bottom w:val="single" w:sz="8" w:space="0" w:color="000000"/>
              <w:right w:val="nil"/>
            </w:tcBorders>
            <w:vAlign w:val="center"/>
            <w:hideMark/>
          </w:tcPr>
          <w:p w14:paraId="63A365F2" w14:textId="77777777" w:rsidR="00AD6F1F" w:rsidRPr="00907622" w:rsidRDefault="00AD6F1F" w:rsidP="00AD6F1F">
            <w:pPr>
              <w:spacing w:after="0" w:line="240" w:lineRule="auto"/>
              <w:jc w:val="right"/>
              <w:rPr>
                <w:rFonts w:ascii="Times New Roman" w:hAnsi="Times New Roman"/>
                <w:b/>
                <w:bCs/>
                <w:color w:val="000000"/>
                <w:sz w:val="18"/>
                <w:szCs w:val="18"/>
                <w:lang w:eastAsia="sk-SK"/>
              </w:rPr>
            </w:pPr>
            <w:r w:rsidRPr="00907622">
              <w:rPr>
                <w:rFonts w:ascii="Times New Roman" w:hAnsi="Times New Roman"/>
                <w:b/>
                <w:bCs/>
                <w:color w:val="000000"/>
                <w:sz w:val="18"/>
                <w:szCs w:val="18"/>
                <w:lang w:eastAsia="sk-SK"/>
              </w:rPr>
              <w:t>8 570 561</w:t>
            </w:r>
          </w:p>
        </w:tc>
        <w:tc>
          <w:tcPr>
            <w:tcW w:w="751" w:type="pct"/>
            <w:tcBorders>
              <w:top w:val="single" w:sz="8" w:space="0" w:color="000000"/>
              <w:left w:val="nil"/>
              <w:bottom w:val="single" w:sz="8" w:space="0" w:color="000000"/>
              <w:right w:val="nil"/>
            </w:tcBorders>
            <w:vAlign w:val="center"/>
            <w:hideMark/>
          </w:tcPr>
          <w:p w14:paraId="0E8AF246" w14:textId="77777777" w:rsidR="00AD6F1F" w:rsidRPr="00907622" w:rsidRDefault="00AD6F1F" w:rsidP="00AD6F1F">
            <w:pPr>
              <w:spacing w:after="0" w:line="240" w:lineRule="auto"/>
              <w:jc w:val="right"/>
              <w:rPr>
                <w:rFonts w:ascii="Times New Roman" w:hAnsi="Times New Roman"/>
                <w:b/>
                <w:bCs/>
                <w:color w:val="000000"/>
                <w:sz w:val="18"/>
                <w:szCs w:val="18"/>
                <w:lang w:eastAsia="sk-SK"/>
              </w:rPr>
            </w:pPr>
            <w:r w:rsidRPr="00907622">
              <w:rPr>
                <w:rFonts w:ascii="Times New Roman" w:hAnsi="Times New Roman"/>
                <w:b/>
                <w:bCs/>
                <w:color w:val="000000"/>
                <w:sz w:val="18"/>
                <w:szCs w:val="18"/>
                <w:lang w:eastAsia="sk-SK"/>
              </w:rPr>
              <w:t>495 084</w:t>
            </w:r>
          </w:p>
        </w:tc>
      </w:tr>
      <w:tr w:rsidR="00BF0C9A" w:rsidRPr="00907622" w14:paraId="20C98D7C" w14:textId="77777777" w:rsidTr="0085799C">
        <w:trPr>
          <w:trHeight w:val="227"/>
          <w:jc w:val="center"/>
        </w:trPr>
        <w:tc>
          <w:tcPr>
            <w:tcW w:w="5000" w:type="pct"/>
            <w:gridSpan w:val="4"/>
            <w:tcBorders>
              <w:top w:val="single" w:sz="8" w:space="0" w:color="000000"/>
              <w:left w:val="nil"/>
              <w:bottom w:val="nil"/>
              <w:right w:val="nil"/>
            </w:tcBorders>
            <w:noWrap/>
            <w:vAlign w:val="center"/>
            <w:hideMark/>
          </w:tcPr>
          <w:p w14:paraId="70D46F95" w14:textId="77777777" w:rsidR="00AD6F1F" w:rsidRPr="00907622" w:rsidRDefault="00AD6F1F" w:rsidP="00AD6F1F">
            <w:pPr>
              <w:spacing w:after="0" w:line="240" w:lineRule="auto"/>
              <w:jc w:val="right"/>
              <w:rPr>
                <w:rFonts w:ascii="Times New Roman" w:hAnsi="Times New Roman"/>
                <w:color w:val="000000"/>
                <w:sz w:val="16"/>
                <w:szCs w:val="16"/>
                <w:lang w:eastAsia="sk-SK"/>
              </w:rPr>
            </w:pPr>
            <w:r w:rsidRPr="00907622">
              <w:rPr>
                <w:rFonts w:ascii="Times New Roman" w:hAnsi="Times New Roman"/>
                <w:color w:val="000000"/>
                <w:sz w:val="16"/>
                <w:szCs w:val="16"/>
                <w:lang w:eastAsia="sk-SK"/>
              </w:rPr>
              <w:t>Zdroj: MF SR, Centrálny konsolidačný systém</w:t>
            </w:r>
          </w:p>
        </w:tc>
      </w:tr>
    </w:tbl>
    <w:p w14:paraId="033AC0F1" w14:textId="77777777" w:rsidR="000A76D4" w:rsidRPr="0093696E" w:rsidRDefault="000A76D4" w:rsidP="000A76D4">
      <w:pPr>
        <w:spacing w:after="120" w:line="240" w:lineRule="auto"/>
        <w:ind w:left="425" w:hanging="425"/>
        <w:rPr>
          <w:rFonts w:ascii="Times New Roman" w:hAnsi="Times New Roman"/>
          <w:szCs w:val="22"/>
        </w:rPr>
      </w:pPr>
    </w:p>
    <w:p w14:paraId="38EF5D0A" w14:textId="64E27FCA" w:rsidR="000A76D4" w:rsidRPr="008076D9" w:rsidRDefault="005964BF" w:rsidP="0085799C">
      <w:pPr>
        <w:pStyle w:val="Nadpis4"/>
        <w:numPr>
          <w:ilvl w:val="0"/>
          <w:numId w:val="54"/>
        </w:numPr>
        <w:ind w:left="426" w:hanging="426"/>
      </w:pPr>
      <w:bookmarkStart w:id="18" w:name="_Cenné_papiere_a"/>
      <w:bookmarkEnd w:id="18"/>
      <w:r>
        <w:t>Cenné papiere a podiely</w:t>
      </w:r>
    </w:p>
    <w:p w14:paraId="5D4962D0" w14:textId="77777777" w:rsidR="00647542" w:rsidRPr="00E03217" w:rsidRDefault="00647542" w:rsidP="00E03217">
      <w:pPr>
        <w:spacing w:after="120" w:line="240" w:lineRule="auto"/>
        <w:jc w:val="both"/>
        <w:rPr>
          <w:rFonts w:ascii="Times New Roman" w:hAnsi="Times New Roman"/>
          <w:i/>
          <w:szCs w:val="22"/>
          <w:u w:val="single"/>
          <w:lang w:eastAsia="sk-SK"/>
        </w:rPr>
      </w:pPr>
      <w:r w:rsidRPr="00E03217">
        <w:rPr>
          <w:rFonts w:ascii="Times New Roman" w:hAnsi="Times New Roman"/>
          <w:i/>
          <w:szCs w:val="22"/>
          <w:u w:val="single"/>
          <w:lang w:eastAsia="sk-SK"/>
        </w:rPr>
        <w:t>Podielové cenné papiere a podiely v spoločnosti s podstatným vplyvom</w:t>
      </w:r>
    </w:p>
    <w:p w14:paraId="6360BEA5" w14:textId="2DA4A5D4" w:rsidR="00647542" w:rsidRPr="00E03217" w:rsidRDefault="00647542" w:rsidP="00E03217">
      <w:pPr>
        <w:spacing w:after="120" w:line="240" w:lineRule="auto"/>
        <w:jc w:val="both"/>
        <w:rPr>
          <w:rFonts w:ascii="Times New Roman" w:hAnsi="Times New Roman"/>
          <w:szCs w:val="22"/>
          <w:lang w:eastAsia="sk-SK"/>
        </w:rPr>
      </w:pPr>
      <w:r w:rsidRPr="00E03217">
        <w:rPr>
          <w:rFonts w:ascii="Times New Roman" w:hAnsi="Times New Roman"/>
          <w:szCs w:val="22"/>
          <w:lang w:eastAsia="sk-SK"/>
        </w:rPr>
        <w:t>V rámci tejto položky dlhodobého finančného majetku sa vykazujú majetkové účasti v iných obchodných spoločnostiach, ktoré predstavujú 20 až 50</w:t>
      </w:r>
      <w:r w:rsidR="002526BA" w:rsidRPr="00E03217">
        <w:rPr>
          <w:rFonts w:ascii="Times New Roman" w:hAnsi="Times New Roman"/>
          <w:szCs w:val="22"/>
          <w:lang w:eastAsia="sk-SK"/>
        </w:rPr>
        <w:t xml:space="preserve"> </w:t>
      </w:r>
      <w:r w:rsidRPr="00E03217">
        <w:rPr>
          <w:rFonts w:ascii="Times New Roman" w:hAnsi="Times New Roman"/>
          <w:szCs w:val="22"/>
          <w:lang w:eastAsia="sk-SK"/>
        </w:rPr>
        <w:t>% podiel na ich základnom imaní a účtovná jednotka nie je definovaná ako spoločná účtovná jednotka dvoch alebo viacerých účtovných jednotiek súhrnného celku.</w:t>
      </w:r>
    </w:p>
    <w:p w14:paraId="117EAE2A" w14:textId="77777777" w:rsidR="00647542" w:rsidRPr="00E03217" w:rsidRDefault="00647542" w:rsidP="00E03217">
      <w:pPr>
        <w:spacing w:after="120" w:line="240" w:lineRule="auto"/>
        <w:jc w:val="both"/>
        <w:rPr>
          <w:rFonts w:ascii="Times New Roman" w:hAnsi="Times New Roman"/>
          <w:szCs w:val="22"/>
          <w:lang w:eastAsia="sk-SK"/>
        </w:rPr>
      </w:pPr>
      <w:r w:rsidRPr="00E03217">
        <w:rPr>
          <w:rFonts w:ascii="Times New Roman" w:hAnsi="Times New Roman"/>
          <w:szCs w:val="22"/>
          <w:lang w:eastAsia="sk-SK"/>
        </w:rPr>
        <w:t>Rozhodujúcu hodnotu predstavujú podiely obchodných spoločností štátu v iných podnikateľských subjektoch (tzv. obchodné spoločnosti v druhom resp. treťom rade). Tieto podiely sú v niektorých podnikoch štátu vykázané na základe konsolidovanej účtovnej závierky a precenené metódou vlastného imania.</w:t>
      </w:r>
    </w:p>
    <w:p w14:paraId="43EC3C27" w14:textId="77777777" w:rsidR="00647542" w:rsidRPr="00E03217" w:rsidRDefault="00647542" w:rsidP="00E03217">
      <w:pPr>
        <w:spacing w:after="120" w:line="240" w:lineRule="auto"/>
        <w:jc w:val="both"/>
        <w:rPr>
          <w:rFonts w:ascii="Times New Roman" w:hAnsi="Times New Roman"/>
          <w:szCs w:val="22"/>
          <w:lang w:eastAsia="sk-SK"/>
        </w:rPr>
      </w:pPr>
      <w:r w:rsidRPr="00E03217">
        <w:rPr>
          <w:rFonts w:ascii="Times New Roman" w:hAnsi="Times New Roman"/>
          <w:szCs w:val="22"/>
          <w:lang w:eastAsia="sk-SK"/>
        </w:rPr>
        <w:t xml:space="preserve">Hodnota týchto podielov je priamo závislá od hodnoty vlastného imania tej spoločnosti, v ktorej štát drží menšinové podiely priamo alebo nepriamo cez iné účastiny. Vlastné imanie obchodných spoločností je pritom ovplyvnené (pri nezmenenom základnom imaní) dosiahnutým výsledkom hospodárenia (zisk/strata), </w:t>
      </w:r>
      <w:proofErr w:type="spellStart"/>
      <w:r w:rsidRPr="00E03217">
        <w:rPr>
          <w:rFonts w:ascii="Times New Roman" w:hAnsi="Times New Roman"/>
          <w:szCs w:val="22"/>
          <w:lang w:eastAsia="sk-SK"/>
        </w:rPr>
        <w:t>nevysporiadaným</w:t>
      </w:r>
      <w:proofErr w:type="spellEnd"/>
      <w:r w:rsidRPr="00E03217">
        <w:rPr>
          <w:rFonts w:ascii="Times New Roman" w:hAnsi="Times New Roman"/>
          <w:szCs w:val="22"/>
          <w:lang w:eastAsia="sk-SK"/>
        </w:rPr>
        <w:t xml:space="preserve"> výsledkom minulých období, pričom išlo hlavne o výsledok obchodnej činnosti, ale môže ho ovplyvniť aj precenenie majetku alebo zmena účtovnej metódy. </w:t>
      </w:r>
    </w:p>
    <w:p w14:paraId="097438B8" w14:textId="72700BEA" w:rsidR="00647542" w:rsidRPr="00E03217" w:rsidRDefault="7F788FD6" w:rsidP="0085799C">
      <w:pPr>
        <w:spacing w:after="120" w:line="240" w:lineRule="auto"/>
        <w:jc w:val="both"/>
        <w:rPr>
          <w:rFonts w:ascii="Times New Roman" w:hAnsi="Times New Roman"/>
          <w:lang w:eastAsia="sk-SK"/>
        </w:rPr>
      </w:pPr>
      <w:r w:rsidRPr="0085799C">
        <w:rPr>
          <w:rFonts w:ascii="Times New Roman" w:eastAsia="Calibri" w:hAnsi="Times New Roman"/>
        </w:rPr>
        <w:t xml:space="preserve">Cenné papiere a podiely v spoločnostiach s podstatným vplyvom dosiahli </w:t>
      </w:r>
      <w:r w:rsidR="00F6537F" w:rsidRPr="00E03217">
        <w:rPr>
          <w:rFonts w:ascii="Times New Roman" w:eastAsia="Calibri" w:hAnsi="Times New Roman"/>
        </w:rPr>
        <w:t>6</w:t>
      </w:r>
      <w:r w:rsidR="004B45F3" w:rsidRPr="00E03217">
        <w:rPr>
          <w:rFonts w:ascii="Times New Roman" w:eastAsia="Calibri" w:hAnsi="Times New Roman"/>
        </w:rPr>
        <w:t> </w:t>
      </w:r>
      <w:r w:rsidR="00F6537F" w:rsidRPr="00E03217">
        <w:rPr>
          <w:rFonts w:ascii="Times New Roman" w:eastAsia="Calibri" w:hAnsi="Times New Roman"/>
        </w:rPr>
        <w:t>1</w:t>
      </w:r>
      <w:r w:rsidR="00EF2D76">
        <w:rPr>
          <w:rFonts w:ascii="Times New Roman" w:eastAsia="Calibri" w:hAnsi="Times New Roman"/>
        </w:rPr>
        <w:t>05</w:t>
      </w:r>
      <w:r w:rsidR="00E274FF" w:rsidRPr="00E03217">
        <w:rPr>
          <w:rFonts w:ascii="Times New Roman" w:eastAsia="Calibri" w:hAnsi="Times New Roman"/>
        </w:rPr>
        <w:t xml:space="preserve"> </w:t>
      </w:r>
      <w:r w:rsidR="00EF2D76">
        <w:rPr>
          <w:rFonts w:ascii="Times New Roman" w:eastAsia="Calibri" w:hAnsi="Times New Roman"/>
        </w:rPr>
        <w:t>169</w:t>
      </w:r>
      <w:r w:rsidR="00E274FF" w:rsidRPr="0085799C">
        <w:rPr>
          <w:rFonts w:ascii="Times New Roman" w:eastAsia="Calibri" w:hAnsi="Times New Roman"/>
        </w:rPr>
        <w:t xml:space="preserve"> tis.</w:t>
      </w:r>
      <w:r w:rsidRPr="0085799C">
        <w:rPr>
          <w:rFonts w:ascii="Times New Roman" w:eastAsia="Calibri" w:hAnsi="Times New Roman"/>
        </w:rPr>
        <w:t xml:space="preserve"> eur, čo predstavovalo medziročné zvýšenie o</w:t>
      </w:r>
      <w:r w:rsidR="00E274FF" w:rsidRPr="0085799C">
        <w:rPr>
          <w:rFonts w:ascii="Times New Roman" w:eastAsia="Calibri" w:hAnsi="Times New Roman"/>
        </w:rPr>
        <w:t> 3</w:t>
      </w:r>
      <w:r w:rsidR="00EF2D76">
        <w:rPr>
          <w:rFonts w:ascii="Times New Roman" w:eastAsia="Calibri" w:hAnsi="Times New Roman"/>
        </w:rPr>
        <w:t>75</w:t>
      </w:r>
      <w:r w:rsidR="00E274FF" w:rsidRPr="0085799C">
        <w:rPr>
          <w:rFonts w:ascii="Times New Roman" w:eastAsia="Calibri" w:hAnsi="Times New Roman"/>
        </w:rPr>
        <w:t> </w:t>
      </w:r>
      <w:r w:rsidR="00EF2D76">
        <w:rPr>
          <w:rFonts w:ascii="Times New Roman" w:eastAsia="Calibri" w:hAnsi="Times New Roman"/>
        </w:rPr>
        <w:t>312</w:t>
      </w:r>
      <w:r w:rsidR="00E274FF" w:rsidRPr="0085799C">
        <w:rPr>
          <w:rFonts w:ascii="Times New Roman" w:eastAsia="Calibri" w:hAnsi="Times New Roman"/>
        </w:rPr>
        <w:t xml:space="preserve"> tis.</w:t>
      </w:r>
      <w:r w:rsidRPr="0085799C">
        <w:rPr>
          <w:rFonts w:ascii="Times New Roman" w:eastAsia="Calibri" w:hAnsi="Times New Roman"/>
        </w:rPr>
        <w:t xml:space="preserve"> eur. </w:t>
      </w:r>
      <w:r w:rsidR="00E87744" w:rsidRPr="0085799C">
        <w:rPr>
          <w:rFonts w:ascii="Times New Roman" w:eastAsia="Calibri" w:hAnsi="Times New Roman"/>
        </w:rPr>
        <w:t xml:space="preserve">Z celkovej hodnoty týchto podielov vykazuje </w:t>
      </w:r>
      <w:r w:rsidR="00E87744" w:rsidRPr="0085799C">
        <w:rPr>
          <w:rFonts w:ascii="Times New Roman" w:eastAsia="Calibri" w:hAnsi="Times New Roman"/>
        </w:rPr>
        <w:lastRenderedPageBreak/>
        <w:t xml:space="preserve">ústredná správa viac ako 96 %, čo predstavuje </w:t>
      </w:r>
      <w:r w:rsidR="00A45610" w:rsidRPr="0085799C">
        <w:rPr>
          <w:rFonts w:ascii="Times New Roman" w:eastAsia="Calibri" w:hAnsi="Times New Roman"/>
        </w:rPr>
        <w:t xml:space="preserve">4 830 478 </w:t>
      </w:r>
      <w:r w:rsidR="00E87744" w:rsidRPr="0085799C">
        <w:rPr>
          <w:rFonts w:ascii="Times New Roman" w:eastAsia="Calibri" w:hAnsi="Times New Roman"/>
        </w:rPr>
        <w:t xml:space="preserve">tis. eur. </w:t>
      </w:r>
      <w:r w:rsidRPr="0085799C">
        <w:rPr>
          <w:rFonts w:ascii="Times New Roman" w:eastAsia="Calibri" w:hAnsi="Times New Roman"/>
        </w:rPr>
        <w:t>Najvýznamnejšiu hodnotu vykázali štyri účtovné jednotky ústrednej správy, a to</w:t>
      </w:r>
      <w:r w:rsidRPr="0085799C">
        <w:rPr>
          <w:rFonts w:ascii="Times New Roman" w:eastAsia="Calibri" w:hAnsi="Times New Roman"/>
          <w:color w:val="C00000"/>
        </w:rPr>
        <w:t xml:space="preserve"> </w:t>
      </w:r>
      <w:r w:rsidRPr="0085799C">
        <w:rPr>
          <w:rFonts w:ascii="Times New Roman" w:eastAsia="Calibri" w:hAnsi="Times New Roman"/>
          <w:u w:val="single"/>
        </w:rPr>
        <w:t>Ministerstvo hospodárstva SR</w:t>
      </w:r>
      <w:r w:rsidRPr="0085799C">
        <w:rPr>
          <w:rFonts w:ascii="Times New Roman" w:eastAsia="Calibri" w:hAnsi="Times New Roman"/>
        </w:rPr>
        <w:t xml:space="preserve"> (3 080 843 </w:t>
      </w:r>
      <w:r w:rsidR="00E274FF" w:rsidRPr="0085799C">
        <w:rPr>
          <w:rFonts w:ascii="Times New Roman" w:eastAsia="Calibri" w:hAnsi="Times New Roman"/>
        </w:rPr>
        <w:t>tis.</w:t>
      </w:r>
      <w:r w:rsidRPr="0085799C">
        <w:rPr>
          <w:rFonts w:ascii="Times New Roman" w:eastAsia="Calibri" w:hAnsi="Times New Roman"/>
        </w:rPr>
        <w:t xml:space="preserve"> eur), </w:t>
      </w:r>
      <w:r w:rsidRPr="0085799C">
        <w:rPr>
          <w:rFonts w:ascii="Times New Roman" w:eastAsia="Calibri" w:hAnsi="Times New Roman"/>
          <w:u w:val="single"/>
        </w:rPr>
        <w:t>Slovenský plynárenský priemysel, a.s.</w:t>
      </w:r>
      <w:r w:rsidRPr="0085799C">
        <w:rPr>
          <w:rFonts w:ascii="Times New Roman" w:eastAsia="Calibri" w:hAnsi="Times New Roman"/>
        </w:rPr>
        <w:t xml:space="preserve"> (1 463 892 </w:t>
      </w:r>
      <w:r w:rsidR="00E274FF" w:rsidRPr="0085799C">
        <w:rPr>
          <w:rFonts w:ascii="Times New Roman" w:eastAsia="Calibri" w:hAnsi="Times New Roman"/>
        </w:rPr>
        <w:t>tis.</w:t>
      </w:r>
      <w:r w:rsidRPr="0085799C">
        <w:rPr>
          <w:rFonts w:ascii="Times New Roman" w:eastAsia="Calibri" w:hAnsi="Times New Roman"/>
        </w:rPr>
        <w:t xml:space="preserve"> eur), </w:t>
      </w:r>
      <w:r w:rsidRPr="0085799C">
        <w:rPr>
          <w:rFonts w:ascii="Times New Roman" w:eastAsia="Calibri" w:hAnsi="Times New Roman"/>
          <w:u w:val="single"/>
        </w:rPr>
        <w:t>Jadrová a vyraďovacia spoločnosť, a.s.</w:t>
      </w:r>
      <w:r w:rsidRPr="0085799C">
        <w:rPr>
          <w:rFonts w:ascii="Times New Roman" w:eastAsia="Calibri" w:hAnsi="Times New Roman"/>
        </w:rPr>
        <w:t xml:space="preserve"> (100</w:t>
      </w:r>
      <w:r w:rsidR="001A67CA">
        <w:rPr>
          <w:rFonts w:ascii="Times New Roman" w:eastAsia="Calibri" w:hAnsi="Times New Roman"/>
        </w:rPr>
        <w:t> </w:t>
      </w:r>
      <w:r w:rsidRPr="0085799C">
        <w:rPr>
          <w:rFonts w:ascii="Times New Roman" w:eastAsia="Calibri" w:hAnsi="Times New Roman"/>
        </w:rPr>
        <w:t>642</w:t>
      </w:r>
      <w:r w:rsidR="001A67CA">
        <w:rPr>
          <w:rFonts w:ascii="Times New Roman" w:eastAsia="Calibri" w:hAnsi="Times New Roman"/>
        </w:rPr>
        <w:t> </w:t>
      </w:r>
      <w:r w:rsidR="00E274FF" w:rsidRPr="0085799C">
        <w:rPr>
          <w:rFonts w:ascii="Times New Roman" w:eastAsia="Calibri" w:hAnsi="Times New Roman"/>
        </w:rPr>
        <w:t>tis.</w:t>
      </w:r>
      <w:r w:rsidR="001A67CA">
        <w:rPr>
          <w:rFonts w:ascii="Times New Roman" w:eastAsia="Calibri" w:hAnsi="Times New Roman"/>
        </w:rPr>
        <w:t> </w:t>
      </w:r>
      <w:r w:rsidRPr="0085799C">
        <w:rPr>
          <w:rFonts w:ascii="Times New Roman" w:eastAsia="Calibri" w:hAnsi="Times New Roman"/>
        </w:rPr>
        <w:t xml:space="preserve">eur), </w:t>
      </w:r>
      <w:r w:rsidRPr="0085799C">
        <w:rPr>
          <w:rFonts w:ascii="Times New Roman" w:eastAsia="Calibri" w:hAnsi="Times New Roman"/>
          <w:u w:val="single"/>
        </w:rPr>
        <w:t>MH Manažment, a.s.</w:t>
      </w:r>
      <w:r w:rsidRPr="0085799C">
        <w:rPr>
          <w:rFonts w:ascii="Times New Roman" w:eastAsia="Calibri" w:hAnsi="Times New Roman"/>
        </w:rPr>
        <w:t xml:space="preserve"> (48 300 </w:t>
      </w:r>
      <w:r w:rsidR="00E274FF" w:rsidRPr="0085799C">
        <w:rPr>
          <w:rFonts w:ascii="Times New Roman" w:eastAsia="Calibri" w:hAnsi="Times New Roman"/>
        </w:rPr>
        <w:t>tis.</w:t>
      </w:r>
      <w:r w:rsidRPr="0085799C">
        <w:rPr>
          <w:rFonts w:ascii="Times New Roman" w:eastAsia="Calibri" w:hAnsi="Times New Roman"/>
        </w:rPr>
        <w:t xml:space="preserve"> eur) a </w:t>
      </w:r>
      <w:r w:rsidRPr="0085799C">
        <w:rPr>
          <w:rFonts w:ascii="Times New Roman" w:eastAsia="Calibri" w:hAnsi="Times New Roman"/>
          <w:u w:val="single"/>
        </w:rPr>
        <w:t xml:space="preserve">National </w:t>
      </w:r>
      <w:proofErr w:type="spellStart"/>
      <w:r w:rsidRPr="0085799C">
        <w:rPr>
          <w:rFonts w:ascii="Times New Roman" w:eastAsia="Calibri" w:hAnsi="Times New Roman"/>
          <w:u w:val="single"/>
        </w:rPr>
        <w:t>Development</w:t>
      </w:r>
      <w:proofErr w:type="spellEnd"/>
      <w:r w:rsidRPr="0085799C">
        <w:rPr>
          <w:rFonts w:ascii="Times New Roman" w:eastAsia="Calibri" w:hAnsi="Times New Roman"/>
          <w:u w:val="single"/>
        </w:rPr>
        <w:t xml:space="preserve"> </w:t>
      </w:r>
      <w:proofErr w:type="spellStart"/>
      <w:r w:rsidRPr="0085799C">
        <w:rPr>
          <w:rFonts w:ascii="Times New Roman" w:eastAsia="Calibri" w:hAnsi="Times New Roman"/>
          <w:u w:val="single"/>
        </w:rPr>
        <w:t>Fund</w:t>
      </w:r>
      <w:proofErr w:type="spellEnd"/>
      <w:r w:rsidRPr="0085799C">
        <w:rPr>
          <w:rFonts w:ascii="Times New Roman" w:eastAsia="Calibri" w:hAnsi="Times New Roman"/>
          <w:u w:val="single"/>
        </w:rPr>
        <w:t xml:space="preserve"> II, </w:t>
      </w:r>
      <w:proofErr w:type="spellStart"/>
      <w:r w:rsidRPr="0085799C">
        <w:rPr>
          <w:rFonts w:ascii="Times New Roman" w:eastAsia="Calibri" w:hAnsi="Times New Roman"/>
          <w:u w:val="single"/>
        </w:rPr>
        <w:t>a.s</w:t>
      </w:r>
      <w:proofErr w:type="spellEnd"/>
      <w:r w:rsidRPr="0085799C">
        <w:rPr>
          <w:rFonts w:ascii="Times New Roman" w:eastAsia="Calibri" w:hAnsi="Times New Roman"/>
          <w:u w:val="single"/>
        </w:rPr>
        <w:t xml:space="preserve">. </w:t>
      </w:r>
      <w:r w:rsidRPr="0085799C">
        <w:rPr>
          <w:rFonts w:ascii="Times New Roman" w:eastAsia="Calibri" w:hAnsi="Times New Roman"/>
        </w:rPr>
        <w:t>(47</w:t>
      </w:r>
      <w:r w:rsidR="00E274FF" w:rsidRPr="0085799C">
        <w:rPr>
          <w:rFonts w:ascii="Times New Roman" w:eastAsia="Calibri" w:hAnsi="Times New Roman"/>
        </w:rPr>
        <w:t> </w:t>
      </w:r>
      <w:r w:rsidRPr="0085799C">
        <w:rPr>
          <w:rFonts w:ascii="Times New Roman" w:eastAsia="Calibri" w:hAnsi="Times New Roman"/>
        </w:rPr>
        <w:t>50</w:t>
      </w:r>
      <w:r w:rsidR="00E274FF" w:rsidRPr="0085799C">
        <w:rPr>
          <w:rFonts w:ascii="Times New Roman" w:eastAsia="Calibri" w:hAnsi="Times New Roman"/>
        </w:rPr>
        <w:t>2</w:t>
      </w:r>
      <w:r w:rsidR="001A67CA">
        <w:rPr>
          <w:rFonts w:ascii="Times New Roman" w:eastAsia="Calibri" w:hAnsi="Times New Roman"/>
        </w:rPr>
        <w:t> </w:t>
      </w:r>
      <w:r w:rsidR="00E274FF" w:rsidRPr="0085799C">
        <w:rPr>
          <w:rFonts w:ascii="Times New Roman" w:eastAsia="Calibri" w:hAnsi="Times New Roman"/>
        </w:rPr>
        <w:t>tis.</w:t>
      </w:r>
      <w:r w:rsidR="001A67CA">
        <w:rPr>
          <w:rFonts w:ascii="Times New Roman" w:eastAsia="Calibri" w:hAnsi="Times New Roman"/>
        </w:rPr>
        <w:t> </w:t>
      </w:r>
      <w:r w:rsidRPr="0085799C">
        <w:rPr>
          <w:rFonts w:ascii="Times New Roman" w:eastAsia="Calibri" w:hAnsi="Times New Roman"/>
        </w:rPr>
        <w:t>eur).</w:t>
      </w:r>
      <w:r w:rsidRPr="00E03217">
        <w:rPr>
          <w:rFonts w:ascii="Times New Roman" w:hAnsi="Times New Roman"/>
          <w:lang w:eastAsia="sk-SK"/>
        </w:rPr>
        <w:t xml:space="preserve"> </w:t>
      </w:r>
    </w:p>
    <w:p w14:paraId="4285CF30" w14:textId="1B49AE42" w:rsidR="00647542" w:rsidRPr="0085799C" w:rsidRDefault="7F788FD6" w:rsidP="0085799C">
      <w:pPr>
        <w:spacing w:after="120" w:line="240" w:lineRule="auto"/>
        <w:jc w:val="both"/>
        <w:rPr>
          <w:rFonts w:ascii="Times New Roman" w:eastAsia="Calibri" w:hAnsi="Times New Roman"/>
        </w:rPr>
      </w:pPr>
      <w:r w:rsidRPr="0085799C">
        <w:rPr>
          <w:rFonts w:ascii="Times New Roman" w:eastAsia="Calibri" w:hAnsi="Times New Roman"/>
          <w:u w:val="single"/>
        </w:rPr>
        <w:t>Ministerstvo hospodárstva SR</w:t>
      </w:r>
      <w:r w:rsidRPr="0085799C">
        <w:rPr>
          <w:rFonts w:ascii="Times New Roman" w:eastAsia="Calibri" w:hAnsi="Times New Roman"/>
        </w:rPr>
        <w:t xml:space="preserve"> vykázalo hodnotu svojich podielov vo výške 3 080 843 </w:t>
      </w:r>
      <w:r w:rsidR="00E274FF" w:rsidRPr="0085799C">
        <w:rPr>
          <w:rFonts w:ascii="Times New Roman" w:eastAsia="Calibri" w:hAnsi="Times New Roman"/>
        </w:rPr>
        <w:t>tis.</w:t>
      </w:r>
      <w:r w:rsidRPr="0085799C">
        <w:rPr>
          <w:rFonts w:ascii="Times New Roman" w:eastAsia="Calibri" w:hAnsi="Times New Roman"/>
        </w:rPr>
        <w:t xml:space="preserve"> eur a medziročné zvýšenie o 304</w:t>
      </w:r>
      <w:r w:rsidR="00187881" w:rsidRPr="0085799C">
        <w:rPr>
          <w:rFonts w:ascii="Times New Roman" w:eastAsia="Calibri" w:hAnsi="Times New Roman"/>
        </w:rPr>
        <w:t> 300 tis.</w:t>
      </w:r>
      <w:r w:rsidRPr="0085799C">
        <w:rPr>
          <w:rFonts w:ascii="Times New Roman" w:eastAsia="Calibri" w:hAnsi="Times New Roman"/>
        </w:rPr>
        <w:t xml:space="preserve"> eur. Išlo o hodnoty podielov na vlastnom imaní energetických spoločností pri použití oceňovania metódou vlastného imania. Medziročná zmena bola ovplyvnená najmä v dôsledku zvýšenia hodnoty vlastného imania v pridružených spoločnostiach Slovenské elektrárne, a.s. o 243 750 </w:t>
      </w:r>
      <w:r w:rsidR="00187881" w:rsidRPr="0085799C">
        <w:rPr>
          <w:rFonts w:ascii="Times New Roman" w:eastAsia="Calibri" w:hAnsi="Times New Roman"/>
        </w:rPr>
        <w:t>tis.</w:t>
      </w:r>
      <w:r w:rsidRPr="0085799C">
        <w:rPr>
          <w:rFonts w:ascii="Times New Roman" w:eastAsia="Calibri" w:hAnsi="Times New Roman"/>
        </w:rPr>
        <w:t xml:space="preserve"> eur, Stredoslovenská energetika Holding, a.s. o 28</w:t>
      </w:r>
      <w:r w:rsidR="00187881" w:rsidRPr="0085799C">
        <w:rPr>
          <w:rFonts w:ascii="Times New Roman" w:eastAsia="Calibri" w:hAnsi="Times New Roman"/>
        </w:rPr>
        <w:t> </w:t>
      </w:r>
      <w:r w:rsidRPr="0085799C">
        <w:rPr>
          <w:rFonts w:ascii="Times New Roman" w:eastAsia="Calibri" w:hAnsi="Times New Roman"/>
        </w:rPr>
        <w:t>38</w:t>
      </w:r>
      <w:r w:rsidR="00187881" w:rsidRPr="0085799C">
        <w:rPr>
          <w:rFonts w:ascii="Times New Roman" w:eastAsia="Calibri" w:hAnsi="Times New Roman"/>
        </w:rPr>
        <w:t>9 tis.</w:t>
      </w:r>
      <w:r w:rsidRPr="0085799C">
        <w:rPr>
          <w:rFonts w:ascii="Times New Roman" w:eastAsia="Calibri" w:hAnsi="Times New Roman"/>
        </w:rPr>
        <w:t xml:space="preserve"> eur  a tiež Západoslovenská energetika, a.s o 32</w:t>
      </w:r>
      <w:r w:rsidR="00187881" w:rsidRPr="0085799C">
        <w:rPr>
          <w:rFonts w:ascii="Times New Roman" w:eastAsia="Calibri" w:hAnsi="Times New Roman"/>
        </w:rPr>
        <w:t> </w:t>
      </w:r>
      <w:r w:rsidRPr="0085799C">
        <w:rPr>
          <w:rFonts w:ascii="Times New Roman" w:eastAsia="Calibri" w:hAnsi="Times New Roman"/>
        </w:rPr>
        <w:t>16</w:t>
      </w:r>
      <w:r w:rsidR="00187881" w:rsidRPr="0085799C">
        <w:rPr>
          <w:rFonts w:ascii="Times New Roman" w:eastAsia="Calibri" w:hAnsi="Times New Roman"/>
        </w:rPr>
        <w:t>1 tis.</w:t>
      </w:r>
      <w:r w:rsidRPr="0085799C">
        <w:rPr>
          <w:rFonts w:ascii="Times New Roman" w:eastAsia="Calibri" w:hAnsi="Times New Roman"/>
        </w:rPr>
        <w:t xml:space="preserve"> eur. </w:t>
      </w:r>
      <w:r w:rsidRPr="0085799C">
        <w:rPr>
          <w:rFonts w:ascii="Times New Roman" w:eastAsia="Calibri" w:hAnsi="Times New Roman"/>
          <w:u w:val="single"/>
        </w:rPr>
        <w:t>Slovenský plynárenský priemysel, a.s.</w:t>
      </w:r>
      <w:r w:rsidRPr="0085799C">
        <w:rPr>
          <w:rFonts w:ascii="Times New Roman" w:eastAsia="Calibri" w:hAnsi="Times New Roman"/>
        </w:rPr>
        <w:t xml:space="preserve"> vykázal investície v pridruženej spoločnosti SPP </w:t>
      </w:r>
      <w:proofErr w:type="spellStart"/>
      <w:r w:rsidRPr="0085799C">
        <w:rPr>
          <w:rFonts w:ascii="Times New Roman" w:eastAsia="Calibri" w:hAnsi="Times New Roman"/>
        </w:rPr>
        <w:t>Infrastructure</w:t>
      </w:r>
      <w:proofErr w:type="spellEnd"/>
      <w:r w:rsidRPr="0085799C">
        <w:rPr>
          <w:rFonts w:ascii="Times New Roman" w:eastAsia="Calibri" w:hAnsi="Times New Roman"/>
        </w:rPr>
        <w:t xml:space="preserve"> </w:t>
      </w:r>
      <w:proofErr w:type="spellStart"/>
      <w:r w:rsidRPr="0085799C">
        <w:rPr>
          <w:rFonts w:ascii="Times New Roman" w:eastAsia="Calibri" w:hAnsi="Times New Roman"/>
        </w:rPr>
        <w:t>a.s</w:t>
      </w:r>
      <w:proofErr w:type="spellEnd"/>
      <w:r w:rsidRPr="0085799C">
        <w:rPr>
          <w:rFonts w:ascii="Times New Roman" w:eastAsia="Calibri" w:hAnsi="Times New Roman"/>
        </w:rPr>
        <w:t xml:space="preserve">. a v ESCO Slovensko, a.s. a CEBZ </w:t>
      </w:r>
      <w:proofErr w:type="spellStart"/>
      <w:r w:rsidRPr="0085799C">
        <w:rPr>
          <w:rFonts w:ascii="Times New Roman" w:eastAsia="Calibri" w:hAnsi="Times New Roman"/>
        </w:rPr>
        <w:t>s.r.o</w:t>
      </w:r>
      <w:proofErr w:type="spellEnd"/>
      <w:r w:rsidRPr="0085799C">
        <w:rPr>
          <w:rFonts w:ascii="Times New Roman" w:eastAsia="Calibri" w:hAnsi="Times New Roman"/>
        </w:rPr>
        <w:t xml:space="preserve">., ktoré boli konsolidované metódou vlastného imania v objeme 1 463 892 </w:t>
      </w:r>
      <w:r w:rsidR="00187881" w:rsidRPr="0085799C">
        <w:rPr>
          <w:rFonts w:ascii="Times New Roman" w:eastAsia="Calibri" w:hAnsi="Times New Roman"/>
        </w:rPr>
        <w:t>tis.</w:t>
      </w:r>
      <w:r w:rsidRPr="0085799C">
        <w:rPr>
          <w:rFonts w:ascii="Times New Roman" w:eastAsia="Calibri" w:hAnsi="Times New Roman"/>
        </w:rPr>
        <w:t xml:space="preserve"> eur. </w:t>
      </w:r>
      <w:r w:rsidRPr="0085799C">
        <w:rPr>
          <w:rFonts w:ascii="Times New Roman" w:eastAsia="Calibri" w:hAnsi="Times New Roman"/>
          <w:u w:val="single"/>
        </w:rPr>
        <w:t>Jadrová a vyraďovacia spoločnosť, a.s.</w:t>
      </w:r>
      <w:r w:rsidRPr="0085799C">
        <w:rPr>
          <w:rFonts w:ascii="Times New Roman" w:eastAsia="Calibri" w:hAnsi="Times New Roman"/>
        </w:rPr>
        <w:t xml:space="preserve"> vykázala hodnotu podielov v spoločnosti Jadrová energetická spoločnosť Slovenska, a.s. (ďalej aj ako „JESS, a.s.“), ktorá bola od roku 2015 konsolidovaná metódou vlastného imania v</w:t>
      </w:r>
      <w:r w:rsidR="003A3A52" w:rsidRPr="00E03217">
        <w:rPr>
          <w:rFonts w:ascii="Times New Roman" w:eastAsia="Calibri" w:hAnsi="Times New Roman"/>
        </w:rPr>
        <w:t> </w:t>
      </w:r>
      <w:r w:rsidRPr="0085799C">
        <w:rPr>
          <w:rFonts w:ascii="Times New Roman" w:eastAsia="Calibri" w:hAnsi="Times New Roman"/>
        </w:rPr>
        <w:t xml:space="preserve">sume 100 642 </w:t>
      </w:r>
      <w:r w:rsidR="00187881" w:rsidRPr="0085799C">
        <w:rPr>
          <w:rFonts w:ascii="Times New Roman" w:eastAsia="Calibri" w:hAnsi="Times New Roman"/>
        </w:rPr>
        <w:t>tis.</w:t>
      </w:r>
      <w:r w:rsidRPr="0085799C">
        <w:rPr>
          <w:rFonts w:ascii="Times New Roman" w:eastAsia="Calibri" w:hAnsi="Times New Roman"/>
        </w:rPr>
        <w:t xml:space="preserve"> eur. Podiely </w:t>
      </w:r>
      <w:r w:rsidRPr="0085799C">
        <w:rPr>
          <w:rFonts w:ascii="Times New Roman" w:eastAsia="Calibri" w:hAnsi="Times New Roman"/>
          <w:u w:val="single"/>
        </w:rPr>
        <w:t>MH Manažment, a.s.</w:t>
      </w:r>
      <w:r w:rsidRPr="0085799C">
        <w:rPr>
          <w:rFonts w:ascii="Times New Roman" w:eastAsia="Calibri" w:hAnsi="Times New Roman"/>
        </w:rPr>
        <w:t xml:space="preserve"> dosiahli objem 48 300 </w:t>
      </w:r>
      <w:r w:rsidR="00187881" w:rsidRPr="0085799C">
        <w:rPr>
          <w:rFonts w:ascii="Times New Roman" w:eastAsia="Calibri" w:hAnsi="Times New Roman"/>
        </w:rPr>
        <w:t>tis.</w:t>
      </w:r>
      <w:r w:rsidRPr="0085799C">
        <w:rPr>
          <w:rFonts w:ascii="Times New Roman" w:eastAsia="Calibri" w:hAnsi="Times New Roman"/>
        </w:rPr>
        <w:t xml:space="preserve"> eur a medziročne sa znížili o 12 183 </w:t>
      </w:r>
      <w:r w:rsidR="00187881" w:rsidRPr="0085799C">
        <w:rPr>
          <w:rFonts w:ascii="Times New Roman" w:eastAsia="Calibri" w:hAnsi="Times New Roman"/>
        </w:rPr>
        <w:t>tis.</w:t>
      </w:r>
      <w:r w:rsidRPr="0085799C">
        <w:rPr>
          <w:rFonts w:ascii="Times New Roman" w:eastAsia="Calibri" w:hAnsi="Times New Roman"/>
        </w:rPr>
        <w:t xml:space="preserve"> eur, čo súvisí so znížením hodnoty majetku niektorých pridružených spoločností.</w:t>
      </w:r>
    </w:p>
    <w:p w14:paraId="114400F1" w14:textId="4F85F8AF" w:rsidR="00647542" w:rsidRPr="0085799C" w:rsidRDefault="7F788FD6" w:rsidP="0085799C">
      <w:pPr>
        <w:spacing w:after="120" w:line="240" w:lineRule="auto"/>
        <w:jc w:val="both"/>
        <w:rPr>
          <w:rFonts w:ascii="Times New Roman" w:eastAsia="Calibri" w:hAnsi="Times New Roman"/>
        </w:rPr>
      </w:pPr>
      <w:r w:rsidRPr="0085799C">
        <w:rPr>
          <w:rFonts w:ascii="Times New Roman" w:eastAsia="Calibri" w:hAnsi="Times New Roman"/>
          <w:u w:val="single"/>
        </w:rPr>
        <w:t xml:space="preserve">National </w:t>
      </w:r>
      <w:proofErr w:type="spellStart"/>
      <w:r w:rsidRPr="0085799C">
        <w:rPr>
          <w:rFonts w:ascii="Times New Roman" w:eastAsia="Calibri" w:hAnsi="Times New Roman"/>
          <w:u w:val="single"/>
        </w:rPr>
        <w:t>Development</w:t>
      </w:r>
      <w:proofErr w:type="spellEnd"/>
      <w:r w:rsidRPr="0085799C">
        <w:rPr>
          <w:rFonts w:ascii="Times New Roman" w:eastAsia="Calibri" w:hAnsi="Times New Roman"/>
          <w:u w:val="single"/>
        </w:rPr>
        <w:t xml:space="preserve"> </w:t>
      </w:r>
      <w:proofErr w:type="spellStart"/>
      <w:r w:rsidRPr="0085799C">
        <w:rPr>
          <w:rFonts w:ascii="Times New Roman" w:eastAsia="Calibri" w:hAnsi="Times New Roman"/>
          <w:u w:val="single"/>
        </w:rPr>
        <w:t>Fund</w:t>
      </w:r>
      <w:proofErr w:type="spellEnd"/>
      <w:r w:rsidRPr="0085799C">
        <w:rPr>
          <w:rFonts w:ascii="Times New Roman" w:eastAsia="Calibri" w:hAnsi="Times New Roman"/>
          <w:u w:val="single"/>
        </w:rPr>
        <w:t xml:space="preserve"> II., a.s.</w:t>
      </w:r>
      <w:r w:rsidRPr="00A7107D">
        <w:rPr>
          <w:rFonts w:ascii="Times New Roman" w:eastAsia="Calibri" w:hAnsi="Times New Roman"/>
        </w:rPr>
        <w:t xml:space="preserve"> </w:t>
      </w:r>
      <w:r w:rsidRPr="0085799C">
        <w:rPr>
          <w:rFonts w:ascii="Times New Roman" w:eastAsia="Calibri" w:hAnsi="Times New Roman"/>
        </w:rPr>
        <w:t>vykázal na tejto položke aktív hodnotu 47</w:t>
      </w:r>
      <w:r w:rsidR="00187881" w:rsidRPr="0085799C">
        <w:rPr>
          <w:rFonts w:ascii="Times New Roman" w:eastAsia="Calibri" w:hAnsi="Times New Roman"/>
        </w:rPr>
        <w:t> </w:t>
      </w:r>
      <w:r w:rsidRPr="0085799C">
        <w:rPr>
          <w:rFonts w:ascii="Times New Roman" w:eastAsia="Calibri" w:hAnsi="Times New Roman"/>
        </w:rPr>
        <w:t>50</w:t>
      </w:r>
      <w:r w:rsidR="00187881" w:rsidRPr="0085799C">
        <w:rPr>
          <w:rFonts w:ascii="Times New Roman" w:eastAsia="Calibri" w:hAnsi="Times New Roman"/>
        </w:rPr>
        <w:t>2</w:t>
      </w:r>
      <w:r w:rsidR="00E03217" w:rsidRPr="00E03217">
        <w:rPr>
          <w:rFonts w:ascii="Times New Roman" w:eastAsia="Calibri" w:hAnsi="Times New Roman"/>
        </w:rPr>
        <w:t> </w:t>
      </w:r>
      <w:r w:rsidR="00187881" w:rsidRPr="0085799C">
        <w:rPr>
          <w:rFonts w:ascii="Times New Roman" w:eastAsia="Calibri" w:hAnsi="Times New Roman"/>
        </w:rPr>
        <w:t>tis.</w:t>
      </w:r>
      <w:r w:rsidR="00E03217" w:rsidRPr="00E03217">
        <w:rPr>
          <w:rFonts w:ascii="Times New Roman" w:eastAsia="Calibri" w:hAnsi="Times New Roman"/>
        </w:rPr>
        <w:t> </w:t>
      </w:r>
      <w:r w:rsidRPr="0085799C">
        <w:rPr>
          <w:rFonts w:ascii="Times New Roman" w:eastAsia="Calibri" w:hAnsi="Times New Roman"/>
        </w:rPr>
        <w:t xml:space="preserve">eur podielov v uzavretých fondoch rizikového kapitálu, ktoré sú určené pre profesionálnych investorov a ktoré sa špecializujú na investovanie do spoločností v počiatočnej fáze podnikania, pôsobiacich v oblasti výskumu a inovácií a v oblasti odpadového hospodárstva a obnoviteľných zdrojov energie. </w:t>
      </w:r>
    </w:p>
    <w:p w14:paraId="40742759" w14:textId="77777777" w:rsidR="00647542" w:rsidRPr="00E03217" w:rsidRDefault="00647542" w:rsidP="00E03217">
      <w:pPr>
        <w:tabs>
          <w:tab w:val="num" w:pos="0"/>
        </w:tabs>
        <w:spacing w:after="120" w:line="240" w:lineRule="auto"/>
        <w:jc w:val="both"/>
        <w:rPr>
          <w:rFonts w:ascii="Times New Roman" w:hAnsi="Times New Roman"/>
          <w:i/>
          <w:szCs w:val="22"/>
          <w:u w:val="single"/>
          <w:lang w:eastAsia="sk-SK"/>
        </w:rPr>
      </w:pPr>
      <w:r w:rsidRPr="00E03217">
        <w:rPr>
          <w:rFonts w:ascii="Times New Roman" w:hAnsi="Times New Roman"/>
          <w:i/>
          <w:szCs w:val="22"/>
          <w:u w:val="single"/>
          <w:lang w:eastAsia="sk-SK"/>
        </w:rPr>
        <w:t>Realizovateľné cenné papiere</w:t>
      </w:r>
    </w:p>
    <w:p w14:paraId="04751B36" w14:textId="252111D9" w:rsidR="001324E1" w:rsidRPr="0085799C" w:rsidRDefault="0A34CA81" w:rsidP="0085799C">
      <w:pPr>
        <w:spacing w:after="120" w:line="240" w:lineRule="auto"/>
        <w:jc w:val="both"/>
        <w:rPr>
          <w:rFonts w:ascii="Times New Roman" w:eastAsia="Calibri" w:hAnsi="Times New Roman"/>
          <w:szCs w:val="22"/>
        </w:rPr>
      </w:pPr>
      <w:r w:rsidRPr="0085799C">
        <w:rPr>
          <w:rFonts w:ascii="Times New Roman" w:eastAsia="Calibri" w:hAnsi="Times New Roman"/>
          <w:szCs w:val="22"/>
        </w:rPr>
        <w:t xml:space="preserve">Realizovateľné cenné papiere znamenajú podiely v obchodnej spoločnosti v objeme menej ako 20 % na základnom imaní a dosiahli hodnotu </w:t>
      </w:r>
      <w:r w:rsidR="00BB38C3" w:rsidRPr="0085799C">
        <w:rPr>
          <w:rFonts w:ascii="Times New Roman" w:eastAsia="Calibri" w:hAnsi="Times New Roman"/>
          <w:szCs w:val="22"/>
        </w:rPr>
        <w:t>867 361 tis.</w:t>
      </w:r>
      <w:r w:rsidRPr="0085799C">
        <w:rPr>
          <w:rFonts w:ascii="Times New Roman" w:eastAsia="Calibri" w:hAnsi="Times New Roman"/>
          <w:szCs w:val="22"/>
        </w:rPr>
        <w:t xml:space="preserve"> eur. </w:t>
      </w:r>
      <w:r w:rsidR="00024CE8" w:rsidRPr="0085799C">
        <w:rPr>
          <w:rFonts w:ascii="Times New Roman" w:eastAsia="Calibri" w:hAnsi="Times New Roman"/>
          <w:szCs w:val="22"/>
        </w:rPr>
        <w:t xml:space="preserve">Z celkovej hodnoty vlastnia rozhodujúcu hodnotu obce, a to </w:t>
      </w:r>
      <w:r w:rsidR="002526BA" w:rsidRPr="0085799C">
        <w:rPr>
          <w:rFonts w:ascii="Times New Roman" w:eastAsia="Calibri" w:hAnsi="Times New Roman"/>
          <w:szCs w:val="22"/>
        </w:rPr>
        <w:t>784 637</w:t>
      </w:r>
      <w:r w:rsidR="00024CE8" w:rsidRPr="0085799C">
        <w:rPr>
          <w:rFonts w:ascii="Times New Roman" w:eastAsia="Calibri" w:hAnsi="Times New Roman"/>
          <w:szCs w:val="22"/>
        </w:rPr>
        <w:t xml:space="preserve"> tis. eur, ako minoritné podiely v obchodných spoločnostiach pôsobiacich v oblasti dodávky vody, výroby tepla a osobnej prepravy.</w:t>
      </w:r>
    </w:p>
    <w:p w14:paraId="4916B6CA" w14:textId="77777777" w:rsidR="00647542" w:rsidRPr="00E03217" w:rsidRDefault="00647542" w:rsidP="00E03217">
      <w:pPr>
        <w:spacing w:after="120" w:line="240" w:lineRule="auto"/>
        <w:jc w:val="both"/>
        <w:rPr>
          <w:rFonts w:ascii="Times New Roman" w:hAnsi="Times New Roman"/>
          <w:i/>
          <w:szCs w:val="22"/>
          <w:u w:val="single"/>
          <w:lang w:eastAsia="sk-SK"/>
        </w:rPr>
      </w:pPr>
      <w:r w:rsidRPr="00E03217">
        <w:rPr>
          <w:rFonts w:ascii="Times New Roman" w:hAnsi="Times New Roman"/>
          <w:i/>
          <w:szCs w:val="22"/>
          <w:u w:val="single"/>
          <w:lang w:eastAsia="sk-SK"/>
        </w:rPr>
        <w:t>Podielové cenné papiere a podiely v dcérskej účtovnej jednotke</w:t>
      </w:r>
    </w:p>
    <w:p w14:paraId="608680D4" w14:textId="2458CAC8" w:rsidR="00647542" w:rsidRPr="00E03217" w:rsidRDefault="00647542" w:rsidP="00E03217">
      <w:pPr>
        <w:spacing w:after="120" w:line="240" w:lineRule="auto"/>
        <w:jc w:val="both"/>
        <w:rPr>
          <w:rFonts w:ascii="Times New Roman" w:hAnsi="Times New Roman"/>
          <w:szCs w:val="22"/>
          <w:lang w:eastAsia="sk-SK"/>
        </w:rPr>
      </w:pPr>
      <w:r w:rsidRPr="00E03217">
        <w:rPr>
          <w:rFonts w:ascii="Times New Roman" w:hAnsi="Times New Roman"/>
          <w:szCs w:val="22"/>
          <w:lang w:eastAsia="sk-SK"/>
        </w:rPr>
        <w:t>V rámci tejto položky dlhodobého finančného majetku sa vykazujú majetkové účasti v obchodných spoločnostiach, ktoré predstavujú minimálne 51</w:t>
      </w:r>
      <w:r w:rsidR="005F45E7" w:rsidRPr="00E03217">
        <w:rPr>
          <w:rFonts w:ascii="Times New Roman" w:hAnsi="Times New Roman"/>
          <w:szCs w:val="22"/>
          <w:lang w:eastAsia="sk-SK"/>
        </w:rPr>
        <w:t xml:space="preserve"> </w:t>
      </w:r>
      <w:r w:rsidRPr="00E03217">
        <w:rPr>
          <w:rFonts w:ascii="Times New Roman" w:hAnsi="Times New Roman"/>
          <w:szCs w:val="22"/>
          <w:lang w:eastAsia="sk-SK"/>
        </w:rPr>
        <w:t>% podiel na ich vlastnom imaní a ktoré neboli predmetom konsolidácie.</w:t>
      </w:r>
      <w:r w:rsidRPr="00E03217">
        <w:rPr>
          <w:rFonts w:ascii="Times New Roman" w:hAnsi="Times New Roman"/>
          <w:color w:val="FF0000"/>
          <w:szCs w:val="22"/>
          <w:lang w:eastAsia="sk-SK"/>
        </w:rPr>
        <w:t xml:space="preserve"> </w:t>
      </w:r>
    </w:p>
    <w:p w14:paraId="2C067B22" w14:textId="23FE237A" w:rsidR="00647542" w:rsidRPr="0085799C" w:rsidRDefault="0A5479CC" w:rsidP="0085799C">
      <w:pPr>
        <w:spacing w:after="120" w:line="240" w:lineRule="auto"/>
        <w:jc w:val="both"/>
        <w:rPr>
          <w:rFonts w:ascii="Times New Roman" w:eastAsia="Calibri" w:hAnsi="Times New Roman"/>
        </w:rPr>
      </w:pPr>
      <w:r w:rsidRPr="0085799C">
        <w:rPr>
          <w:rFonts w:ascii="Times New Roman" w:eastAsia="Calibri" w:hAnsi="Times New Roman"/>
        </w:rPr>
        <w:t>Podielové cenné papiere a podiely v dcérskych účtovných jednotkách predstavovali k 31. decembru 2024 hodnotu 20</w:t>
      </w:r>
      <w:r w:rsidR="00E11E8E" w:rsidRPr="0085799C">
        <w:rPr>
          <w:rFonts w:ascii="Times New Roman" w:eastAsia="Calibri" w:hAnsi="Times New Roman"/>
        </w:rPr>
        <w:t>9 781 tis.</w:t>
      </w:r>
      <w:r w:rsidRPr="0085799C">
        <w:rPr>
          <w:rFonts w:ascii="Times New Roman" w:eastAsia="Calibri" w:hAnsi="Times New Roman"/>
        </w:rPr>
        <w:t xml:space="preserve"> eur, čo je medziročne </w:t>
      </w:r>
      <w:r w:rsidR="006F14A7" w:rsidRPr="0085799C">
        <w:rPr>
          <w:rFonts w:ascii="Times New Roman" w:eastAsia="Calibri" w:hAnsi="Times New Roman"/>
        </w:rPr>
        <w:t>menej</w:t>
      </w:r>
      <w:r w:rsidRPr="0085799C">
        <w:rPr>
          <w:rFonts w:ascii="Times New Roman" w:eastAsia="Calibri" w:hAnsi="Times New Roman"/>
        </w:rPr>
        <w:t xml:space="preserve"> o</w:t>
      </w:r>
      <w:r w:rsidR="006F14A7" w:rsidRPr="0085799C">
        <w:rPr>
          <w:rFonts w:ascii="Times New Roman" w:eastAsia="Calibri" w:hAnsi="Times New Roman"/>
        </w:rPr>
        <w:t> 76 956 tis.</w:t>
      </w:r>
      <w:r w:rsidRPr="0085799C">
        <w:rPr>
          <w:rFonts w:ascii="Times New Roman" w:eastAsia="Calibri" w:hAnsi="Times New Roman"/>
        </w:rPr>
        <w:t xml:space="preserve"> eur. Z</w:t>
      </w:r>
      <w:r w:rsidR="009D3496" w:rsidRPr="0085799C">
        <w:rPr>
          <w:rFonts w:ascii="Times New Roman" w:eastAsia="Calibri" w:hAnsi="Times New Roman"/>
        </w:rPr>
        <w:t> celkovej</w:t>
      </w:r>
      <w:r w:rsidRPr="0085799C">
        <w:rPr>
          <w:rFonts w:ascii="Times New Roman" w:eastAsia="Calibri" w:hAnsi="Times New Roman"/>
        </w:rPr>
        <w:t xml:space="preserve"> hodnoty </w:t>
      </w:r>
      <w:r w:rsidR="009D3496" w:rsidRPr="0085799C">
        <w:rPr>
          <w:rFonts w:ascii="Times New Roman" w:eastAsia="Calibri" w:hAnsi="Times New Roman"/>
        </w:rPr>
        <w:t xml:space="preserve">súhrnného celku vykazuje </w:t>
      </w:r>
      <w:r w:rsidR="00B105EF" w:rsidRPr="0085799C">
        <w:rPr>
          <w:rFonts w:ascii="Times New Roman" w:eastAsia="Calibri" w:hAnsi="Times New Roman"/>
        </w:rPr>
        <w:t>najvyššiu hodnotu ústredná správa</w:t>
      </w:r>
      <w:r w:rsidR="00823E37" w:rsidRPr="0085799C">
        <w:rPr>
          <w:rFonts w:ascii="Times New Roman" w:eastAsia="Calibri" w:hAnsi="Times New Roman"/>
        </w:rPr>
        <w:t xml:space="preserve"> v sume 202 414 tis.</w:t>
      </w:r>
      <w:r w:rsidR="00B105EF" w:rsidRPr="0085799C">
        <w:rPr>
          <w:rFonts w:ascii="Times New Roman" w:eastAsia="Calibri" w:hAnsi="Times New Roman"/>
        </w:rPr>
        <w:t xml:space="preserve"> a v rámci</w:t>
      </w:r>
      <w:r w:rsidRPr="0085799C">
        <w:rPr>
          <w:rFonts w:ascii="Times New Roman" w:eastAsia="Calibri" w:hAnsi="Times New Roman"/>
        </w:rPr>
        <w:t xml:space="preserve"> ústrednej správy vykazuje najvyššiu hodnotu spoločnosť </w:t>
      </w:r>
      <w:r w:rsidRPr="0085799C">
        <w:rPr>
          <w:rFonts w:ascii="Times New Roman" w:eastAsia="Calibri" w:hAnsi="Times New Roman"/>
          <w:u w:val="single"/>
        </w:rPr>
        <w:t>MH Manažment, a.s.</w:t>
      </w:r>
      <w:r w:rsidRPr="0085799C">
        <w:rPr>
          <w:rFonts w:ascii="Times New Roman" w:eastAsia="Calibri" w:hAnsi="Times New Roman"/>
        </w:rPr>
        <w:t>, a to 201</w:t>
      </w:r>
      <w:r w:rsidR="00B105EF" w:rsidRPr="0085799C">
        <w:rPr>
          <w:rFonts w:ascii="Times New Roman" w:eastAsia="Calibri" w:hAnsi="Times New Roman"/>
        </w:rPr>
        <w:t> </w:t>
      </w:r>
      <w:r w:rsidRPr="0085799C">
        <w:rPr>
          <w:rFonts w:ascii="Times New Roman" w:eastAsia="Calibri" w:hAnsi="Times New Roman"/>
        </w:rPr>
        <w:t>11</w:t>
      </w:r>
      <w:r w:rsidR="00B105EF" w:rsidRPr="0085799C">
        <w:rPr>
          <w:rFonts w:ascii="Times New Roman" w:eastAsia="Calibri" w:hAnsi="Times New Roman"/>
        </w:rPr>
        <w:t>9 tis.</w:t>
      </w:r>
      <w:r w:rsidRPr="0085799C">
        <w:rPr>
          <w:rFonts w:ascii="Times New Roman" w:eastAsia="Calibri" w:hAnsi="Times New Roman"/>
        </w:rPr>
        <w:t xml:space="preserve"> eur</w:t>
      </w:r>
      <w:r w:rsidR="00FF7736" w:rsidRPr="0085799C">
        <w:rPr>
          <w:rFonts w:ascii="Times New Roman" w:eastAsia="Calibri" w:hAnsi="Times New Roman"/>
        </w:rPr>
        <w:t xml:space="preserve">, </w:t>
      </w:r>
      <w:r w:rsidR="00FF7736" w:rsidRPr="00E03217">
        <w:rPr>
          <w:rFonts w:ascii="Times New Roman" w:hAnsi="Times New Roman"/>
          <w:lang w:eastAsia="sk-SK"/>
        </w:rPr>
        <w:t>ktorý spravuje podiely v 1</w:t>
      </w:r>
      <w:r w:rsidR="000A6F7F" w:rsidRPr="0085799C">
        <w:rPr>
          <w:rFonts w:ascii="Times New Roman" w:hAnsi="Times New Roman"/>
          <w:lang w:eastAsia="sk-SK"/>
        </w:rPr>
        <w:t>8</w:t>
      </w:r>
      <w:r w:rsidR="00FF7736" w:rsidRPr="00E03217">
        <w:rPr>
          <w:rFonts w:ascii="Times New Roman" w:hAnsi="Times New Roman"/>
          <w:lang w:eastAsia="sk-SK"/>
        </w:rPr>
        <w:t xml:space="preserve"> obchodných spoločnostiach.</w:t>
      </w:r>
      <w:r w:rsidRPr="0085799C">
        <w:rPr>
          <w:rFonts w:ascii="Times New Roman" w:eastAsia="Calibri" w:hAnsi="Times New Roman"/>
        </w:rPr>
        <w:t xml:space="preserve"> </w:t>
      </w:r>
    </w:p>
    <w:p w14:paraId="6973B231" w14:textId="77777777" w:rsidR="005964BF" w:rsidRPr="00E03217" w:rsidRDefault="005964BF" w:rsidP="00E03217">
      <w:pPr>
        <w:spacing w:after="120" w:line="240" w:lineRule="auto"/>
        <w:jc w:val="both"/>
        <w:rPr>
          <w:rFonts w:ascii="Times New Roman" w:hAnsi="Times New Roman"/>
          <w:szCs w:val="22"/>
          <w:lang w:eastAsia="sk-SK"/>
        </w:rPr>
      </w:pPr>
    </w:p>
    <w:p w14:paraId="794C02D8" w14:textId="05AC661F" w:rsidR="005964BF" w:rsidRPr="008076D9" w:rsidRDefault="00F2164E" w:rsidP="0085799C">
      <w:pPr>
        <w:pStyle w:val="Nadpis4"/>
        <w:numPr>
          <w:ilvl w:val="0"/>
          <w:numId w:val="54"/>
        </w:numPr>
        <w:ind w:left="426" w:hanging="426"/>
        <w:rPr>
          <w:lang w:eastAsia="sk-SK"/>
        </w:rPr>
      </w:pPr>
      <w:bookmarkStart w:id="19" w:name="_Dlhodobé_pôžičky"/>
      <w:bookmarkEnd w:id="19"/>
      <w:r>
        <w:rPr>
          <w:lang w:eastAsia="sk-SK"/>
        </w:rPr>
        <w:t>Dlhodobé pôžičky</w:t>
      </w:r>
    </w:p>
    <w:p w14:paraId="55EAA1BC" w14:textId="11116B20" w:rsidR="00647542" w:rsidRPr="0085799C" w:rsidRDefault="00647542" w:rsidP="0085799C">
      <w:pPr>
        <w:pStyle w:val="Pismenka"/>
        <w:tabs>
          <w:tab w:val="clear" w:pos="426"/>
        </w:tabs>
        <w:spacing w:after="120"/>
        <w:ind w:left="0" w:firstLine="0"/>
        <w:rPr>
          <w:rFonts w:eastAsia="Calibri"/>
          <w:sz w:val="22"/>
          <w:szCs w:val="22"/>
        </w:rPr>
      </w:pPr>
      <w:r w:rsidRPr="00E03217">
        <w:rPr>
          <w:b w:val="0"/>
          <w:bCs w:val="0"/>
          <w:sz w:val="22"/>
          <w:szCs w:val="22"/>
        </w:rPr>
        <w:t xml:space="preserve">V rámci dlhodobých pôžičiek v celkovej hodnote </w:t>
      </w:r>
      <w:r w:rsidR="00C0493D" w:rsidRPr="0085799C">
        <w:rPr>
          <w:rFonts w:eastAsia="Calibri"/>
          <w:b w:val="0"/>
          <w:sz w:val="22"/>
          <w:szCs w:val="22"/>
        </w:rPr>
        <w:t>1 603 22</w:t>
      </w:r>
      <w:r w:rsidR="00EF2D76">
        <w:rPr>
          <w:rFonts w:eastAsia="Calibri"/>
          <w:b w:val="0"/>
          <w:sz w:val="22"/>
          <w:szCs w:val="22"/>
        </w:rPr>
        <w:t>2</w:t>
      </w:r>
      <w:r w:rsidR="00C0493D" w:rsidRPr="0085799C">
        <w:rPr>
          <w:rFonts w:eastAsia="Calibri"/>
          <w:b w:val="0"/>
          <w:sz w:val="22"/>
          <w:szCs w:val="22"/>
        </w:rPr>
        <w:t xml:space="preserve"> tis.</w:t>
      </w:r>
      <w:r w:rsidR="775D5EAB" w:rsidRPr="0085799C">
        <w:rPr>
          <w:rFonts w:eastAsia="Calibri"/>
          <w:b w:val="0"/>
          <w:sz w:val="22"/>
          <w:szCs w:val="22"/>
        </w:rPr>
        <w:t xml:space="preserve"> eur zaznamenali medziročný nárast o</w:t>
      </w:r>
      <w:r w:rsidR="00C0493D" w:rsidRPr="0085799C">
        <w:rPr>
          <w:rFonts w:eastAsia="Calibri"/>
          <w:b w:val="0"/>
          <w:sz w:val="22"/>
          <w:szCs w:val="22"/>
        </w:rPr>
        <w:t> 101 929 tis.</w:t>
      </w:r>
      <w:r w:rsidR="775D5EAB" w:rsidRPr="0085799C">
        <w:rPr>
          <w:rFonts w:eastAsia="Calibri"/>
          <w:b w:val="0"/>
          <w:sz w:val="22"/>
          <w:szCs w:val="22"/>
        </w:rPr>
        <w:t xml:space="preserve"> eur. Išlo o úvery a pôžičky v sume nesplatenej istiny po zohľadnení opravných položiek. Najvýznamnejšiu hodnotu vykázal </w:t>
      </w:r>
      <w:r w:rsidR="775D5EAB" w:rsidRPr="0085799C">
        <w:rPr>
          <w:rFonts w:eastAsia="Calibri"/>
          <w:b w:val="0"/>
          <w:sz w:val="22"/>
          <w:szCs w:val="22"/>
          <w:u w:val="single"/>
        </w:rPr>
        <w:t>Štátny fond rozvoja bývania</w:t>
      </w:r>
      <w:r w:rsidR="775D5EAB" w:rsidRPr="0085799C">
        <w:rPr>
          <w:rFonts w:eastAsia="Calibri"/>
          <w:b w:val="0"/>
          <w:sz w:val="22"/>
          <w:szCs w:val="22"/>
        </w:rPr>
        <w:t xml:space="preserve"> (</w:t>
      </w:r>
      <w:r w:rsidR="00B25061" w:rsidRPr="0085799C">
        <w:rPr>
          <w:rFonts w:eastAsia="Calibri"/>
          <w:b w:val="0"/>
          <w:sz w:val="22"/>
          <w:szCs w:val="22"/>
        </w:rPr>
        <w:t>1</w:t>
      </w:r>
      <w:r w:rsidR="00E03217" w:rsidRPr="0085799C">
        <w:rPr>
          <w:rFonts w:eastAsia="Calibri"/>
          <w:b w:val="0"/>
          <w:sz w:val="22"/>
          <w:szCs w:val="22"/>
        </w:rPr>
        <w:t> </w:t>
      </w:r>
      <w:r w:rsidR="00130A16" w:rsidRPr="001A67CA">
        <w:rPr>
          <w:rFonts w:eastAsia="Calibri"/>
          <w:b w:val="0"/>
          <w:sz w:val="22"/>
          <w:szCs w:val="22"/>
        </w:rPr>
        <w:t>503</w:t>
      </w:r>
      <w:r w:rsidR="00E03217" w:rsidRPr="0085799C">
        <w:rPr>
          <w:rFonts w:eastAsia="Calibri"/>
          <w:b w:val="0"/>
          <w:sz w:val="22"/>
          <w:szCs w:val="22"/>
        </w:rPr>
        <w:t> </w:t>
      </w:r>
      <w:r w:rsidR="00130A16" w:rsidRPr="001A67CA">
        <w:rPr>
          <w:rFonts w:eastAsia="Calibri"/>
          <w:b w:val="0"/>
          <w:sz w:val="22"/>
          <w:szCs w:val="22"/>
        </w:rPr>
        <w:t>222</w:t>
      </w:r>
      <w:r w:rsidR="00E03217" w:rsidRPr="001A67CA">
        <w:rPr>
          <w:rFonts w:eastAsia="Calibri"/>
          <w:b w:val="0"/>
          <w:sz w:val="22"/>
          <w:szCs w:val="22"/>
        </w:rPr>
        <w:t> </w:t>
      </w:r>
      <w:r w:rsidR="00B36BA3" w:rsidRPr="0085799C">
        <w:rPr>
          <w:rFonts w:eastAsia="Calibri"/>
          <w:b w:val="0"/>
          <w:sz w:val="22"/>
          <w:szCs w:val="22"/>
        </w:rPr>
        <w:t>tis.</w:t>
      </w:r>
      <w:r w:rsidR="00E03217" w:rsidRPr="001A67CA">
        <w:rPr>
          <w:rFonts w:eastAsia="Calibri"/>
          <w:b w:val="0"/>
          <w:sz w:val="22"/>
          <w:szCs w:val="22"/>
        </w:rPr>
        <w:t> </w:t>
      </w:r>
      <w:r w:rsidR="775D5EAB" w:rsidRPr="0085799C">
        <w:rPr>
          <w:rFonts w:eastAsia="Calibri"/>
          <w:b w:val="0"/>
          <w:sz w:val="22"/>
          <w:szCs w:val="22"/>
        </w:rPr>
        <w:t>eur</w:t>
      </w:r>
      <w:r w:rsidR="00AB4FE0" w:rsidRPr="0085799C">
        <w:rPr>
          <w:rFonts w:eastAsia="Calibri"/>
          <w:b w:val="0"/>
          <w:sz w:val="22"/>
          <w:szCs w:val="22"/>
        </w:rPr>
        <w:t xml:space="preserve">). </w:t>
      </w:r>
      <w:r w:rsidR="775D5EAB" w:rsidRPr="0085799C">
        <w:rPr>
          <w:rFonts w:eastAsia="Calibri"/>
          <w:b w:val="0"/>
          <w:sz w:val="22"/>
          <w:szCs w:val="22"/>
        </w:rPr>
        <w:t xml:space="preserve">Ide o poskytnuté úvery. Medziročný nárast, je z dôvodu zvýšeného záujmu o úvery zo Štátneho fondu rozvoja a bývania, k čomu dopomohli aj nové projekty určené </w:t>
      </w:r>
      <w:r w:rsidR="004168CF" w:rsidRPr="001A67CA">
        <w:rPr>
          <w:rFonts w:eastAsia="Calibri"/>
          <w:b w:val="0"/>
          <w:sz w:val="22"/>
          <w:szCs w:val="22"/>
        </w:rPr>
        <w:t>pre</w:t>
      </w:r>
      <w:r w:rsidR="775D5EAB" w:rsidRPr="0085799C">
        <w:rPr>
          <w:rFonts w:eastAsia="Calibri"/>
          <w:b w:val="0"/>
          <w:sz w:val="22"/>
          <w:szCs w:val="22"/>
        </w:rPr>
        <w:t xml:space="preserve"> právnické osoby, ktoré sú financované z európskych fondov (najmä Program Slovensko).</w:t>
      </w:r>
      <w:r w:rsidR="775D5EAB" w:rsidRPr="0085799C">
        <w:rPr>
          <w:rFonts w:eastAsia="Calibri"/>
          <w:sz w:val="22"/>
          <w:szCs w:val="22"/>
        </w:rPr>
        <w:t xml:space="preserve"> </w:t>
      </w:r>
    </w:p>
    <w:p w14:paraId="69AD7A62" w14:textId="07F00355" w:rsidR="00647542" w:rsidRPr="0085799C" w:rsidRDefault="775D5EAB" w:rsidP="0085799C">
      <w:pPr>
        <w:spacing w:after="120" w:line="240" w:lineRule="auto"/>
        <w:jc w:val="both"/>
        <w:rPr>
          <w:rFonts w:ascii="Times New Roman" w:eastAsia="Calibri" w:hAnsi="Times New Roman"/>
        </w:rPr>
      </w:pPr>
      <w:r w:rsidRPr="0085799C">
        <w:rPr>
          <w:rFonts w:ascii="Times New Roman" w:eastAsia="Calibri" w:hAnsi="Times New Roman"/>
        </w:rPr>
        <w:t xml:space="preserve">Spoločnosť </w:t>
      </w:r>
      <w:r w:rsidRPr="0085799C">
        <w:rPr>
          <w:rFonts w:ascii="Times New Roman" w:eastAsia="Calibri" w:hAnsi="Times New Roman"/>
          <w:u w:val="single"/>
        </w:rPr>
        <w:t xml:space="preserve">National </w:t>
      </w:r>
      <w:proofErr w:type="spellStart"/>
      <w:r w:rsidRPr="0085799C">
        <w:rPr>
          <w:rFonts w:ascii="Times New Roman" w:eastAsia="Calibri" w:hAnsi="Times New Roman"/>
          <w:u w:val="single"/>
        </w:rPr>
        <w:t>Development</w:t>
      </w:r>
      <w:proofErr w:type="spellEnd"/>
      <w:r w:rsidRPr="0085799C">
        <w:rPr>
          <w:rFonts w:ascii="Times New Roman" w:eastAsia="Calibri" w:hAnsi="Times New Roman"/>
          <w:u w:val="single"/>
        </w:rPr>
        <w:t xml:space="preserve"> </w:t>
      </w:r>
      <w:proofErr w:type="spellStart"/>
      <w:r w:rsidRPr="0085799C">
        <w:rPr>
          <w:rFonts w:ascii="Times New Roman" w:eastAsia="Calibri" w:hAnsi="Times New Roman"/>
          <w:u w:val="single"/>
        </w:rPr>
        <w:t>Fund</w:t>
      </w:r>
      <w:proofErr w:type="spellEnd"/>
      <w:r w:rsidRPr="0085799C">
        <w:rPr>
          <w:rFonts w:ascii="Times New Roman" w:eastAsia="Calibri" w:hAnsi="Times New Roman"/>
          <w:u w:val="single"/>
        </w:rPr>
        <w:t xml:space="preserve"> II., a.s.</w:t>
      </w:r>
      <w:r w:rsidRPr="0085799C">
        <w:rPr>
          <w:rFonts w:ascii="Times New Roman" w:eastAsia="Calibri" w:hAnsi="Times New Roman"/>
        </w:rPr>
        <w:t xml:space="preserve"> vykázala ostatné pôžičky vo výške </w:t>
      </w:r>
      <w:r w:rsidR="00F11830" w:rsidRPr="001A67CA">
        <w:rPr>
          <w:rFonts w:ascii="Times New Roman" w:eastAsia="Calibri" w:hAnsi="Times New Roman"/>
        </w:rPr>
        <w:t>42</w:t>
      </w:r>
      <w:r w:rsidR="00E03217" w:rsidRPr="0085799C">
        <w:rPr>
          <w:rFonts w:ascii="Times New Roman" w:eastAsia="Calibri" w:hAnsi="Times New Roman"/>
          <w:szCs w:val="22"/>
        </w:rPr>
        <w:t> </w:t>
      </w:r>
      <w:r w:rsidR="003A2279" w:rsidRPr="001A67CA">
        <w:rPr>
          <w:rFonts w:ascii="Times New Roman" w:eastAsia="Calibri" w:hAnsi="Times New Roman"/>
        </w:rPr>
        <w:t>780</w:t>
      </w:r>
      <w:r w:rsidR="00E03217" w:rsidRPr="001A67CA">
        <w:rPr>
          <w:rFonts w:ascii="Times New Roman" w:eastAsia="Calibri" w:hAnsi="Times New Roman"/>
          <w:szCs w:val="22"/>
        </w:rPr>
        <w:t> </w:t>
      </w:r>
      <w:r w:rsidR="00BA5273" w:rsidRPr="0085799C">
        <w:rPr>
          <w:rFonts w:ascii="Times New Roman" w:eastAsia="Calibri" w:hAnsi="Times New Roman"/>
        </w:rPr>
        <w:t>tis.</w:t>
      </w:r>
      <w:r w:rsidR="00E03217" w:rsidRPr="001A67CA">
        <w:rPr>
          <w:rFonts w:ascii="Times New Roman" w:eastAsia="Calibri" w:hAnsi="Times New Roman"/>
          <w:szCs w:val="22"/>
        </w:rPr>
        <w:t> </w:t>
      </w:r>
      <w:r w:rsidRPr="0085799C">
        <w:rPr>
          <w:rFonts w:ascii="Times New Roman" w:eastAsia="Calibri" w:hAnsi="Times New Roman"/>
        </w:rPr>
        <w:t>eur, pričom išlo o poskytnuté konvertibilné, splátkové a mezanínové úvery spoločnostiam v zmysle investičnej stratégie. Cieľové spoločnosti pôsobia prevažne v oblasti cestnej a železničnej infraštruktúry, výskumu a inovácií, e-</w:t>
      </w:r>
      <w:proofErr w:type="spellStart"/>
      <w:r w:rsidRPr="0085799C">
        <w:rPr>
          <w:rFonts w:ascii="Times New Roman" w:eastAsia="Calibri" w:hAnsi="Times New Roman"/>
        </w:rPr>
        <w:t>commerce</w:t>
      </w:r>
      <w:proofErr w:type="spellEnd"/>
      <w:r w:rsidRPr="0085799C">
        <w:rPr>
          <w:rFonts w:ascii="Times New Roman" w:eastAsia="Calibri" w:hAnsi="Times New Roman"/>
        </w:rPr>
        <w:t xml:space="preserve"> a energetickej efektívnosti.</w:t>
      </w:r>
    </w:p>
    <w:p w14:paraId="4B0ECBA1" w14:textId="23736652" w:rsidR="00647542" w:rsidRPr="00CB11A7" w:rsidRDefault="00647542" w:rsidP="00CB11A7">
      <w:pPr>
        <w:pStyle w:val="Pismenka"/>
        <w:tabs>
          <w:tab w:val="clear" w:pos="426"/>
        </w:tabs>
        <w:spacing w:after="120"/>
        <w:ind w:left="0" w:firstLine="0"/>
        <w:rPr>
          <w:b w:val="0"/>
          <w:sz w:val="22"/>
          <w:szCs w:val="22"/>
        </w:rPr>
      </w:pPr>
      <w:r w:rsidRPr="00CB11A7">
        <w:rPr>
          <w:b w:val="0"/>
          <w:sz w:val="22"/>
          <w:szCs w:val="22"/>
        </w:rPr>
        <w:t>V rámci ostatných subjektov vykazuje takmer celú hodnotu dlhodobých pôžičiek Fond na podporu vzdelávania (38 </w:t>
      </w:r>
      <w:r w:rsidR="00006875" w:rsidRPr="0085799C">
        <w:rPr>
          <w:b w:val="0"/>
          <w:bCs w:val="0"/>
          <w:sz w:val="22"/>
          <w:szCs w:val="22"/>
        </w:rPr>
        <w:t>427</w:t>
      </w:r>
      <w:r w:rsidRPr="00CB11A7">
        <w:rPr>
          <w:b w:val="0"/>
          <w:sz w:val="22"/>
          <w:szCs w:val="22"/>
        </w:rPr>
        <w:t> tis. eur) v súvislosti s poskytovaním pôžičiek študentom.</w:t>
      </w:r>
    </w:p>
    <w:p w14:paraId="3C3E7DDB" w14:textId="647AE93D" w:rsidR="00B51A0E" w:rsidRDefault="00B51A0E" w:rsidP="0085799C">
      <w:pPr>
        <w:pStyle w:val="Nadpis4"/>
        <w:numPr>
          <w:ilvl w:val="0"/>
          <w:numId w:val="54"/>
        </w:numPr>
        <w:ind w:left="426" w:hanging="426"/>
      </w:pPr>
      <w:bookmarkStart w:id="20" w:name="_Termínované_účty_v"/>
      <w:bookmarkEnd w:id="20"/>
      <w:r>
        <w:lastRenderedPageBreak/>
        <w:t>Termínované účty v bankách</w:t>
      </w:r>
    </w:p>
    <w:p w14:paraId="440C7E18" w14:textId="1C0901FE" w:rsidR="00647542" w:rsidRPr="00CB11A7" w:rsidRDefault="00647542" w:rsidP="00CB11A7">
      <w:pPr>
        <w:pStyle w:val="Pismenka"/>
        <w:tabs>
          <w:tab w:val="clear" w:pos="426"/>
        </w:tabs>
        <w:spacing w:after="120"/>
        <w:ind w:left="0" w:firstLine="0"/>
        <w:rPr>
          <w:b w:val="0"/>
          <w:sz w:val="22"/>
          <w:szCs w:val="22"/>
        </w:rPr>
      </w:pPr>
      <w:r w:rsidRPr="00CB11A7">
        <w:rPr>
          <w:b w:val="0"/>
          <w:bCs w:val="0"/>
          <w:sz w:val="22"/>
          <w:szCs w:val="22"/>
        </w:rPr>
        <w:t xml:space="preserve">Zostatok na účtoch v bankách s dobou viazanosti dlhšou ako jeden rok tvoril hodnotu </w:t>
      </w:r>
      <w:r w:rsidR="00270DE9" w:rsidRPr="00CB11A7">
        <w:rPr>
          <w:b w:val="0"/>
          <w:bCs w:val="0"/>
          <w:sz w:val="22"/>
          <w:szCs w:val="22"/>
        </w:rPr>
        <w:t>31</w:t>
      </w:r>
      <w:r w:rsidR="00E03217">
        <w:rPr>
          <w:b w:val="0"/>
          <w:bCs w:val="0"/>
          <w:sz w:val="22"/>
          <w:szCs w:val="22"/>
        </w:rPr>
        <w:t> </w:t>
      </w:r>
      <w:r w:rsidR="00270DE9" w:rsidRPr="00CB11A7">
        <w:rPr>
          <w:b w:val="0"/>
          <w:bCs w:val="0"/>
          <w:sz w:val="22"/>
          <w:szCs w:val="22"/>
        </w:rPr>
        <w:t>716</w:t>
      </w:r>
      <w:r w:rsidRPr="00CB11A7">
        <w:rPr>
          <w:b w:val="0"/>
          <w:bCs w:val="0"/>
          <w:sz w:val="22"/>
          <w:szCs w:val="22"/>
        </w:rPr>
        <w:t> tis. eur, vzhľadom na svoj dlhodobý charakter sa vykazuje v rámci dlhodobého finančného majetku a nie ako položka finančného majetku. Ústredná správa vykázala na účtoch v bankách s dobou viazanosti dlhšou ako jeden rok hodnotu 14 998 tis.</w:t>
      </w:r>
      <w:r w:rsidRPr="0085799C">
        <w:rPr>
          <w:sz w:val="22"/>
          <w:szCs w:val="22"/>
        </w:rPr>
        <w:t> </w:t>
      </w:r>
      <w:r w:rsidRPr="00CB11A7">
        <w:rPr>
          <w:b w:val="0"/>
          <w:bCs w:val="0"/>
          <w:sz w:val="22"/>
          <w:szCs w:val="22"/>
        </w:rPr>
        <w:t>eur, výlučne</w:t>
      </w:r>
      <w:r w:rsidRPr="00CB11A7">
        <w:rPr>
          <w:b w:val="0"/>
          <w:bCs w:val="0"/>
          <w:color w:val="FF0000"/>
          <w:sz w:val="22"/>
          <w:szCs w:val="22"/>
        </w:rPr>
        <w:t xml:space="preserve"> </w:t>
      </w:r>
      <w:r w:rsidRPr="00CB11A7">
        <w:rPr>
          <w:b w:val="0"/>
          <w:bCs w:val="0"/>
          <w:sz w:val="22"/>
          <w:szCs w:val="22"/>
        </w:rPr>
        <w:t xml:space="preserve">prostredníctvom MH </w:t>
      </w:r>
      <w:proofErr w:type="spellStart"/>
      <w:r w:rsidRPr="00CB11A7">
        <w:rPr>
          <w:b w:val="0"/>
          <w:bCs w:val="0"/>
          <w:sz w:val="22"/>
          <w:szCs w:val="22"/>
        </w:rPr>
        <w:t>Invest</w:t>
      </w:r>
      <w:proofErr w:type="spellEnd"/>
      <w:r w:rsidRPr="00CB11A7">
        <w:rPr>
          <w:b w:val="0"/>
          <w:bCs w:val="0"/>
          <w:sz w:val="22"/>
          <w:szCs w:val="22"/>
        </w:rPr>
        <w:t xml:space="preserve">, </w:t>
      </w:r>
      <w:proofErr w:type="spellStart"/>
      <w:r w:rsidRPr="00CB11A7">
        <w:rPr>
          <w:b w:val="0"/>
          <w:bCs w:val="0"/>
          <w:sz w:val="22"/>
          <w:szCs w:val="22"/>
        </w:rPr>
        <w:t>s.r.o</w:t>
      </w:r>
      <w:proofErr w:type="spellEnd"/>
      <w:r w:rsidRPr="00CB11A7">
        <w:rPr>
          <w:b w:val="0"/>
          <w:bCs w:val="0"/>
          <w:sz w:val="22"/>
          <w:szCs w:val="22"/>
        </w:rPr>
        <w:t>. Zostatok prostriedkov na termínovaných účtoch obcí predstavuje 10 </w:t>
      </w:r>
      <w:r w:rsidR="00A20E0F" w:rsidRPr="00CB11A7">
        <w:rPr>
          <w:b w:val="0"/>
          <w:bCs w:val="0"/>
          <w:sz w:val="22"/>
          <w:szCs w:val="22"/>
        </w:rPr>
        <w:t>950 </w:t>
      </w:r>
      <w:r w:rsidRPr="00CB11A7">
        <w:rPr>
          <w:b w:val="0"/>
          <w:bCs w:val="0"/>
          <w:sz w:val="22"/>
          <w:szCs w:val="22"/>
        </w:rPr>
        <w:t>tis. eur.</w:t>
      </w:r>
    </w:p>
    <w:p w14:paraId="7F9154C0" w14:textId="77777777" w:rsidR="00B51A0E" w:rsidRPr="00CB11A7" w:rsidRDefault="00B51A0E" w:rsidP="00CB11A7">
      <w:pPr>
        <w:pStyle w:val="Pismenka"/>
        <w:tabs>
          <w:tab w:val="clear" w:pos="426"/>
        </w:tabs>
        <w:spacing w:after="120"/>
        <w:ind w:left="0" w:firstLine="0"/>
        <w:rPr>
          <w:b w:val="0"/>
          <w:bCs w:val="0"/>
          <w:sz w:val="22"/>
          <w:szCs w:val="22"/>
        </w:rPr>
      </w:pPr>
    </w:p>
    <w:p w14:paraId="6D94FA93" w14:textId="2AD21B5D" w:rsidR="00B51A0E" w:rsidRDefault="00BE0F39" w:rsidP="0085799C">
      <w:pPr>
        <w:pStyle w:val="Nadpis4"/>
        <w:numPr>
          <w:ilvl w:val="0"/>
          <w:numId w:val="54"/>
        </w:numPr>
        <w:ind w:left="426" w:hanging="426"/>
      </w:pPr>
      <w:bookmarkStart w:id="21" w:name="_Ostatný_dlhodobý_finančný"/>
      <w:bookmarkEnd w:id="21"/>
      <w:r>
        <w:t>Ostatný dlhodobý finančný majetok</w:t>
      </w:r>
    </w:p>
    <w:p w14:paraId="085E48D3" w14:textId="77777777" w:rsidR="00647542" w:rsidRPr="00907622" w:rsidRDefault="00647542" w:rsidP="0085799C">
      <w:pPr>
        <w:pStyle w:val="Pismenka"/>
        <w:tabs>
          <w:tab w:val="clear" w:pos="426"/>
        </w:tabs>
        <w:spacing w:after="120"/>
        <w:ind w:left="0" w:firstLine="0"/>
        <w:rPr>
          <w:b w:val="0"/>
          <w:bCs w:val="0"/>
          <w:sz w:val="22"/>
          <w:szCs w:val="22"/>
        </w:rPr>
      </w:pPr>
      <w:r w:rsidRPr="00907622">
        <w:rPr>
          <w:b w:val="0"/>
          <w:bCs w:val="0"/>
          <w:sz w:val="22"/>
          <w:szCs w:val="22"/>
        </w:rPr>
        <w:t>V ostatnom dlhodobom finančnom majetku sa vykazujú hlavne podiely Slovenskej republiky v medzinárodných finančných inštitúciách a finančných stabilizačných mechanizmoch.</w:t>
      </w:r>
    </w:p>
    <w:p w14:paraId="241C84B2" w14:textId="5D39068D" w:rsidR="00647542" w:rsidRPr="00907622" w:rsidRDefault="00647542" w:rsidP="00647542">
      <w:pPr>
        <w:pStyle w:val="Popis"/>
        <w:keepNext/>
        <w:rPr>
          <w:noProof/>
        </w:rPr>
      </w:pPr>
      <w:r w:rsidRPr="00907622">
        <w:t xml:space="preserve">Tabuľka </w:t>
      </w:r>
      <w:r w:rsidRPr="00907622">
        <w:fldChar w:fldCharType="begin"/>
      </w:r>
      <w:r w:rsidRPr="00907622">
        <w:instrText xml:space="preserve"> SEQ Tabuľka \* ARABIC </w:instrText>
      </w:r>
      <w:r w:rsidRPr="00907622">
        <w:fldChar w:fldCharType="separate"/>
      </w:r>
      <w:r w:rsidRPr="00907622">
        <w:rPr>
          <w:noProof/>
        </w:rPr>
        <w:t>6</w:t>
      </w:r>
      <w:r w:rsidRPr="00907622">
        <w:rPr>
          <w:noProof/>
        </w:rPr>
        <w:fldChar w:fldCharType="end"/>
      </w:r>
    </w:p>
    <w:tbl>
      <w:tblPr>
        <w:tblW w:w="5163" w:type="pct"/>
        <w:jc w:val="center"/>
        <w:tblCellMar>
          <w:left w:w="70" w:type="dxa"/>
          <w:right w:w="70" w:type="dxa"/>
        </w:tblCellMar>
        <w:tblLook w:val="04A0" w:firstRow="1" w:lastRow="0" w:firstColumn="1" w:lastColumn="0" w:noHBand="0" w:noVBand="1"/>
      </w:tblPr>
      <w:tblGrid>
        <w:gridCol w:w="5529"/>
        <w:gridCol w:w="1285"/>
        <w:gridCol w:w="1266"/>
        <w:gridCol w:w="1287"/>
      </w:tblGrid>
      <w:tr w:rsidR="00FD1A0F" w:rsidRPr="00FD1A0F" w14:paraId="43614366" w14:textId="77777777" w:rsidTr="00A7107D">
        <w:trPr>
          <w:trHeight w:val="227"/>
          <w:jc w:val="center"/>
        </w:trPr>
        <w:tc>
          <w:tcPr>
            <w:tcW w:w="2951" w:type="pct"/>
            <w:tcBorders>
              <w:top w:val="single" w:sz="8" w:space="0" w:color="auto"/>
              <w:left w:val="nil"/>
              <w:bottom w:val="single" w:sz="8" w:space="0" w:color="auto"/>
              <w:right w:val="nil"/>
            </w:tcBorders>
            <w:shd w:val="clear" w:color="000000" w:fill="F4B084"/>
            <w:vAlign w:val="center"/>
            <w:hideMark/>
          </w:tcPr>
          <w:p w14:paraId="44B9B4AE" w14:textId="77777777" w:rsidR="00FD1A0F" w:rsidRPr="00FD1A0F" w:rsidRDefault="00FD1A0F" w:rsidP="00FD1A0F">
            <w:pPr>
              <w:spacing w:after="0" w:line="240" w:lineRule="auto"/>
              <w:rPr>
                <w:rFonts w:ascii="Times New Roman" w:hAnsi="Times New Roman"/>
                <w:color w:val="000000"/>
                <w:sz w:val="18"/>
                <w:szCs w:val="18"/>
                <w:lang w:eastAsia="sk-SK"/>
              </w:rPr>
            </w:pPr>
            <w:r w:rsidRPr="00FD1A0F">
              <w:rPr>
                <w:rFonts w:ascii="Times New Roman" w:hAnsi="Times New Roman"/>
                <w:color w:val="000000"/>
                <w:sz w:val="18"/>
                <w:szCs w:val="18"/>
                <w:lang w:eastAsia="sk-SK"/>
              </w:rPr>
              <w:t>M</w:t>
            </w:r>
            <w:r w:rsidRPr="00FD1A0F">
              <w:rPr>
                <w:rFonts w:ascii="Times New Roman" w:hAnsi="Times New Roman"/>
                <w:b/>
                <w:bCs/>
                <w:color w:val="000000"/>
                <w:sz w:val="18"/>
                <w:szCs w:val="18"/>
                <w:lang w:eastAsia="sk-SK"/>
              </w:rPr>
              <w:t>ajetková účasť SR v medzinárodných inštitúciách v správe Ministerstva financií SR</w:t>
            </w:r>
          </w:p>
        </w:tc>
        <w:tc>
          <w:tcPr>
            <w:tcW w:w="686" w:type="pct"/>
            <w:tcBorders>
              <w:top w:val="single" w:sz="8" w:space="0" w:color="auto"/>
              <w:left w:val="nil"/>
              <w:bottom w:val="single" w:sz="8" w:space="0" w:color="auto"/>
              <w:right w:val="nil"/>
            </w:tcBorders>
            <w:shd w:val="clear" w:color="000000" w:fill="F4B084"/>
            <w:noWrap/>
            <w:vAlign w:val="center"/>
            <w:hideMark/>
          </w:tcPr>
          <w:p w14:paraId="235554F3" w14:textId="77777777" w:rsidR="00FD1A0F" w:rsidRPr="00FD1A0F" w:rsidRDefault="00FD1A0F" w:rsidP="00FD1A0F">
            <w:pPr>
              <w:spacing w:after="0" w:line="240" w:lineRule="auto"/>
              <w:rPr>
                <w:rFonts w:ascii="Times New Roman" w:hAnsi="Times New Roman"/>
                <w:color w:val="000000"/>
                <w:sz w:val="18"/>
                <w:szCs w:val="18"/>
                <w:lang w:eastAsia="sk-SK"/>
              </w:rPr>
            </w:pPr>
            <w:r w:rsidRPr="00FD1A0F">
              <w:rPr>
                <w:rFonts w:ascii="Times New Roman" w:hAnsi="Times New Roman"/>
                <w:color w:val="000000"/>
                <w:sz w:val="18"/>
                <w:szCs w:val="18"/>
                <w:lang w:eastAsia="sk-SK"/>
              </w:rPr>
              <w:t> </w:t>
            </w:r>
          </w:p>
        </w:tc>
        <w:tc>
          <w:tcPr>
            <w:tcW w:w="676" w:type="pct"/>
            <w:tcBorders>
              <w:top w:val="single" w:sz="8" w:space="0" w:color="auto"/>
              <w:left w:val="nil"/>
              <w:bottom w:val="single" w:sz="8" w:space="0" w:color="auto"/>
              <w:right w:val="nil"/>
            </w:tcBorders>
            <w:shd w:val="clear" w:color="000000" w:fill="F4B084"/>
            <w:noWrap/>
            <w:vAlign w:val="center"/>
            <w:hideMark/>
          </w:tcPr>
          <w:p w14:paraId="1BA8AAAC" w14:textId="77777777" w:rsidR="00FD1A0F" w:rsidRPr="00FD1A0F" w:rsidRDefault="00FD1A0F" w:rsidP="00FD1A0F">
            <w:pPr>
              <w:spacing w:after="0" w:line="240" w:lineRule="auto"/>
              <w:jc w:val="center"/>
              <w:rPr>
                <w:rFonts w:ascii="Times New Roman" w:hAnsi="Times New Roman"/>
                <w:b/>
                <w:bCs/>
                <w:color w:val="000000"/>
                <w:sz w:val="18"/>
                <w:szCs w:val="18"/>
                <w:lang w:eastAsia="sk-SK"/>
              </w:rPr>
            </w:pPr>
            <w:r w:rsidRPr="00FD1A0F">
              <w:rPr>
                <w:rFonts w:ascii="Times New Roman" w:hAnsi="Times New Roman"/>
                <w:b/>
                <w:bCs/>
                <w:color w:val="000000"/>
                <w:sz w:val="18"/>
                <w:szCs w:val="18"/>
                <w:lang w:eastAsia="sk-SK"/>
              </w:rPr>
              <w:t>(v tis. eur)</w:t>
            </w:r>
          </w:p>
        </w:tc>
        <w:tc>
          <w:tcPr>
            <w:tcW w:w="687" w:type="pct"/>
            <w:tcBorders>
              <w:top w:val="single" w:sz="8" w:space="0" w:color="auto"/>
              <w:left w:val="nil"/>
              <w:bottom w:val="single" w:sz="8" w:space="0" w:color="auto"/>
              <w:right w:val="nil"/>
            </w:tcBorders>
            <w:shd w:val="clear" w:color="000000" w:fill="F4B084"/>
            <w:noWrap/>
            <w:vAlign w:val="center"/>
            <w:hideMark/>
          </w:tcPr>
          <w:p w14:paraId="30A84B66" w14:textId="77777777" w:rsidR="00FD1A0F" w:rsidRPr="00FD1A0F" w:rsidRDefault="00FD1A0F" w:rsidP="00FD1A0F">
            <w:pPr>
              <w:spacing w:after="0" w:line="240" w:lineRule="auto"/>
              <w:rPr>
                <w:rFonts w:ascii="Times New Roman" w:hAnsi="Times New Roman"/>
                <w:color w:val="000000"/>
                <w:sz w:val="18"/>
                <w:szCs w:val="18"/>
                <w:lang w:eastAsia="sk-SK"/>
              </w:rPr>
            </w:pPr>
            <w:r w:rsidRPr="00FD1A0F">
              <w:rPr>
                <w:rFonts w:ascii="Times New Roman" w:hAnsi="Times New Roman"/>
                <w:color w:val="000000"/>
                <w:sz w:val="18"/>
                <w:szCs w:val="18"/>
                <w:lang w:eastAsia="sk-SK"/>
              </w:rPr>
              <w:t> </w:t>
            </w:r>
          </w:p>
        </w:tc>
      </w:tr>
      <w:tr w:rsidR="00FD1A0F" w:rsidRPr="00FD1A0F" w14:paraId="56796316" w14:textId="77777777" w:rsidTr="00A7107D">
        <w:trPr>
          <w:trHeight w:val="227"/>
          <w:jc w:val="center"/>
        </w:trPr>
        <w:tc>
          <w:tcPr>
            <w:tcW w:w="2951" w:type="pct"/>
            <w:tcBorders>
              <w:top w:val="nil"/>
              <w:left w:val="nil"/>
              <w:bottom w:val="single" w:sz="8" w:space="0" w:color="auto"/>
              <w:right w:val="nil"/>
            </w:tcBorders>
            <w:shd w:val="clear" w:color="000000" w:fill="BDD7EE"/>
            <w:noWrap/>
            <w:vAlign w:val="center"/>
            <w:hideMark/>
          </w:tcPr>
          <w:p w14:paraId="05637481" w14:textId="77777777" w:rsidR="00FD1A0F" w:rsidRPr="00FD1A0F" w:rsidRDefault="00FD1A0F" w:rsidP="00FD1A0F">
            <w:pPr>
              <w:spacing w:after="0" w:line="240" w:lineRule="auto"/>
              <w:rPr>
                <w:rFonts w:ascii="Times New Roman" w:hAnsi="Times New Roman"/>
                <w:b/>
                <w:bCs/>
                <w:color w:val="000000"/>
                <w:sz w:val="18"/>
                <w:szCs w:val="18"/>
                <w:lang w:eastAsia="sk-SK"/>
              </w:rPr>
            </w:pPr>
            <w:r w:rsidRPr="00FD1A0F">
              <w:rPr>
                <w:rFonts w:ascii="Times New Roman" w:hAnsi="Times New Roman"/>
                <w:b/>
                <w:bCs/>
                <w:color w:val="000000"/>
                <w:sz w:val="18"/>
                <w:szCs w:val="18"/>
                <w:lang w:eastAsia="sk-SK"/>
              </w:rPr>
              <w:t>Medzinárodná inštitúcia</w:t>
            </w:r>
          </w:p>
        </w:tc>
        <w:tc>
          <w:tcPr>
            <w:tcW w:w="686" w:type="pct"/>
            <w:tcBorders>
              <w:top w:val="nil"/>
              <w:left w:val="nil"/>
              <w:bottom w:val="single" w:sz="8" w:space="0" w:color="auto"/>
              <w:right w:val="nil"/>
            </w:tcBorders>
            <w:shd w:val="clear" w:color="000000" w:fill="BDD7EE"/>
            <w:noWrap/>
            <w:vAlign w:val="center"/>
            <w:hideMark/>
          </w:tcPr>
          <w:p w14:paraId="5379212D" w14:textId="77777777" w:rsidR="00FD1A0F" w:rsidRPr="00FD1A0F" w:rsidRDefault="00FD1A0F" w:rsidP="00FD1A0F">
            <w:pPr>
              <w:spacing w:after="0" w:line="240" w:lineRule="auto"/>
              <w:jc w:val="center"/>
              <w:rPr>
                <w:rFonts w:ascii="Times New Roman" w:hAnsi="Times New Roman"/>
                <w:b/>
                <w:bCs/>
                <w:color w:val="000000"/>
                <w:sz w:val="18"/>
                <w:szCs w:val="18"/>
                <w:lang w:eastAsia="sk-SK"/>
              </w:rPr>
            </w:pPr>
            <w:r w:rsidRPr="00FD1A0F">
              <w:rPr>
                <w:rFonts w:ascii="Times New Roman" w:hAnsi="Times New Roman"/>
                <w:b/>
                <w:bCs/>
                <w:color w:val="000000"/>
                <w:sz w:val="18"/>
                <w:szCs w:val="18"/>
                <w:lang w:eastAsia="sk-SK"/>
              </w:rPr>
              <w:t>2024</w:t>
            </w:r>
          </w:p>
        </w:tc>
        <w:tc>
          <w:tcPr>
            <w:tcW w:w="676" w:type="pct"/>
            <w:tcBorders>
              <w:top w:val="nil"/>
              <w:left w:val="nil"/>
              <w:bottom w:val="single" w:sz="8" w:space="0" w:color="auto"/>
              <w:right w:val="nil"/>
            </w:tcBorders>
            <w:shd w:val="clear" w:color="000000" w:fill="BDD7EE"/>
            <w:noWrap/>
            <w:vAlign w:val="center"/>
            <w:hideMark/>
          </w:tcPr>
          <w:p w14:paraId="68FA8A8B" w14:textId="77777777" w:rsidR="00FD1A0F" w:rsidRPr="00FD1A0F" w:rsidRDefault="00FD1A0F" w:rsidP="00FD1A0F">
            <w:pPr>
              <w:spacing w:after="0" w:line="240" w:lineRule="auto"/>
              <w:jc w:val="center"/>
              <w:rPr>
                <w:rFonts w:ascii="Times New Roman" w:hAnsi="Times New Roman"/>
                <w:b/>
                <w:bCs/>
                <w:color w:val="000000"/>
                <w:sz w:val="18"/>
                <w:szCs w:val="18"/>
                <w:lang w:eastAsia="sk-SK"/>
              </w:rPr>
            </w:pPr>
            <w:r w:rsidRPr="00FD1A0F">
              <w:rPr>
                <w:rFonts w:ascii="Times New Roman" w:hAnsi="Times New Roman"/>
                <w:b/>
                <w:bCs/>
                <w:color w:val="000000"/>
                <w:sz w:val="18"/>
                <w:szCs w:val="18"/>
                <w:lang w:eastAsia="sk-SK"/>
              </w:rPr>
              <w:t>2023</w:t>
            </w:r>
          </w:p>
        </w:tc>
        <w:tc>
          <w:tcPr>
            <w:tcW w:w="687" w:type="pct"/>
            <w:tcBorders>
              <w:top w:val="nil"/>
              <w:left w:val="nil"/>
              <w:bottom w:val="single" w:sz="8" w:space="0" w:color="auto"/>
              <w:right w:val="nil"/>
            </w:tcBorders>
            <w:shd w:val="clear" w:color="000000" w:fill="BDD7EE"/>
            <w:vAlign w:val="center"/>
            <w:hideMark/>
          </w:tcPr>
          <w:p w14:paraId="6EA1F679" w14:textId="77777777" w:rsidR="00FD1A0F" w:rsidRPr="00FD1A0F" w:rsidRDefault="00FD1A0F" w:rsidP="00FD1A0F">
            <w:pPr>
              <w:spacing w:after="0" w:line="240" w:lineRule="auto"/>
              <w:jc w:val="center"/>
              <w:rPr>
                <w:rFonts w:ascii="Times New Roman" w:hAnsi="Times New Roman"/>
                <w:b/>
                <w:bCs/>
                <w:color w:val="000000"/>
                <w:sz w:val="18"/>
                <w:szCs w:val="18"/>
                <w:lang w:eastAsia="sk-SK"/>
              </w:rPr>
            </w:pPr>
            <w:r w:rsidRPr="00FD1A0F">
              <w:rPr>
                <w:rFonts w:ascii="Times New Roman" w:hAnsi="Times New Roman"/>
                <w:b/>
                <w:bCs/>
                <w:color w:val="000000"/>
                <w:sz w:val="18"/>
                <w:szCs w:val="18"/>
                <w:lang w:eastAsia="sk-SK"/>
              </w:rPr>
              <w:t>Δ 2024-2023</w:t>
            </w:r>
          </w:p>
        </w:tc>
      </w:tr>
      <w:tr w:rsidR="00FD1A0F" w:rsidRPr="00FD1A0F" w14:paraId="767726A1" w14:textId="77777777" w:rsidTr="00A7107D">
        <w:trPr>
          <w:trHeight w:val="227"/>
          <w:jc w:val="center"/>
        </w:trPr>
        <w:tc>
          <w:tcPr>
            <w:tcW w:w="2951" w:type="pct"/>
            <w:tcBorders>
              <w:top w:val="nil"/>
              <w:left w:val="nil"/>
              <w:bottom w:val="nil"/>
              <w:right w:val="nil"/>
            </w:tcBorders>
            <w:vAlign w:val="center"/>
            <w:hideMark/>
          </w:tcPr>
          <w:p w14:paraId="09DB28D3" w14:textId="77777777" w:rsidR="00FD1A0F" w:rsidRPr="00FD1A0F" w:rsidRDefault="00FD1A0F" w:rsidP="00FD1A0F">
            <w:pPr>
              <w:spacing w:after="0" w:line="240" w:lineRule="auto"/>
              <w:rPr>
                <w:rFonts w:ascii="Times New Roman" w:hAnsi="Times New Roman"/>
                <w:color w:val="000000"/>
                <w:sz w:val="18"/>
                <w:szCs w:val="18"/>
                <w:lang w:eastAsia="sk-SK"/>
              </w:rPr>
            </w:pPr>
            <w:r w:rsidRPr="00FD1A0F">
              <w:rPr>
                <w:rFonts w:ascii="Times New Roman" w:hAnsi="Times New Roman"/>
                <w:color w:val="000000"/>
                <w:sz w:val="18"/>
                <w:szCs w:val="18"/>
                <w:lang w:eastAsia="sk-SK"/>
              </w:rPr>
              <w:t>Európsky stabilizačný mechanizmus (ESM)</w:t>
            </w:r>
          </w:p>
        </w:tc>
        <w:tc>
          <w:tcPr>
            <w:tcW w:w="686" w:type="pct"/>
            <w:tcBorders>
              <w:top w:val="nil"/>
              <w:left w:val="nil"/>
              <w:bottom w:val="nil"/>
              <w:right w:val="nil"/>
            </w:tcBorders>
            <w:vAlign w:val="center"/>
            <w:hideMark/>
          </w:tcPr>
          <w:p w14:paraId="37B9D45C" w14:textId="77777777" w:rsidR="00FD1A0F" w:rsidRPr="00FD1A0F" w:rsidRDefault="00FD1A0F" w:rsidP="00FD1A0F">
            <w:pPr>
              <w:spacing w:after="0" w:line="240" w:lineRule="auto"/>
              <w:jc w:val="right"/>
              <w:rPr>
                <w:rFonts w:ascii="Times New Roman" w:hAnsi="Times New Roman"/>
                <w:color w:val="000000"/>
                <w:sz w:val="18"/>
                <w:szCs w:val="18"/>
                <w:lang w:eastAsia="sk-SK"/>
              </w:rPr>
            </w:pPr>
            <w:r w:rsidRPr="00FD1A0F">
              <w:rPr>
                <w:rFonts w:ascii="Times New Roman" w:hAnsi="Times New Roman"/>
                <w:color w:val="000000"/>
                <w:sz w:val="18"/>
                <w:szCs w:val="18"/>
                <w:lang w:eastAsia="sk-SK"/>
              </w:rPr>
              <w:t>792 790</w:t>
            </w:r>
          </w:p>
        </w:tc>
        <w:tc>
          <w:tcPr>
            <w:tcW w:w="676" w:type="pct"/>
            <w:tcBorders>
              <w:top w:val="nil"/>
              <w:left w:val="nil"/>
              <w:bottom w:val="nil"/>
              <w:right w:val="nil"/>
            </w:tcBorders>
            <w:vAlign w:val="center"/>
            <w:hideMark/>
          </w:tcPr>
          <w:p w14:paraId="6F149F9E" w14:textId="77777777" w:rsidR="00FD1A0F" w:rsidRPr="00FD1A0F" w:rsidRDefault="00FD1A0F" w:rsidP="00FD1A0F">
            <w:pPr>
              <w:spacing w:after="0" w:line="240" w:lineRule="auto"/>
              <w:jc w:val="right"/>
              <w:rPr>
                <w:rFonts w:ascii="Times New Roman" w:hAnsi="Times New Roman"/>
                <w:color w:val="000000"/>
                <w:sz w:val="18"/>
                <w:szCs w:val="18"/>
                <w:lang w:eastAsia="sk-SK"/>
              </w:rPr>
            </w:pPr>
            <w:r w:rsidRPr="00FD1A0F">
              <w:rPr>
                <w:rFonts w:ascii="Times New Roman" w:hAnsi="Times New Roman"/>
                <w:color w:val="000000"/>
                <w:sz w:val="18"/>
                <w:szCs w:val="18"/>
                <w:lang w:eastAsia="sk-SK"/>
              </w:rPr>
              <w:t>792 790</w:t>
            </w:r>
          </w:p>
        </w:tc>
        <w:tc>
          <w:tcPr>
            <w:tcW w:w="687" w:type="pct"/>
            <w:tcBorders>
              <w:top w:val="nil"/>
              <w:left w:val="nil"/>
              <w:bottom w:val="nil"/>
              <w:right w:val="nil"/>
            </w:tcBorders>
            <w:vAlign w:val="center"/>
            <w:hideMark/>
          </w:tcPr>
          <w:p w14:paraId="053C5435" w14:textId="77777777" w:rsidR="00FD1A0F" w:rsidRPr="00FD1A0F" w:rsidRDefault="00FD1A0F" w:rsidP="00FD1A0F">
            <w:pPr>
              <w:spacing w:after="0" w:line="240" w:lineRule="auto"/>
              <w:jc w:val="right"/>
              <w:rPr>
                <w:rFonts w:ascii="Times New Roman" w:hAnsi="Times New Roman"/>
                <w:color w:val="000000"/>
                <w:sz w:val="18"/>
                <w:szCs w:val="18"/>
                <w:lang w:eastAsia="sk-SK"/>
              </w:rPr>
            </w:pPr>
            <w:r w:rsidRPr="00FD1A0F">
              <w:rPr>
                <w:rFonts w:ascii="Times New Roman" w:hAnsi="Times New Roman"/>
                <w:color w:val="000000"/>
                <w:sz w:val="18"/>
                <w:szCs w:val="18"/>
                <w:lang w:eastAsia="sk-SK"/>
              </w:rPr>
              <w:t>0</w:t>
            </w:r>
          </w:p>
        </w:tc>
      </w:tr>
      <w:tr w:rsidR="00FD1A0F" w:rsidRPr="00FD1A0F" w14:paraId="51194D26" w14:textId="77777777" w:rsidTr="00A7107D">
        <w:trPr>
          <w:trHeight w:val="227"/>
          <w:jc w:val="center"/>
        </w:trPr>
        <w:tc>
          <w:tcPr>
            <w:tcW w:w="2951" w:type="pct"/>
            <w:tcBorders>
              <w:top w:val="nil"/>
              <w:left w:val="nil"/>
              <w:bottom w:val="nil"/>
              <w:right w:val="nil"/>
            </w:tcBorders>
            <w:vAlign w:val="center"/>
            <w:hideMark/>
          </w:tcPr>
          <w:p w14:paraId="5411E33A" w14:textId="77777777" w:rsidR="00FD1A0F" w:rsidRPr="00FD1A0F" w:rsidRDefault="00FD1A0F" w:rsidP="00FD1A0F">
            <w:pPr>
              <w:spacing w:after="0" w:line="240" w:lineRule="auto"/>
              <w:rPr>
                <w:rFonts w:ascii="Times New Roman" w:hAnsi="Times New Roman"/>
                <w:color w:val="000000"/>
                <w:sz w:val="18"/>
                <w:szCs w:val="18"/>
                <w:lang w:eastAsia="sk-SK"/>
              </w:rPr>
            </w:pPr>
            <w:r w:rsidRPr="00FD1A0F">
              <w:rPr>
                <w:rFonts w:ascii="Times New Roman" w:hAnsi="Times New Roman"/>
                <w:color w:val="000000"/>
                <w:sz w:val="18"/>
                <w:szCs w:val="18"/>
                <w:lang w:eastAsia="sk-SK"/>
              </w:rPr>
              <w:t>Európska investičná banka (EIB)</w:t>
            </w:r>
          </w:p>
        </w:tc>
        <w:tc>
          <w:tcPr>
            <w:tcW w:w="686" w:type="pct"/>
            <w:tcBorders>
              <w:top w:val="nil"/>
              <w:left w:val="nil"/>
              <w:bottom w:val="nil"/>
              <w:right w:val="nil"/>
            </w:tcBorders>
            <w:vAlign w:val="center"/>
            <w:hideMark/>
          </w:tcPr>
          <w:p w14:paraId="4D4701E9" w14:textId="77777777" w:rsidR="00FD1A0F" w:rsidRPr="00FD1A0F" w:rsidRDefault="00FD1A0F" w:rsidP="00FD1A0F">
            <w:pPr>
              <w:spacing w:after="0" w:line="240" w:lineRule="auto"/>
              <w:jc w:val="right"/>
              <w:rPr>
                <w:rFonts w:ascii="Times New Roman" w:hAnsi="Times New Roman"/>
                <w:color w:val="000000"/>
                <w:sz w:val="18"/>
                <w:szCs w:val="18"/>
                <w:lang w:eastAsia="sk-SK"/>
              </w:rPr>
            </w:pPr>
            <w:r w:rsidRPr="00FD1A0F">
              <w:rPr>
                <w:rFonts w:ascii="Times New Roman" w:hAnsi="Times New Roman"/>
                <w:color w:val="000000"/>
                <w:sz w:val="18"/>
                <w:szCs w:val="18"/>
                <w:lang w:eastAsia="sk-SK"/>
              </w:rPr>
              <w:t>122 705</w:t>
            </w:r>
          </w:p>
        </w:tc>
        <w:tc>
          <w:tcPr>
            <w:tcW w:w="676" w:type="pct"/>
            <w:tcBorders>
              <w:top w:val="nil"/>
              <w:left w:val="nil"/>
              <w:bottom w:val="nil"/>
              <w:right w:val="nil"/>
            </w:tcBorders>
            <w:vAlign w:val="center"/>
            <w:hideMark/>
          </w:tcPr>
          <w:p w14:paraId="38211951" w14:textId="77777777" w:rsidR="00FD1A0F" w:rsidRPr="00FD1A0F" w:rsidRDefault="00FD1A0F" w:rsidP="00FD1A0F">
            <w:pPr>
              <w:spacing w:after="0" w:line="240" w:lineRule="auto"/>
              <w:jc w:val="right"/>
              <w:rPr>
                <w:rFonts w:ascii="Times New Roman" w:hAnsi="Times New Roman"/>
                <w:color w:val="000000"/>
                <w:sz w:val="18"/>
                <w:szCs w:val="18"/>
                <w:lang w:eastAsia="sk-SK"/>
              </w:rPr>
            </w:pPr>
            <w:r w:rsidRPr="00FD1A0F">
              <w:rPr>
                <w:rFonts w:ascii="Times New Roman" w:hAnsi="Times New Roman"/>
                <w:color w:val="000000"/>
                <w:sz w:val="18"/>
                <w:szCs w:val="18"/>
                <w:lang w:eastAsia="sk-SK"/>
              </w:rPr>
              <w:t>122 658</w:t>
            </w:r>
          </w:p>
        </w:tc>
        <w:tc>
          <w:tcPr>
            <w:tcW w:w="687" w:type="pct"/>
            <w:tcBorders>
              <w:top w:val="nil"/>
              <w:left w:val="nil"/>
              <w:bottom w:val="nil"/>
              <w:right w:val="nil"/>
            </w:tcBorders>
            <w:vAlign w:val="center"/>
            <w:hideMark/>
          </w:tcPr>
          <w:p w14:paraId="68D511D0" w14:textId="77777777" w:rsidR="00FD1A0F" w:rsidRPr="00FD1A0F" w:rsidRDefault="00FD1A0F" w:rsidP="00FD1A0F">
            <w:pPr>
              <w:spacing w:after="0" w:line="240" w:lineRule="auto"/>
              <w:jc w:val="right"/>
              <w:rPr>
                <w:rFonts w:ascii="Times New Roman" w:hAnsi="Times New Roman"/>
                <w:color w:val="000000"/>
                <w:sz w:val="18"/>
                <w:szCs w:val="18"/>
                <w:lang w:eastAsia="sk-SK"/>
              </w:rPr>
            </w:pPr>
            <w:r w:rsidRPr="00FD1A0F">
              <w:rPr>
                <w:rFonts w:ascii="Times New Roman" w:hAnsi="Times New Roman"/>
                <w:color w:val="000000"/>
                <w:sz w:val="18"/>
                <w:szCs w:val="18"/>
                <w:lang w:eastAsia="sk-SK"/>
              </w:rPr>
              <w:t>47</w:t>
            </w:r>
          </w:p>
        </w:tc>
      </w:tr>
      <w:tr w:rsidR="00FD1A0F" w:rsidRPr="00FD1A0F" w14:paraId="5250A6F6" w14:textId="77777777" w:rsidTr="00A7107D">
        <w:trPr>
          <w:trHeight w:val="227"/>
          <w:jc w:val="center"/>
        </w:trPr>
        <w:tc>
          <w:tcPr>
            <w:tcW w:w="2951" w:type="pct"/>
            <w:tcBorders>
              <w:top w:val="nil"/>
              <w:left w:val="nil"/>
              <w:bottom w:val="nil"/>
              <w:right w:val="nil"/>
            </w:tcBorders>
            <w:vAlign w:val="center"/>
            <w:hideMark/>
          </w:tcPr>
          <w:p w14:paraId="52B19CEB" w14:textId="77777777" w:rsidR="00FD1A0F" w:rsidRPr="00FD1A0F" w:rsidRDefault="00FD1A0F" w:rsidP="00FD1A0F">
            <w:pPr>
              <w:spacing w:after="0" w:line="240" w:lineRule="auto"/>
              <w:rPr>
                <w:rFonts w:ascii="Times New Roman" w:hAnsi="Times New Roman"/>
                <w:color w:val="000000"/>
                <w:sz w:val="18"/>
                <w:szCs w:val="18"/>
                <w:lang w:eastAsia="sk-SK"/>
              </w:rPr>
            </w:pPr>
            <w:r w:rsidRPr="00FD1A0F">
              <w:rPr>
                <w:rFonts w:ascii="Times New Roman" w:hAnsi="Times New Roman"/>
                <w:color w:val="000000"/>
                <w:sz w:val="18"/>
                <w:szCs w:val="18"/>
                <w:lang w:eastAsia="sk-SK"/>
              </w:rPr>
              <w:t>Skupina Svetovej banky (IFC, IBRD, IDA, MIGA)</w:t>
            </w:r>
          </w:p>
        </w:tc>
        <w:tc>
          <w:tcPr>
            <w:tcW w:w="686" w:type="pct"/>
            <w:tcBorders>
              <w:top w:val="nil"/>
              <w:left w:val="nil"/>
              <w:bottom w:val="nil"/>
              <w:right w:val="nil"/>
            </w:tcBorders>
            <w:vAlign w:val="center"/>
            <w:hideMark/>
          </w:tcPr>
          <w:p w14:paraId="02DDD5B7" w14:textId="77777777" w:rsidR="00FD1A0F" w:rsidRPr="00FD1A0F" w:rsidRDefault="00FD1A0F" w:rsidP="00FD1A0F">
            <w:pPr>
              <w:spacing w:after="0" w:line="240" w:lineRule="auto"/>
              <w:jc w:val="right"/>
              <w:rPr>
                <w:rFonts w:ascii="Times New Roman" w:hAnsi="Times New Roman"/>
                <w:color w:val="000000"/>
                <w:sz w:val="18"/>
                <w:szCs w:val="18"/>
                <w:lang w:eastAsia="sk-SK"/>
              </w:rPr>
            </w:pPr>
            <w:r w:rsidRPr="00FD1A0F">
              <w:rPr>
                <w:rFonts w:ascii="Times New Roman" w:hAnsi="Times New Roman"/>
                <w:color w:val="000000"/>
                <w:sz w:val="18"/>
                <w:szCs w:val="18"/>
                <w:lang w:eastAsia="sk-SK"/>
              </w:rPr>
              <w:t>117 108</w:t>
            </w:r>
          </w:p>
        </w:tc>
        <w:tc>
          <w:tcPr>
            <w:tcW w:w="676" w:type="pct"/>
            <w:tcBorders>
              <w:top w:val="nil"/>
              <w:left w:val="nil"/>
              <w:bottom w:val="nil"/>
              <w:right w:val="nil"/>
            </w:tcBorders>
            <w:vAlign w:val="center"/>
            <w:hideMark/>
          </w:tcPr>
          <w:p w14:paraId="135C8801" w14:textId="77777777" w:rsidR="00FD1A0F" w:rsidRPr="00FD1A0F" w:rsidRDefault="00FD1A0F" w:rsidP="00FD1A0F">
            <w:pPr>
              <w:spacing w:after="0" w:line="240" w:lineRule="auto"/>
              <w:jc w:val="right"/>
              <w:rPr>
                <w:rFonts w:ascii="Times New Roman" w:hAnsi="Times New Roman"/>
                <w:color w:val="000000"/>
                <w:sz w:val="18"/>
                <w:szCs w:val="18"/>
                <w:lang w:eastAsia="sk-SK"/>
              </w:rPr>
            </w:pPr>
            <w:r w:rsidRPr="00FD1A0F">
              <w:rPr>
                <w:rFonts w:ascii="Times New Roman" w:hAnsi="Times New Roman"/>
                <w:color w:val="000000"/>
                <w:sz w:val="18"/>
                <w:szCs w:val="18"/>
                <w:lang w:eastAsia="sk-SK"/>
              </w:rPr>
              <w:t>109 329</w:t>
            </w:r>
          </w:p>
        </w:tc>
        <w:tc>
          <w:tcPr>
            <w:tcW w:w="687" w:type="pct"/>
            <w:tcBorders>
              <w:top w:val="nil"/>
              <w:left w:val="nil"/>
              <w:bottom w:val="nil"/>
              <w:right w:val="nil"/>
            </w:tcBorders>
            <w:vAlign w:val="center"/>
            <w:hideMark/>
          </w:tcPr>
          <w:p w14:paraId="5FDA3C85" w14:textId="77777777" w:rsidR="00FD1A0F" w:rsidRPr="00FD1A0F" w:rsidRDefault="00FD1A0F" w:rsidP="00FD1A0F">
            <w:pPr>
              <w:spacing w:after="0" w:line="240" w:lineRule="auto"/>
              <w:jc w:val="right"/>
              <w:rPr>
                <w:rFonts w:ascii="Times New Roman" w:hAnsi="Times New Roman"/>
                <w:color w:val="000000"/>
                <w:sz w:val="18"/>
                <w:szCs w:val="18"/>
                <w:lang w:eastAsia="sk-SK"/>
              </w:rPr>
            </w:pPr>
            <w:r w:rsidRPr="00FD1A0F">
              <w:rPr>
                <w:rFonts w:ascii="Times New Roman" w:hAnsi="Times New Roman"/>
                <w:color w:val="000000"/>
                <w:sz w:val="18"/>
                <w:szCs w:val="18"/>
                <w:lang w:eastAsia="sk-SK"/>
              </w:rPr>
              <w:t>7 779</w:t>
            </w:r>
          </w:p>
        </w:tc>
      </w:tr>
      <w:tr w:rsidR="00FD1A0F" w:rsidRPr="00FD1A0F" w14:paraId="1636178E" w14:textId="77777777" w:rsidTr="00A7107D">
        <w:trPr>
          <w:trHeight w:val="227"/>
          <w:jc w:val="center"/>
        </w:trPr>
        <w:tc>
          <w:tcPr>
            <w:tcW w:w="2951" w:type="pct"/>
            <w:tcBorders>
              <w:top w:val="nil"/>
              <w:left w:val="nil"/>
              <w:bottom w:val="nil"/>
              <w:right w:val="nil"/>
            </w:tcBorders>
            <w:vAlign w:val="center"/>
            <w:hideMark/>
          </w:tcPr>
          <w:p w14:paraId="7B2213BD" w14:textId="77777777" w:rsidR="00FD1A0F" w:rsidRPr="00FD1A0F" w:rsidRDefault="00FD1A0F" w:rsidP="00FD1A0F">
            <w:pPr>
              <w:spacing w:after="0" w:line="240" w:lineRule="auto"/>
              <w:rPr>
                <w:rFonts w:ascii="Times New Roman" w:hAnsi="Times New Roman"/>
                <w:color w:val="000000"/>
                <w:sz w:val="18"/>
                <w:szCs w:val="18"/>
                <w:lang w:eastAsia="sk-SK"/>
              </w:rPr>
            </w:pPr>
            <w:r w:rsidRPr="00FD1A0F">
              <w:rPr>
                <w:rFonts w:ascii="Times New Roman" w:hAnsi="Times New Roman"/>
                <w:color w:val="000000"/>
                <w:sz w:val="18"/>
                <w:szCs w:val="18"/>
                <w:lang w:eastAsia="sk-SK"/>
              </w:rPr>
              <w:t>Európska banka pre obnovu a rozvoj (EBOR)</w:t>
            </w:r>
          </w:p>
        </w:tc>
        <w:tc>
          <w:tcPr>
            <w:tcW w:w="686" w:type="pct"/>
            <w:tcBorders>
              <w:top w:val="nil"/>
              <w:left w:val="nil"/>
              <w:bottom w:val="nil"/>
              <w:right w:val="nil"/>
            </w:tcBorders>
            <w:vAlign w:val="center"/>
            <w:hideMark/>
          </w:tcPr>
          <w:p w14:paraId="655C3AD6" w14:textId="77777777" w:rsidR="00FD1A0F" w:rsidRPr="00FD1A0F" w:rsidRDefault="00FD1A0F" w:rsidP="00FD1A0F">
            <w:pPr>
              <w:spacing w:after="0" w:line="240" w:lineRule="auto"/>
              <w:jc w:val="right"/>
              <w:rPr>
                <w:rFonts w:ascii="Times New Roman" w:hAnsi="Times New Roman"/>
                <w:color w:val="000000"/>
                <w:sz w:val="18"/>
                <w:szCs w:val="18"/>
                <w:lang w:eastAsia="sk-SK"/>
              </w:rPr>
            </w:pPr>
            <w:r w:rsidRPr="00FD1A0F">
              <w:rPr>
                <w:rFonts w:ascii="Times New Roman" w:hAnsi="Times New Roman"/>
                <w:color w:val="000000"/>
                <w:sz w:val="18"/>
                <w:szCs w:val="18"/>
                <w:lang w:eastAsia="sk-SK"/>
              </w:rPr>
              <w:t>26 711</w:t>
            </w:r>
          </w:p>
        </w:tc>
        <w:tc>
          <w:tcPr>
            <w:tcW w:w="676" w:type="pct"/>
            <w:tcBorders>
              <w:top w:val="nil"/>
              <w:left w:val="nil"/>
              <w:bottom w:val="nil"/>
              <w:right w:val="nil"/>
            </w:tcBorders>
            <w:vAlign w:val="center"/>
            <w:hideMark/>
          </w:tcPr>
          <w:p w14:paraId="1E4A0347" w14:textId="77777777" w:rsidR="00FD1A0F" w:rsidRPr="00FD1A0F" w:rsidRDefault="00FD1A0F" w:rsidP="00FD1A0F">
            <w:pPr>
              <w:spacing w:after="0" w:line="240" w:lineRule="auto"/>
              <w:jc w:val="right"/>
              <w:rPr>
                <w:rFonts w:ascii="Times New Roman" w:hAnsi="Times New Roman"/>
                <w:color w:val="000000"/>
                <w:sz w:val="18"/>
                <w:szCs w:val="18"/>
                <w:lang w:eastAsia="sk-SK"/>
              </w:rPr>
            </w:pPr>
            <w:r w:rsidRPr="00FD1A0F">
              <w:rPr>
                <w:rFonts w:ascii="Times New Roman" w:hAnsi="Times New Roman"/>
                <w:color w:val="000000"/>
                <w:sz w:val="18"/>
                <w:szCs w:val="18"/>
                <w:lang w:eastAsia="sk-SK"/>
              </w:rPr>
              <w:t>26 711</w:t>
            </w:r>
          </w:p>
        </w:tc>
        <w:tc>
          <w:tcPr>
            <w:tcW w:w="687" w:type="pct"/>
            <w:tcBorders>
              <w:top w:val="nil"/>
              <w:left w:val="nil"/>
              <w:bottom w:val="nil"/>
              <w:right w:val="nil"/>
            </w:tcBorders>
            <w:vAlign w:val="center"/>
            <w:hideMark/>
          </w:tcPr>
          <w:p w14:paraId="186C84FA" w14:textId="77777777" w:rsidR="00FD1A0F" w:rsidRPr="00FD1A0F" w:rsidRDefault="00FD1A0F" w:rsidP="00FD1A0F">
            <w:pPr>
              <w:spacing w:after="0" w:line="240" w:lineRule="auto"/>
              <w:jc w:val="right"/>
              <w:rPr>
                <w:rFonts w:ascii="Times New Roman" w:hAnsi="Times New Roman"/>
                <w:color w:val="000000"/>
                <w:sz w:val="18"/>
                <w:szCs w:val="18"/>
                <w:lang w:eastAsia="sk-SK"/>
              </w:rPr>
            </w:pPr>
            <w:r w:rsidRPr="00FD1A0F">
              <w:rPr>
                <w:rFonts w:ascii="Times New Roman" w:hAnsi="Times New Roman"/>
                <w:color w:val="000000"/>
                <w:sz w:val="18"/>
                <w:szCs w:val="18"/>
                <w:lang w:eastAsia="sk-SK"/>
              </w:rPr>
              <w:t>0</w:t>
            </w:r>
          </w:p>
        </w:tc>
      </w:tr>
      <w:tr w:rsidR="00FD1A0F" w:rsidRPr="00FD1A0F" w14:paraId="1B6A4BDD" w14:textId="77777777" w:rsidTr="00A7107D">
        <w:trPr>
          <w:trHeight w:val="227"/>
          <w:jc w:val="center"/>
        </w:trPr>
        <w:tc>
          <w:tcPr>
            <w:tcW w:w="2951" w:type="pct"/>
            <w:tcBorders>
              <w:top w:val="nil"/>
              <w:left w:val="nil"/>
              <w:bottom w:val="nil"/>
              <w:right w:val="nil"/>
            </w:tcBorders>
            <w:vAlign w:val="center"/>
            <w:hideMark/>
          </w:tcPr>
          <w:p w14:paraId="343266EC" w14:textId="77777777" w:rsidR="00FD1A0F" w:rsidRPr="00FD1A0F" w:rsidRDefault="00FD1A0F" w:rsidP="00FD1A0F">
            <w:pPr>
              <w:spacing w:after="0" w:line="240" w:lineRule="auto"/>
              <w:rPr>
                <w:rFonts w:ascii="Times New Roman" w:hAnsi="Times New Roman"/>
                <w:color w:val="000000"/>
                <w:sz w:val="18"/>
                <w:szCs w:val="18"/>
                <w:lang w:eastAsia="sk-SK"/>
              </w:rPr>
            </w:pPr>
            <w:r w:rsidRPr="00FD1A0F">
              <w:rPr>
                <w:rFonts w:ascii="Times New Roman" w:hAnsi="Times New Roman"/>
                <w:color w:val="000000"/>
                <w:sz w:val="18"/>
                <w:szCs w:val="18"/>
                <w:lang w:eastAsia="sk-SK"/>
              </w:rPr>
              <w:t>Rozvojová banka Rady Európy (RBRE)</w:t>
            </w:r>
          </w:p>
        </w:tc>
        <w:tc>
          <w:tcPr>
            <w:tcW w:w="686" w:type="pct"/>
            <w:tcBorders>
              <w:top w:val="nil"/>
              <w:left w:val="nil"/>
              <w:bottom w:val="nil"/>
              <w:right w:val="nil"/>
            </w:tcBorders>
            <w:vAlign w:val="center"/>
            <w:hideMark/>
          </w:tcPr>
          <w:p w14:paraId="0CA33864" w14:textId="77777777" w:rsidR="00FD1A0F" w:rsidRPr="00FD1A0F" w:rsidRDefault="00FD1A0F" w:rsidP="00FD1A0F">
            <w:pPr>
              <w:spacing w:after="0" w:line="240" w:lineRule="auto"/>
              <w:jc w:val="right"/>
              <w:rPr>
                <w:rFonts w:ascii="Times New Roman" w:hAnsi="Times New Roman"/>
                <w:color w:val="000000"/>
                <w:sz w:val="18"/>
                <w:szCs w:val="18"/>
                <w:lang w:eastAsia="sk-SK"/>
              </w:rPr>
            </w:pPr>
            <w:r w:rsidRPr="00FD1A0F">
              <w:rPr>
                <w:rFonts w:ascii="Times New Roman" w:hAnsi="Times New Roman"/>
                <w:color w:val="000000"/>
                <w:sz w:val="18"/>
                <w:szCs w:val="18"/>
                <w:lang w:eastAsia="sk-SK"/>
              </w:rPr>
              <w:t>4 474</w:t>
            </w:r>
          </w:p>
        </w:tc>
        <w:tc>
          <w:tcPr>
            <w:tcW w:w="676" w:type="pct"/>
            <w:tcBorders>
              <w:top w:val="nil"/>
              <w:left w:val="nil"/>
              <w:bottom w:val="nil"/>
              <w:right w:val="nil"/>
            </w:tcBorders>
            <w:vAlign w:val="center"/>
            <w:hideMark/>
          </w:tcPr>
          <w:p w14:paraId="6CB700D5" w14:textId="77777777" w:rsidR="00FD1A0F" w:rsidRPr="00FD1A0F" w:rsidRDefault="00FD1A0F" w:rsidP="00FD1A0F">
            <w:pPr>
              <w:spacing w:after="0" w:line="240" w:lineRule="auto"/>
              <w:jc w:val="right"/>
              <w:rPr>
                <w:rFonts w:ascii="Times New Roman" w:hAnsi="Times New Roman"/>
                <w:color w:val="000000"/>
                <w:sz w:val="18"/>
                <w:szCs w:val="18"/>
                <w:lang w:eastAsia="sk-SK"/>
              </w:rPr>
            </w:pPr>
            <w:r w:rsidRPr="00FD1A0F">
              <w:rPr>
                <w:rFonts w:ascii="Times New Roman" w:hAnsi="Times New Roman"/>
                <w:color w:val="000000"/>
                <w:sz w:val="18"/>
                <w:szCs w:val="18"/>
                <w:lang w:eastAsia="sk-SK"/>
              </w:rPr>
              <w:t>2 397</w:t>
            </w:r>
          </w:p>
        </w:tc>
        <w:tc>
          <w:tcPr>
            <w:tcW w:w="687" w:type="pct"/>
            <w:tcBorders>
              <w:top w:val="nil"/>
              <w:left w:val="nil"/>
              <w:bottom w:val="nil"/>
              <w:right w:val="nil"/>
            </w:tcBorders>
            <w:vAlign w:val="center"/>
            <w:hideMark/>
          </w:tcPr>
          <w:p w14:paraId="43A7E789" w14:textId="77777777" w:rsidR="00FD1A0F" w:rsidRPr="00FD1A0F" w:rsidRDefault="00FD1A0F" w:rsidP="00FD1A0F">
            <w:pPr>
              <w:spacing w:after="0" w:line="240" w:lineRule="auto"/>
              <w:jc w:val="right"/>
              <w:rPr>
                <w:rFonts w:ascii="Times New Roman" w:hAnsi="Times New Roman"/>
                <w:color w:val="000000"/>
                <w:sz w:val="18"/>
                <w:szCs w:val="18"/>
                <w:lang w:eastAsia="sk-SK"/>
              </w:rPr>
            </w:pPr>
            <w:r w:rsidRPr="00FD1A0F">
              <w:rPr>
                <w:rFonts w:ascii="Times New Roman" w:hAnsi="Times New Roman"/>
                <w:color w:val="000000"/>
                <w:sz w:val="18"/>
                <w:szCs w:val="18"/>
                <w:lang w:eastAsia="sk-SK"/>
              </w:rPr>
              <w:t>2 077</w:t>
            </w:r>
          </w:p>
        </w:tc>
      </w:tr>
      <w:tr w:rsidR="00FD1A0F" w:rsidRPr="00FD1A0F" w14:paraId="2910D45D" w14:textId="77777777" w:rsidTr="00A7107D">
        <w:trPr>
          <w:trHeight w:val="227"/>
          <w:jc w:val="center"/>
        </w:trPr>
        <w:tc>
          <w:tcPr>
            <w:tcW w:w="2951" w:type="pct"/>
            <w:tcBorders>
              <w:top w:val="nil"/>
              <w:left w:val="nil"/>
              <w:bottom w:val="nil"/>
              <w:right w:val="nil"/>
            </w:tcBorders>
            <w:vAlign w:val="center"/>
            <w:hideMark/>
          </w:tcPr>
          <w:p w14:paraId="57ED0FA3" w14:textId="77777777" w:rsidR="00FD1A0F" w:rsidRPr="00FD1A0F" w:rsidRDefault="00FD1A0F" w:rsidP="00FD1A0F">
            <w:pPr>
              <w:spacing w:after="0" w:line="240" w:lineRule="auto"/>
              <w:rPr>
                <w:rFonts w:ascii="Times New Roman" w:hAnsi="Times New Roman"/>
                <w:color w:val="000000"/>
                <w:sz w:val="18"/>
                <w:szCs w:val="18"/>
                <w:lang w:eastAsia="sk-SK"/>
              </w:rPr>
            </w:pPr>
            <w:r w:rsidRPr="00FD1A0F">
              <w:rPr>
                <w:rFonts w:ascii="Times New Roman" w:hAnsi="Times New Roman"/>
                <w:color w:val="000000"/>
                <w:sz w:val="18"/>
                <w:szCs w:val="18"/>
                <w:lang w:eastAsia="sk-SK"/>
              </w:rPr>
              <w:t>Európsky finančný stabilizačný nástroj (EFSF)</w:t>
            </w:r>
          </w:p>
        </w:tc>
        <w:tc>
          <w:tcPr>
            <w:tcW w:w="686" w:type="pct"/>
            <w:tcBorders>
              <w:top w:val="nil"/>
              <w:left w:val="nil"/>
              <w:bottom w:val="nil"/>
              <w:right w:val="nil"/>
            </w:tcBorders>
            <w:vAlign w:val="center"/>
            <w:hideMark/>
          </w:tcPr>
          <w:p w14:paraId="3C7DBC74" w14:textId="77777777" w:rsidR="00FD1A0F" w:rsidRPr="00FD1A0F" w:rsidRDefault="00FD1A0F" w:rsidP="00FD1A0F">
            <w:pPr>
              <w:spacing w:after="0" w:line="240" w:lineRule="auto"/>
              <w:jc w:val="right"/>
              <w:rPr>
                <w:rFonts w:ascii="Times New Roman" w:hAnsi="Times New Roman"/>
                <w:color w:val="000000"/>
                <w:sz w:val="18"/>
                <w:szCs w:val="18"/>
                <w:lang w:eastAsia="sk-SK"/>
              </w:rPr>
            </w:pPr>
            <w:r w:rsidRPr="00FD1A0F">
              <w:rPr>
                <w:rFonts w:ascii="Times New Roman" w:hAnsi="Times New Roman"/>
                <w:color w:val="000000"/>
                <w:sz w:val="18"/>
                <w:szCs w:val="18"/>
                <w:lang w:eastAsia="sk-SK"/>
              </w:rPr>
              <w:t>283</w:t>
            </w:r>
          </w:p>
        </w:tc>
        <w:tc>
          <w:tcPr>
            <w:tcW w:w="676" w:type="pct"/>
            <w:tcBorders>
              <w:top w:val="nil"/>
              <w:left w:val="nil"/>
              <w:bottom w:val="nil"/>
              <w:right w:val="nil"/>
            </w:tcBorders>
            <w:vAlign w:val="center"/>
            <w:hideMark/>
          </w:tcPr>
          <w:p w14:paraId="3EB3789F" w14:textId="77777777" w:rsidR="00FD1A0F" w:rsidRPr="00FD1A0F" w:rsidRDefault="00FD1A0F" w:rsidP="00FD1A0F">
            <w:pPr>
              <w:spacing w:after="0" w:line="240" w:lineRule="auto"/>
              <w:jc w:val="right"/>
              <w:rPr>
                <w:rFonts w:ascii="Times New Roman" w:hAnsi="Times New Roman"/>
                <w:color w:val="000000"/>
                <w:sz w:val="18"/>
                <w:szCs w:val="18"/>
                <w:lang w:eastAsia="sk-SK"/>
              </w:rPr>
            </w:pPr>
            <w:r w:rsidRPr="00FD1A0F">
              <w:rPr>
                <w:rFonts w:ascii="Times New Roman" w:hAnsi="Times New Roman"/>
                <w:color w:val="000000"/>
                <w:sz w:val="18"/>
                <w:szCs w:val="18"/>
                <w:lang w:eastAsia="sk-SK"/>
              </w:rPr>
              <w:t>283</w:t>
            </w:r>
          </w:p>
        </w:tc>
        <w:tc>
          <w:tcPr>
            <w:tcW w:w="687" w:type="pct"/>
            <w:tcBorders>
              <w:top w:val="nil"/>
              <w:left w:val="nil"/>
              <w:bottom w:val="nil"/>
              <w:right w:val="nil"/>
            </w:tcBorders>
            <w:vAlign w:val="center"/>
            <w:hideMark/>
          </w:tcPr>
          <w:p w14:paraId="0627345F" w14:textId="77777777" w:rsidR="00FD1A0F" w:rsidRPr="00FD1A0F" w:rsidRDefault="00FD1A0F" w:rsidP="00FD1A0F">
            <w:pPr>
              <w:spacing w:after="0" w:line="240" w:lineRule="auto"/>
              <w:jc w:val="right"/>
              <w:rPr>
                <w:rFonts w:ascii="Times New Roman" w:hAnsi="Times New Roman"/>
                <w:color w:val="000000"/>
                <w:sz w:val="18"/>
                <w:szCs w:val="18"/>
                <w:lang w:eastAsia="sk-SK"/>
              </w:rPr>
            </w:pPr>
            <w:r w:rsidRPr="00FD1A0F">
              <w:rPr>
                <w:rFonts w:ascii="Times New Roman" w:hAnsi="Times New Roman"/>
                <w:color w:val="000000"/>
                <w:sz w:val="18"/>
                <w:szCs w:val="18"/>
                <w:lang w:eastAsia="sk-SK"/>
              </w:rPr>
              <w:t>0</w:t>
            </w:r>
          </w:p>
        </w:tc>
      </w:tr>
      <w:tr w:rsidR="00FD1A0F" w:rsidRPr="00FD1A0F" w14:paraId="4BA62FA5" w14:textId="77777777" w:rsidTr="00A7107D">
        <w:trPr>
          <w:trHeight w:val="227"/>
          <w:jc w:val="center"/>
        </w:trPr>
        <w:tc>
          <w:tcPr>
            <w:tcW w:w="2951" w:type="pct"/>
            <w:tcBorders>
              <w:top w:val="nil"/>
              <w:left w:val="nil"/>
              <w:bottom w:val="single" w:sz="8" w:space="0" w:color="000000"/>
              <w:right w:val="nil"/>
            </w:tcBorders>
            <w:vAlign w:val="center"/>
            <w:hideMark/>
          </w:tcPr>
          <w:p w14:paraId="1AFA3C84" w14:textId="77777777" w:rsidR="00FD1A0F" w:rsidRPr="00FD1A0F" w:rsidRDefault="00FD1A0F" w:rsidP="00FD1A0F">
            <w:pPr>
              <w:spacing w:after="0" w:line="240" w:lineRule="auto"/>
              <w:rPr>
                <w:rFonts w:ascii="Times New Roman" w:hAnsi="Times New Roman"/>
                <w:b/>
                <w:bCs/>
                <w:color w:val="000000"/>
                <w:sz w:val="18"/>
                <w:szCs w:val="18"/>
                <w:lang w:eastAsia="sk-SK"/>
              </w:rPr>
            </w:pPr>
            <w:r w:rsidRPr="00FD1A0F">
              <w:rPr>
                <w:rFonts w:ascii="Times New Roman" w:hAnsi="Times New Roman"/>
                <w:b/>
                <w:bCs/>
                <w:color w:val="000000"/>
                <w:sz w:val="18"/>
                <w:szCs w:val="18"/>
                <w:lang w:eastAsia="sk-SK"/>
              </w:rPr>
              <w:t>Spolu</w:t>
            </w:r>
          </w:p>
        </w:tc>
        <w:tc>
          <w:tcPr>
            <w:tcW w:w="686" w:type="pct"/>
            <w:tcBorders>
              <w:top w:val="nil"/>
              <w:left w:val="nil"/>
              <w:bottom w:val="single" w:sz="8" w:space="0" w:color="000000"/>
              <w:right w:val="nil"/>
            </w:tcBorders>
            <w:vAlign w:val="center"/>
            <w:hideMark/>
          </w:tcPr>
          <w:p w14:paraId="0CF052D2" w14:textId="77777777" w:rsidR="00FD1A0F" w:rsidRPr="00FD1A0F" w:rsidRDefault="00FD1A0F" w:rsidP="00FD1A0F">
            <w:pPr>
              <w:spacing w:after="0" w:line="240" w:lineRule="auto"/>
              <w:jc w:val="right"/>
              <w:rPr>
                <w:rFonts w:ascii="Times New Roman" w:hAnsi="Times New Roman"/>
                <w:b/>
                <w:bCs/>
                <w:color w:val="000000"/>
                <w:sz w:val="18"/>
                <w:szCs w:val="18"/>
                <w:lang w:eastAsia="sk-SK"/>
              </w:rPr>
            </w:pPr>
            <w:r w:rsidRPr="00FD1A0F">
              <w:rPr>
                <w:rFonts w:ascii="Times New Roman" w:hAnsi="Times New Roman"/>
                <w:b/>
                <w:bCs/>
                <w:color w:val="000000"/>
                <w:sz w:val="18"/>
                <w:szCs w:val="18"/>
                <w:lang w:eastAsia="sk-SK"/>
              </w:rPr>
              <w:t>1 064 071</w:t>
            </w:r>
          </w:p>
        </w:tc>
        <w:tc>
          <w:tcPr>
            <w:tcW w:w="676" w:type="pct"/>
            <w:tcBorders>
              <w:top w:val="nil"/>
              <w:left w:val="nil"/>
              <w:bottom w:val="single" w:sz="8" w:space="0" w:color="000000"/>
              <w:right w:val="nil"/>
            </w:tcBorders>
            <w:vAlign w:val="center"/>
            <w:hideMark/>
          </w:tcPr>
          <w:p w14:paraId="7AA604F9" w14:textId="77777777" w:rsidR="00FD1A0F" w:rsidRPr="00FD1A0F" w:rsidRDefault="00FD1A0F" w:rsidP="00FD1A0F">
            <w:pPr>
              <w:spacing w:after="0" w:line="240" w:lineRule="auto"/>
              <w:jc w:val="right"/>
              <w:rPr>
                <w:rFonts w:ascii="Times New Roman" w:hAnsi="Times New Roman"/>
                <w:b/>
                <w:bCs/>
                <w:color w:val="000000"/>
                <w:sz w:val="18"/>
                <w:szCs w:val="18"/>
                <w:lang w:eastAsia="sk-SK"/>
              </w:rPr>
            </w:pPr>
            <w:r w:rsidRPr="00FD1A0F">
              <w:rPr>
                <w:rFonts w:ascii="Times New Roman" w:hAnsi="Times New Roman"/>
                <w:b/>
                <w:bCs/>
                <w:color w:val="000000"/>
                <w:sz w:val="18"/>
                <w:szCs w:val="18"/>
                <w:lang w:eastAsia="sk-SK"/>
              </w:rPr>
              <w:t>1 054 168</w:t>
            </w:r>
          </w:p>
        </w:tc>
        <w:tc>
          <w:tcPr>
            <w:tcW w:w="687" w:type="pct"/>
            <w:tcBorders>
              <w:top w:val="single" w:sz="8" w:space="0" w:color="000000"/>
              <w:left w:val="nil"/>
              <w:bottom w:val="single" w:sz="8" w:space="0" w:color="000000"/>
              <w:right w:val="nil"/>
            </w:tcBorders>
            <w:vAlign w:val="center"/>
            <w:hideMark/>
          </w:tcPr>
          <w:p w14:paraId="4E19B79F" w14:textId="77777777" w:rsidR="00FD1A0F" w:rsidRPr="00FD1A0F" w:rsidRDefault="00FD1A0F" w:rsidP="00FD1A0F">
            <w:pPr>
              <w:spacing w:after="0" w:line="240" w:lineRule="auto"/>
              <w:jc w:val="right"/>
              <w:rPr>
                <w:rFonts w:ascii="Times New Roman" w:hAnsi="Times New Roman"/>
                <w:b/>
                <w:bCs/>
                <w:color w:val="000000"/>
                <w:sz w:val="18"/>
                <w:szCs w:val="18"/>
                <w:lang w:eastAsia="sk-SK"/>
              </w:rPr>
            </w:pPr>
            <w:r w:rsidRPr="00FD1A0F">
              <w:rPr>
                <w:rFonts w:ascii="Times New Roman" w:hAnsi="Times New Roman"/>
                <w:b/>
                <w:bCs/>
                <w:color w:val="000000"/>
                <w:sz w:val="18"/>
                <w:szCs w:val="18"/>
                <w:lang w:eastAsia="sk-SK"/>
              </w:rPr>
              <w:t>9 903</w:t>
            </w:r>
          </w:p>
        </w:tc>
      </w:tr>
      <w:tr w:rsidR="00FD1A0F" w:rsidRPr="00FD1A0F" w14:paraId="32050183" w14:textId="77777777" w:rsidTr="00A7107D">
        <w:trPr>
          <w:trHeight w:val="227"/>
          <w:jc w:val="center"/>
        </w:trPr>
        <w:tc>
          <w:tcPr>
            <w:tcW w:w="4998" w:type="pct"/>
            <w:gridSpan w:val="4"/>
            <w:tcBorders>
              <w:top w:val="single" w:sz="8" w:space="0" w:color="000000"/>
              <w:left w:val="nil"/>
              <w:bottom w:val="nil"/>
              <w:right w:val="nil"/>
            </w:tcBorders>
            <w:noWrap/>
            <w:vAlign w:val="center"/>
            <w:hideMark/>
          </w:tcPr>
          <w:p w14:paraId="417EA176" w14:textId="77777777" w:rsidR="00FD1A0F" w:rsidRPr="00FD1A0F" w:rsidRDefault="00FD1A0F" w:rsidP="00FD1A0F">
            <w:pPr>
              <w:spacing w:after="0" w:line="240" w:lineRule="auto"/>
              <w:jc w:val="right"/>
              <w:rPr>
                <w:rFonts w:ascii="Times New Roman" w:hAnsi="Times New Roman"/>
                <w:color w:val="000000"/>
                <w:sz w:val="16"/>
                <w:szCs w:val="16"/>
                <w:lang w:eastAsia="sk-SK"/>
              </w:rPr>
            </w:pPr>
            <w:r w:rsidRPr="00FD1A0F">
              <w:rPr>
                <w:rFonts w:ascii="Times New Roman" w:hAnsi="Times New Roman"/>
                <w:color w:val="000000"/>
                <w:sz w:val="16"/>
                <w:szCs w:val="16"/>
                <w:lang w:eastAsia="sk-SK"/>
              </w:rPr>
              <w:t>Zdroj: MF SR, Centrálny konsolidačný systém</w:t>
            </w:r>
          </w:p>
        </w:tc>
      </w:tr>
    </w:tbl>
    <w:p w14:paraId="126E5A0A" w14:textId="77777777" w:rsidR="00CD0AA2" w:rsidRPr="0085799C" w:rsidRDefault="00CD0AA2" w:rsidP="0085799C">
      <w:pPr>
        <w:spacing w:after="120" w:line="240" w:lineRule="auto"/>
        <w:rPr>
          <w:rFonts w:ascii="Times New Roman" w:hAnsi="Times New Roman"/>
          <w:szCs w:val="22"/>
        </w:rPr>
      </w:pPr>
    </w:p>
    <w:p w14:paraId="68A67EC4" w14:textId="2FE44D60" w:rsidR="005D7EEC" w:rsidRPr="0085799C" w:rsidRDefault="005D7EEC" w:rsidP="0085799C">
      <w:pPr>
        <w:spacing w:after="120" w:line="240" w:lineRule="auto"/>
        <w:jc w:val="both"/>
        <w:rPr>
          <w:rFonts w:ascii="Times New Roman" w:eastAsia="Calibri" w:hAnsi="Times New Roman"/>
          <w:szCs w:val="22"/>
        </w:rPr>
      </w:pPr>
      <w:r w:rsidRPr="0085799C">
        <w:rPr>
          <w:rFonts w:ascii="Times New Roman" w:eastAsia="Calibri" w:hAnsi="Times New Roman"/>
          <w:szCs w:val="22"/>
        </w:rPr>
        <w:t>Zostatok na uvedenom účte tvorili najmä kapitálové účasti v medzinárodných finančných inštitúciách, v európskych stabilizačných mechanizmoch (EFSF, ESM), v ktorých Ministerstvo financií SR reprezentuje Slovenskú republiku ako členskú krajinu, spravuje tieto podiely na zmluvnom základe a účtovne ich eviduje v sume 1 064 07</w:t>
      </w:r>
      <w:r w:rsidR="0004263B">
        <w:rPr>
          <w:rFonts w:ascii="Times New Roman" w:eastAsia="Calibri" w:hAnsi="Times New Roman"/>
          <w:szCs w:val="22"/>
        </w:rPr>
        <w:t>1</w:t>
      </w:r>
      <w:r w:rsidRPr="0085799C">
        <w:rPr>
          <w:rFonts w:ascii="Times New Roman" w:eastAsia="Calibri" w:hAnsi="Times New Roman"/>
          <w:szCs w:val="22"/>
        </w:rPr>
        <w:t xml:space="preserve"> </w:t>
      </w:r>
      <w:r w:rsidR="00452163" w:rsidRPr="0085799C">
        <w:rPr>
          <w:rFonts w:ascii="Times New Roman" w:eastAsia="Calibri" w:hAnsi="Times New Roman"/>
          <w:szCs w:val="22"/>
        </w:rPr>
        <w:t>tis.</w:t>
      </w:r>
      <w:r w:rsidRPr="0085799C">
        <w:rPr>
          <w:rFonts w:ascii="Times New Roman" w:eastAsia="Calibri" w:hAnsi="Times New Roman"/>
          <w:szCs w:val="22"/>
        </w:rPr>
        <w:t xml:space="preserve"> eur. V roku 2024 došlo k zvýšeniu základného imania RBRE o 2 077 </w:t>
      </w:r>
      <w:r w:rsidR="00452163" w:rsidRPr="0085799C">
        <w:rPr>
          <w:rFonts w:ascii="Times New Roman" w:eastAsia="Calibri" w:hAnsi="Times New Roman"/>
          <w:szCs w:val="22"/>
        </w:rPr>
        <w:t>tis.</w:t>
      </w:r>
      <w:r w:rsidRPr="0085799C">
        <w:rPr>
          <w:rFonts w:ascii="Times New Roman" w:eastAsia="Calibri" w:hAnsi="Times New Roman"/>
          <w:szCs w:val="22"/>
        </w:rPr>
        <w:t xml:space="preserve"> eur, IFC o 2 003 </w:t>
      </w:r>
      <w:r w:rsidR="00452163" w:rsidRPr="0085799C">
        <w:rPr>
          <w:rFonts w:ascii="Times New Roman" w:eastAsia="Calibri" w:hAnsi="Times New Roman"/>
          <w:szCs w:val="22"/>
        </w:rPr>
        <w:t>tis.</w:t>
      </w:r>
      <w:r w:rsidRPr="0085799C">
        <w:rPr>
          <w:rFonts w:ascii="Times New Roman" w:eastAsia="Calibri" w:hAnsi="Times New Roman"/>
          <w:szCs w:val="22"/>
        </w:rPr>
        <w:t xml:space="preserve"> eur a k úhrade splátky SR v rámci doplnenia zdrojov iniciatívy pre IDA v sume 130 </w:t>
      </w:r>
      <w:r w:rsidR="00452163" w:rsidRPr="0085799C">
        <w:rPr>
          <w:rFonts w:ascii="Times New Roman" w:eastAsia="Calibri" w:hAnsi="Times New Roman"/>
          <w:szCs w:val="22"/>
        </w:rPr>
        <w:t>tis.</w:t>
      </w:r>
      <w:r w:rsidRPr="0085799C">
        <w:rPr>
          <w:rFonts w:ascii="Times New Roman" w:eastAsia="Calibri" w:hAnsi="Times New Roman"/>
          <w:szCs w:val="22"/>
        </w:rPr>
        <w:t xml:space="preserve"> eur. Zdrojom zvýšenia týchto podielov boli prostriedky štátnych finančných aktív. Zníženie bolo z dôvodu čerpania prostriedkov v rámci Stredoeurópskeho fondu fondov – </w:t>
      </w:r>
      <w:proofErr w:type="spellStart"/>
      <w:r w:rsidRPr="0085799C">
        <w:rPr>
          <w:rFonts w:ascii="Times New Roman" w:eastAsia="Calibri" w:hAnsi="Times New Roman"/>
          <w:szCs w:val="22"/>
        </w:rPr>
        <w:t>CEFoF</w:t>
      </w:r>
      <w:proofErr w:type="spellEnd"/>
      <w:r w:rsidRPr="0085799C">
        <w:rPr>
          <w:rFonts w:ascii="Times New Roman" w:eastAsia="Calibri" w:hAnsi="Times New Roman"/>
          <w:szCs w:val="22"/>
        </w:rPr>
        <w:t>, ktoré sa postupne investujú cez manažéra fondu – EIF do príslušných projektov.</w:t>
      </w:r>
    </w:p>
    <w:p w14:paraId="1FE4091E" w14:textId="4A4CED9C" w:rsidR="03EB441B" w:rsidRPr="0085799C" w:rsidRDefault="6BE98142" w:rsidP="0085799C">
      <w:pPr>
        <w:spacing w:after="120" w:line="240" w:lineRule="auto"/>
        <w:jc w:val="both"/>
        <w:rPr>
          <w:rFonts w:ascii="Times New Roman" w:eastAsia="Calibri" w:hAnsi="Times New Roman"/>
          <w:szCs w:val="22"/>
        </w:rPr>
      </w:pPr>
      <w:r w:rsidRPr="0085799C">
        <w:rPr>
          <w:rFonts w:ascii="Times New Roman" w:eastAsia="Calibri" w:hAnsi="Times New Roman"/>
          <w:szCs w:val="22"/>
        </w:rPr>
        <w:t>Slovenská republika zároveň ako člen týchto medzinárodných inštitúcií, čerpá zvýhodnené dlhodobé investičné úvery napríklad od EIB, RBRE. Slovenská republika dňa 29. 1. 2023 ukončila svoje členstvo v Medzinárodnej investičnej banke (MIB) a</w:t>
      </w:r>
      <w:r w:rsidR="003A3A52">
        <w:rPr>
          <w:rFonts w:ascii="Times New Roman" w:eastAsia="Calibri" w:hAnsi="Times New Roman"/>
          <w:szCs w:val="22"/>
        </w:rPr>
        <w:t> </w:t>
      </w:r>
      <w:r w:rsidRPr="0085799C">
        <w:rPr>
          <w:rFonts w:ascii="Times New Roman" w:eastAsia="Calibri" w:hAnsi="Times New Roman"/>
          <w:szCs w:val="22"/>
        </w:rPr>
        <w:t>v</w:t>
      </w:r>
      <w:r w:rsidR="003A3A52">
        <w:rPr>
          <w:rFonts w:ascii="Times New Roman" w:eastAsia="Calibri" w:hAnsi="Times New Roman"/>
          <w:szCs w:val="22"/>
        </w:rPr>
        <w:t> </w:t>
      </w:r>
      <w:r w:rsidRPr="0085799C">
        <w:rPr>
          <w:rFonts w:ascii="Times New Roman" w:eastAsia="Calibri" w:hAnsi="Times New Roman"/>
          <w:szCs w:val="22"/>
        </w:rPr>
        <w:t>Medzinárodnej banke pre hospodársku spoluprácu (MBHS). Splatený kapitál SR v oboch bankách vedie ministerstvo ako pohľadávku, nakoľko je pravdepodobné, že SR podpíše dohodu o vysporiadaní vzťahov po vystúpení.</w:t>
      </w:r>
    </w:p>
    <w:p w14:paraId="67FCD24B" w14:textId="0A98DE3A" w:rsidR="6BE98142" w:rsidRPr="0085799C" w:rsidRDefault="6BE98142" w:rsidP="0085799C">
      <w:pPr>
        <w:spacing w:after="120" w:line="240" w:lineRule="auto"/>
        <w:jc w:val="both"/>
        <w:rPr>
          <w:rFonts w:ascii="Times New Roman" w:eastAsia="Calibri" w:hAnsi="Times New Roman"/>
        </w:rPr>
      </w:pPr>
      <w:r w:rsidRPr="0085799C">
        <w:rPr>
          <w:rFonts w:ascii="Times New Roman" w:eastAsia="Calibri" w:hAnsi="Times New Roman"/>
          <w:u w:val="single"/>
        </w:rPr>
        <w:t xml:space="preserve">National </w:t>
      </w:r>
      <w:proofErr w:type="spellStart"/>
      <w:r w:rsidRPr="0085799C">
        <w:rPr>
          <w:rFonts w:ascii="Times New Roman" w:eastAsia="Calibri" w:hAnsi="Times New Roman"/>
          <w:u w:val="single"/>
        </w:rPr>
        <w:t>Development</w:t>
      </w:r>
      <w:proofErr w:type="spellEnd"/>
      <w:r w:rsidRPr="0085799C">
        <w:rPr>
          <w:rFonts w:ascii="Times New Roman" w:eastAsia="Calibri" w:hAnsi="Times New Roman"/>
          <w:u w:val="single"/>
        </w:rPr>
        <w:t xml:space="preserve"> </w:t>
      </w:r>
      <w:proofErr w:type="spellStart"/>
      <w:r w:rsidRPr="0085799C">
        <w:rPr>
          <w:rFonts w:ascii="Times New Roman" w:eastAsia="Calibri" w:hAnsi="Times New Roman"/>
          <w:u w:val="single"/>
        </w:rPr>
        <w:t>Fund</w:t>
      </w:r>
      <w:proofErr w:type="spellEnd"/>
      <w:r w:rsidRPr="0085799C">
        <w:rPr>
          <w:rFonts w:ascii="Times New Roman" w:eastAsia="Calibri" w:hAnsi="Times New Roman"/>
          <w:u w:val="single"/>
        </w:rPr>
        <w:t xml:space="preserve"> II.,</w:t>
      </w:r>
      <w:proofErr w:type="spellStart"/>
      <w:r w:rsidRPr="0085799C">
        <w:rPr>
          <w:rFonts w:ascii="Times New Roman" w:eastAsia="Calibri" w:hAnsi="Times New Roman"/>
          <w:u w:val="single"/>
        </w:rPr>
        <w:t>a.s</w:t>
      </w:r>
      <w:proofErr w:type="spellEnd"/>
      <w:r w:rsidRPr="0085799C">
        <w:rPr>
          <w:rFonts w:ascii="Times New Roman" w:eastAsia="Calibri" w:hAnsi="Times New Roman"/>
          <w:u w:val="single"/>
        </w:rPr>
        <w:t>.</w:t>
      </w:r>
      <w:r w:rsidRPr="0085799C">
        <w:rPr>
          <w:rFonts w:ascii="Times New Roman" w:eastAsia="Calibri" w:hAnsi="Times New Roman"/>
        </w:rPr>
        <w:t xml:space="preserve"> vykazuje ostatný dlhodobý finančný majetok vo výške 187 855 </w:t>
      </w:r>
      <w:r w:rsidR="005C06F2" w:rsidRPr="0085799C">
        <w:rPr>
          <w:rFonts w:ascii="Times New Roman" w:eastAsia="Calibri" w:hAnsi="Times New Roman"/>
        </w:rPr>
        <w:t>tis.</w:t>
      </w:r>
      <w:r w:rsidRPr="0085799C">
        <w:rPr>
          <w:rFonts w:ascii="Times New Roman" w:eastAsia="Calibri" w:hAnsi="Times New Roman"/>
        </w:rPr>
        <w:t xml:space="preserve"> eur, týka sa najmä priamych </w:t>
      </w:r>
      <w:proofErr w:type="spellStart"/>
      <w:r w:rsidRPr="0085799C">
        <w:rPr>
          <w:rFonts w:ascii="Times New Roman" w:eastAsia="Calibri" w:hAnsi="Times New Roman"/>
        </w:rPr>
        <w:t>ekvitných</w:t>
      </w:r>
      <w:proofErr w:type="spellEnd"/>
      <w:r w:rsidRPr="0085799C">
        <w:rPr>
          <w:rFonts w:ascii="Times New Roman" w:eastAsia="Calibri" w:hAnsi="Times New Roman"/>
        </w:rPr>
        <w:t xml:space="preserve"> investícií do obchodných spoločností. Z celkovej hodnoty, vykazuje táto účtovná jednotka  sumu 156</w:t>
      </w:r>
      <w:r w:rsidR="005C06F2" w:rsidRPr="0085799C">
        <w:rPr>
          <w:rFonts w:ascii="Times New Roman" w:eastAsia="Calibri" w:hAnsi="Times New Roman"/>
        </w:rPr>
        <w:t> </w:t>
      </w:r>
      <w:r w:rsidRPr="0085799C">
        <w:rPr>
          <w:rFonts w:ascii="Times New Roman" w:eastAsia="Calibri" w:hAnsi="Times New Roman"/>
        </w:rPr>
        <w:t>30</w:t>
      </w:r>
      <w:r w:rsidR="005C06F2" w:rsidRPr="0085799C">
        <w:rPr>
          <w:rFonts w:ascii="Times New Roman" w:eastAsia="Calibri" w:hAnsi="Times New Roman"/>
        </w:rPr>
        <w:t>3 tis.</w:t>
      </w:r>
      <w:r w:rsidRPr="0085799C">
        <w:rPr>
          <w:rFonts w:ascii="Times New Roman" w:eastAsia="Calibri" w:hAnsi="Times New Roman"/>
        </w:rPr>
        <w:t xml:space="preserve"> eur, ktorá predstavuje väčšinové podiely v uzavretých fondoch rizikového kapitálu určené pre profesionálnych investorov a sumu 31 552 </w:t>
      </w:r>
      <w:r w:rsidR="005C06F2" w:rsidRPr="0085799C">
        <w:rPr>
          <w:rFonts w:ascii="Times New Roman" w:eastAsia="Calibri" w:hAnsi="Times New Roman"/>
        </w:rPr>
        <w:t>tis.</w:t>
      </w:r>
      <w:r w:rsidRPr="0085799C">
        <w:rPr>
          <w:rFonts w:ascii="Times New Roman" w:eastAsia="Calibri" w:hAnsi="Times New Roman"/>
        </w:rPr>
        <w:t xml:space="preserve"> eur, ktorá bola investíciou v rámci projektu D4/R7 formou </w:t>
      </w:r>
      <w:proofErr w:type="spellStart"/>
      <w:r w:rsidRPr="0085799C">
        <w:rPr>
          <w:rFonts w:ascii="Times New Roman" w:eastAsia="Calibri" w:hAnsi="Times New Roman"/>
        </w:rPr>
        <w:t>mezzanine</w:t>
      </w:r>
      <w:proofErr w:type="spellEnd"/>
      <w:r w:rsidRPr="0085799C">
        <w:rPr>
          <w:rFonts w:ascii="Times New Roman" w:eastAsia="Calibri" w:hAnsi="Times New Roman"/>
        </w:rPr>
        <w:t xml:space="preserve"> financovania.</w:t>
      </w:r>
    </w:p>
    <w:p w14:paraId="1B41172E" w14:textId="22547EAF" w:rsidR="69262B40" w:rsidRPr="00F415D7" w:rsidRDefault="69262B40" w:rsidP="00CB11A7">
      <w:pPr>
        <w:spacing w:after="120" w:line="240" w:lineRule="auto"/>
        <w:jc w:val="both"/>
        <w:rPr>
          <w:rFonts w:ascii="Times New Roman" w:hAnsi="Times New Roman"/>
          <w:szCs w:val="22"/>
        </w:rPr>
      </w:pPr>
    </w:p>
    <w:p w14:paraId="2C2B6F68" w14:textId="77777777" w:rsidR="00647542" w:rsidRPr="007253B7" w:rsidRDefault="00647542" w:rsidP="0085799C">
      <w:pPr>
        <w:pStyle w:val="Nadpis3"/>
        <w:rPr>
          <w:sz w:val="24"/>
          <w:szCs w:val="24"/>
          <w:lang w:eastAsia="sk-SK"/>
        </w:rPr>
      </w:pPr>
      <w:r w:rsidRPr="00265F07">
        <w:rPr>
          <w:lang w:eastAsia="sk-SK"/>
        </w:rPr>
        <w:t>A.IV. Pohľadávky</w:t>
      </w:r>
    </w:p>
    <w:p w14:paraId="195DBA61" w14:textId="77777777" w:rsidR="00647542" w:rsidRPr="00907622" w:rsidRDefault="00647542" w:rsidP="00CB11A7">
      <w:pPr>
        <w:spacing w:after="120" w:line="240" w:lineRule="auto"/>
        <w:ind w:left="6"/>
        <w:jc w:val="both"/>
        <w:rPr>
          <w:rFonts w:ascii="Times New Roman" w:hAnsi="Times New Roman"/>
          <w:szCs w:val="22"/>
          <w:lang w:eastAsia="sk-SK"/>
        </w:rPr>
      </w:pPr>
      <w:r w:rsidRPr="00907622">
        <w:rPr>
          <w:rFonts w:ascii="Times New Roman" w:hAnsi="Times New Roman"/>
          <w:szCs w:val="22"/>
          <w:lang w:eastAsia="sk-SK"/>
        </w:rPr>
        <w:t>Medzi položkami dlhodobého majetku sa vykazujú pohľadávky subjektov súhrnného celku so zostatkovou dobou splatnosti dlhšou ako jeden rok. Súčasťou dlhodobých pohľadávok sú aj pohľadávky z poskytnutých návratných finančných výpomocí, ktorých zostatková doba splatnosti odo dňa, ku ktorému sa zostavuje účtovná závierka, je dlhšia ako 1 rok.</w:t>
      </w:r>
    </w:p>
    <w:p w14:paraId="125716BE" w14:textId="1C1965A1" w:rsidR="03EB441B" w:rsidRPr="0085799C" w:rsidRDefault="60B7D5F9" w:rsidP="00CB11A7">
      <w:pPr>
        <w:spacing w:after="120" w:line="240" w:lineRule="auto"/>
        <w:ind w:left="6"/>
        <w:jc w:val="both"/>
        <w:rPr>
          <w:rFonts w:ascii="Times New Roman" w:eastAsia="Calibri" w:hAnsi="Times New Roman"/>
          <w:szCs w:val="22"/>
        </w:rPr>
      </w:pPr>
      <w:r w:rsidRPr="0085799C">
        <w:rPr>
          <w:rFonts w:ascii="Times New Roman" w:eastAsia="Calibri" w:hAnsi="Times New Roman"/>
          <w:b/>
          <w:szCs w:val="22"/>
        </w:rPr>
        <w:t>Dlhodobé pohľadávky</w:t>
      </w:r>
      <w:r w:rsidRPr="0085799C">
        <w:rPr>
          <w:rFonts w:ascii="Times New Roman" w:eastAsia="Calibri" w:hAnsi="Times New Roman"/>
          <w:szCs w:val="22"/>
        </w:rPr>
        <w:t xml:space="preserve"> </w:t>
      </w:r>
      <w:r w:rsidR="00AB4289" w:rsidRPr="0085799C">
        <w:rPr>
          <w:rFonts w:ascii="Times New Roman" w:eastAsia="Calibri" w:hAnsi="Times New Roman"/>
          <w:szCs w:val="22"/>
        </w:rPr>
        <w:t>súhrnného</w:t>
      </w:r>
      <w:r w:rsidRPr="0085799C">
        <w:rPr>
          <w:rFonts w:ascii="Times New Roman" w:eastAsia="Calibri" w:hAnsi="Times New Roman"/>
          <w:szCs w:val="22"/>
        </w:rPr>
        <w:t xml:space="preserve"> celku k 31. decembru 2024</w:t>
      </w:r>
      <w:r w:rsidRPr="0085799C">
        <w:rPr>
          <w:rFonts w:ascii="Times New Roman" w:eastAsia="Calibri" w:hAnsi="Times New Roman"/>
          <w:color w:val="C00000"/>
          <w:szCs w:val="22"/>
        </w:rPr>
        <w:t xml:space="preserve"> </w:t>
      </w:r>
      <w:r w:rsidRPr="0085799C">
        <w:rPr>
          <w:rFonts w:ascii="Times New Roman" w:eastAsia="Calibri" w:hAnsi="Times New Roman"/>
          <w:szCs w:val="22"/>
        </w:rPr>
        <w:t xml:space="preserve">dosiahli </w:t>
      </w:r>
      <w:r w:rsidR="00BD466D" w:rsidRPr="0085799C">
        <w:rPr>
          <w:rFonts w:ascii="Times New Roman" w:eastAsia="Calibri" w:hAnsi="Times New Roman"/>
          <w:szCs w:val="22"/>
        </w:rPr>
        <w:t>netto</w:t>
      </w:r>
      <w:r w:rsidRPr="0085799C">
        <w:rPr>
          <w:rFonts w:ascii="Times New Roman" w:eastAsia="Calibri" w:hAnsi="Times New Roman"/>
          <w:szCs w:val="22"/>
        </w:rPr>
        <w:t xml:space="preserve"> hodnotu 1</w:t>
      </w:r>
      <w:r w:rsidR="004056B3" w:rsidRPr="0085799C">
        <w:rPr>
          <w:rFonts w:ascii="Times New Roman" w:eastAsia="Calibri" w:hAnsi="Times New Roman"/>
          <w:szCs w:val="22"/>
        </w:rPr>
        <w:t> </w:t>
      </w:r>
      <w:r w:rsidR="00BD466D" w:rsidRPr="0085799C">
        <w:rPr>
          <w:rFonts w:ascii="Times New Roman" w:eastAsia="Calibri" w:hAnsi="Times New Roman"/>
          <w:szCs w:val="22"/>
        </w:rPr>
        <w:t>013</w:t>
      </w:r>
      <w:r w:rsidR="004056B3" w:rsidRPr="0085799C">
        <w:rPr>
          <w:rFonts w:ascii="Times New Roman" w:eastAsia="Calibri" w:hAnsi="Times New Roman"/>
          <w:szCs w:val="22"/>
        </w:rPr>
        <w:t> 015 tis.</w:t>
      </w:r>
      <w:r w:rsidRPr="0085799C">
        <w:rPr>
          <w:rFonts w:ascii="Times New Roman" w:eastAsia="Calibri" w:hAnsi="Times New Roman"/>
          <w:szCs w:val="22"/>
        </w:rPr>
        <w:t xml:space="preserve"> eur, z toho </w:t>
      </w:r>
      <w:r w:rsidR="004056B3" w:rsidRPr="0085799C">
        <w:rPr>
          <w:rFonts w:ascii="Times New Roman" w:eastAsia="Calibri" w:hAnsi="Times New Roman"/>
          <w:szCs w:val="22"/>
        </w:rPr>
        <w:t xml:space="preserve">dlhodobé návratné </w:t>
      </w:r>
      <w:r w:rsidR="002F121C" w:rsidRPr="0085799C">
        <w:rPr>
          <w:rFonts w:ascii="Times New Roman" w:eastAsia="Calibri" w:hAnsi="Times New Roman"/>
          <w:szCs w:val="22"/>
        </w:rPr>
        <w:t>finančné výpomoci predstavujú 17 184 tis.</w:t>
      </w:r>
      <w:r w:rsidRPr="0085799C">
        <w:rPr>
          <w:rFonts w:ascii="Times New Roman" w:eastAsia="Calibri" w:hAnsi="Times New Roman"/>
          <w:szCs w:val="22"/>
        </w:rPr>
        <w:t xml:space="preserve"> eur. </w:t>
      </w:r>
      <w:r w:rsidR="1485900A" w:rsidRPr="0085799C">
        <w:rPr>
          <w:rFonts w:ascii="Times New Roman" w:eastAsia="Calibri" w:hAnsi="Times New Roman"/>
          <w:szCs w:val="22"/>
        </w:rPr>
        <w:t>V porovnaní s rokom 2023 sa hodnota dlhodobých pohľadávok</w:t>
      </w:r>
      <w:r w:rsidR="1485900A" w:rsidRPr="0085799C">
        <w:rPr>
          <w:rFonts w:ascii="Times New Roman" w:eastAsia="Calibri" w:hAnsi="Times New Roman"/>
          <w:color w:val="C00000"/>
          <w:szCs w:val="22"/>
        </w:rPr>
        <w:t xml:space="preserve"> </w:t>
      </w:r>
      <w:r w:rsidR="1485900A" w:rsidRPr="0085799C">
        <w:rPr>
          <w:rFonts w:ascii="Times New Roman" w:eastAsia="Calibri" w:hAnsi="Times New Roman"/>
          <w:szCs w:val="22"/>
        </w:rPr>
        <w:t>zvýšila o</w:t>
      </w:r>
      <w:r w:rsidR="00D904DB" w:rsidRPr="0085799C">
        <w:rPr>
          <w:rFonts w:ascii="Times New Roman" w:eastAsia="Calibri" w:hAnsi="Times New Roman"/>
          <w:szCs w:val="22"/>
        </w:rPr>
        <w:t> 132 384 tis.</w:t>
      </w:r>
      <w:r w:rsidR="1485900A" w:rsidRPr="0085799C">
        <w:rPr>
          <w:rFonts w:ascii="Times New Roman" w:eastAsia="Calibri" w:hAnsi="Times New Roman"/>
          <w:szCs w:val="22"/>
        </w:rPr>
        <w:t xml:space="preserve"> eur.</w:t>
      </w:r>
    </w:p>
    <w:p w14:paraId="66813EBD" w14:textId="397805B5" w:rsidR="00647542" w:rsidRPr="00907622" w:rsidRDefault="00647542" w:rsidP="00647542">
      <w:pPr>
        <w:pStyle w:val="Popis"/>
        <w:keepNext/>
        <w:rPr>
          <w:noProof/>
        </w:rPr>
      </w:pPr>
      <w:r w:rsidRPr="00907622">
        <w:lastRenderedPageBreak/>
        <w:t xml:space="preserve">Tabuľka </w:t>
      </w:r>
      <w:r w:rsidRPr="00907622">
        <w:fldChar w:fldCharType="begin"/>
      </w:r>
      <w:r w:rsidRPr="00907622">
        <w:instrText xml:space="preserve"> SEQ Tabuľka \* ARABIC </w:instrText>
      </w:r>
      <w:r w:rsidRPr="00907622">
        <w:fldChar w:fldCharType="separate"/>
      </w:r>
      <w:r w:rsidRPr="00907622">
        <w:rPr>
          <w:noProof/>
        </w:rPr>
        <w:t>7</w:t>
      </w:r>
      <w:r w:rsidRPr="00907622">
        <w:rPr>
          <w:noProof/>
        </w:rPr>
        <w:fldChar w:fldCharType="end"/>
      </w:r>
    </w:p>
    <w:tbl>
      <w:tblPr>
        <w:tblW w:w="5000" w:type="pct"/>
        <w:jc w:val="center"/>
        <w:tblCellMar>
          <w:left w:w="70" w:type="dxa"/>
          <w:right w:w="70" w:type="dxa"/>
        </w:tblCellMar>
        <w:tblLook w:val="04A0" w:firstRow="1" w:lastRow="0" w:firstColumn="1" w:lastColumn="0" w:noHBand="0" w:noVBand="1"/>
      </w:tblPr>
      <w:tblGrid>
        <w:gridCol w:w="4281"/>
        <w:gridCol w:w="1596"/>
        <w:gridCol w:w="1596"/>
        <w:gridCol w:w="1598"/>
      </w:tblGrid>
      <w:tr w:rsidR="0055035C" w:rsidRPr="0055035C" w14:paraId="0646C38D" w14:textId="77777777" w:rsidTr="0085799C">
        <w:trPr>
          <w:trHeight w:val="227"/>
          <w:jc w:val="center"/>
        </w:trPr>
        <w:tc>
          <w:tcPr>
            <w:tcW w:w="2359" w:type="pct"/>
            <w:tcBorders>
              <w:top w:val="single" w:sz="8" w:space="0" w:color="auto"/>
              <w:left w:val="nil"/>
              <w:bottom w:val="single" w:sz="8" w:space="0" w:color="auto"/>
              <w:right w:val="nil"/>
            </w:tcBorders>
            <w:shd w:val="clear" w:color="000000" w:fill="F4B084"/>
            <w:noWrap/>
            <w:vAlign w:val="center"/>
            <w:hideMark/>
          </w:tcPr>
          <w:p w14:paraId="18024F84" w14:textId="77777777" w:rsidR="0055035C" w:rsidRPr="0055035C" w:rsidRDefault="0055035C" w:rsidP="0055035C">
            <w:pPr>
              <w:spacing w:after="0" w:line="240" w:lineRule="auto"/>
              <w:rPr>
                <w:rFonts w:ascii="Times New Roman" w:hAnsi="Times New Roman"/>
                <w:b/>
                <w:bCs/>
                <w:color w:val="000000"/>
                <w:sz w:val="18"/>
                <w:szCs w:val="18"/>
                <w:lang w:eastAsia="sk-SK"/>
              </w:rPr>
            </w:pPr>
            <w:r w:rsidRPr="0055035C">
              <w:rPr>
                <w:rFonts w:ascii="Times New Roman" w:hAnsi="Times New Roman"/>
                <w:b/>
                <w:bCs/>
                <w:color w:val="000000"/>
                <w:sz w:val="18"/>
                <w:szCs w:val="18"/>
                <w:lang w:eastAsia="sk-SK"/>
              </w:rPr>
              <w:t>Dlhodobé pohľadávky súhrnného celku</w:t>
            </w:r>
          </w:p>
        </w:tc>
        <w:tc>
          <w:tcPr>
            <w:tcW w:w="880" w:type="pct"/>
            <w:tcBorders>
              <w:top w:val="single" w:sz="8" w:space="0" w:color="auto"/>
              <w:left w:val="nil"/>
              <w:bottom w:val="single" w:sz="8" w:space="0" w:color="auto"/>
              <w:right w:val="nil"/>
            </w:tcBorders>
            <w:shd w:val="clear" w:color="000000" w:fill="F4B084"/>
            <w:noWrap/>
            <w:vAlign w:val="center"/>
            <w:hideMark/>
          </w:tcPr>
          <w:p w14:paraId="2BB12E5B" w14:textId="77777777" w:rsidR="0055035C" w:rsidRPr="0055035C" w:rsidRDefault="0055035C" w:rsidP="0055035C">
            <w:pPr>
              <w:spacing w:after="0" w:line="240" w:lineRule="auto"/>
              <w:rPr>
                <w:rFonts w:ascii="Times New Roman" w:hAnsi="Times New Roman"/>
                <w:b/>
                <w:bCs/>
                <w:color w:val="000000"/>
                <w:sz w:val="18"/>
                <w:szCs w:val="18"/>
                <w:lang w:eastAsia="sk-SK"/>
              </w:rPr>
            </w:pPr>
            <w:r w:rsidRPr="0055035C">
              <w:rPr>
                <w:rFonts w:ascii="Times New Roman" w:hAnsi="Times New Roman"/>
                <w:b/>
                <w:bCs/>
                <w:color w:val="000000"/>
                <w:sz w:val="18"/>
                <w:szCs w:val="18"/>
                <w:lang w:eastAsia="sk-SK"/>
              </w:rPr>
              <w:t> </w:t>
            </w:r>
          </w:p>
        </w:tc>
        <w:tc>
          <w:tcPr>
            <w:tcW w:w="880" w:type="pct"/>
            <w:tcBorders>
              <w:top w:val="single" w:sz="8" w:space="0" w:color="auto"/>
              <w:left w:val="nil"/>
              <w:bottom w:val="single" w:sz="8" w:space="0" w:color="auto"/>
              <w:right w:val="nil"/>
            </w:tcBorders>
            <w:shd w:val="clear" w:color="000000" w:fill="F4B084"/>
            <w:noWrap/>
            <w:vAlign w:val="center"/>
            <w:hideMark/>
          </w:tcPr>
          <w:p w14:paraId="474C23C3" w14:textId="77777777" w:rsidR="0055035C" w:rsidRPr="0055035C" w:rsidRDefault="0055035C" w:rsidP="0055035C">
            <w:pPr>
              <w:spacing w:after="0" w:line="240" w:lineRule="auto"/>
              <w:jc w:val="center"/>
              <w:rPr>
                <w:rFonts w:ascii="Times New Roman" w:hAnsi="Times New Roman"/>
                <w:b/>
                <w:bCs/>
                <w:color w:val="000000"/>
                <w:sz w:val="18"/>
                <w:szCs w:val="18"/>
                <w:lang w:eastAsia="sk-SK"/>
              </w:rPr>
            </w:pPr>
            <w:r w:rsidRPr="0055035C">
              <w:rPr>
                <w:rFonts w:ascii="Times New Roman" w:hAnsi="Times New Roman"/>
                <w:b/>
                <w:bCs/>
                <w:color w:val="000000"/>
                <w:sz w:val="18"/>
                <w:szCs w:val="18"/>
                <w:lang w:eastAsia="sk-SK"/>
              </w:rPr>
              <w:t>(v tis. eur)</w:t>
            </w:r>
          </w:p>
        </w:tc>
        <w:tc>
          <w:tcPr>
            <w:tcW w:w="880" w:type="pct"/>
            <w:tcBorders>
              <w:top w:val="single" w:sz="8" w:space="0" w:color="auto"/>
              <w:left w:val="nil"/>
              <w:bottom w:val="single" w:sz="8" w:space="0" w:color="auto"/>
              <w:right w:val="nil"/>
            </w:tcBorders>
            <w:shd w:val="clear" w:color="000000" w:fill="F4B084"/>
            <w:noWrap/>
            <w:vAlign w:val="center"/>
            <w:hideMark/>
          </w:tcPr>
          <w:p w14:paraId="4F04CD5A" w14:textId="77777777" w:rsidR="0055035C" w:rsidRPr="0055035C" w:rsidRDefault="0055035C" w:rsidP="0055035C">
            <w:pPr>
              <w:spacing w:after="0" w:line="240" w:lineRule="auto"/>
              <w:rPr>
                <w:rFonts w:ascii="Times New Roman" w:hAnsi="Times New Roman"/>
                <w:b/>
                <w:bCs/>
                <w:color w:val="000000"/>
                <w:sz w:val="18"/>
                <w:szCs w:val="18"/>
                <w:lang w:eastAsia="sk-SK"/>
              </w:rPr>
            </w:pPr>
            <w:r w:rsidRPr="0055035C">
              <w:rPr>
                <w:rFonts w:ascii="Times New Roman" w:hAnsi="Times New Roman"/>
                <w:b/>
                <w:bCs/>
                <w:color w:val="000000"/>
                <w:sz w:val="18"/>
                <w:szCs w:val="18"/>
                <w:lang w:eastAsia="sk-SK"/>
              </w:rPr>
              <w:t> </w:t>
            </w:r>
          </w:p>
        </w:tc>
      </w:tr>
      <w:tr w:rsidR="0055035C" w:rsidRPr="0055035C" w14:paraId="4586E1CE" w14:textId="77777777" w:rsidTr="0085799C">
        <w:trPr>
          <w:trHeight w:val="227"/>
          <w:jc w:val="center"/>
        </w:trPr>
        <w:tc>
          <w:tcPr>
            <w:tcW w:w="2359" w:type="pct"/>
            <w:tcBorders>
              <w:top w:val="nil"/>
              <w:left w:val="nil"/>
              <w:bottom w:val="single" w:sz="8" w:space="0" w:color="auto"/>
              <w:right w:val="nil"/>
            </w:tcBorders>
            <w:shd w:val="clear" w:color="000000" w:fill="BDD7EE"/>
            <w:noWrap/>
            <w:vAlign w:val="center"/>
            <w:hideMark/>
          </w:tcPr>
          <w:p w14:paraId="63C8A122" w14:textId="77777777" w:rsidR="0055035C" w:rsidRPr="0055035C" w:rsidRDefault="0055035C" w:rsidP="0055035C">
            <w:pPr>
              <w:spacing w:after="0" w:line="240" w:lineRule="auto"/>
              <w:rPr>
                <w:rFonts w:ascii="Times New Roman" w:hAnsi="Times New Roman"/>
                <w:b/>
                <w:bCs/>
                <w:color w:val="000000"/>
                <w:sz w:val="18"/>
                <w:szCs w:val="18"/>
                <w:lang w:eastAsia="sk-SK"/>
              </w:rPr>
            </w:pPr>
            <w:r w:rsidRPr="0055035C">
              <w:rPr>
                <w:rFonts w:ascii="Times New Roman" w:hAnsi="Times New Roman"/>
                <w:b/>
                <w:bCs/>
                <w:color w:val="000000"/>
                <w:sz w:val="18"/>
                <w:szCs w:val="18"/>
                <w:lang w:eastAsia="sk-SK"/>
              </w:rPr>
              <w:t>Druh pohľadávky</w:t>
            </w:r>
          </w:p>
        </w:tc>
        <w:tc>
          <w:tcPr>
            <w:tcW w:w="880" w:type="pct"/>
            <w:tcBorders>
              <w:top w:val="nil"/>
              <w:left w:val="nil"/>
              <w:bottom w:val="single" w:sz="8" w:space="0" w:color="auto"/>
              <w:right w:val="nil"/>
            </w:tcBorders>
            <w:shd w:val="clear" w:color="000000" w:fill="BDD7EE"/>
            <w:noWrap/>
            <w:vAlign w:val="center"/>
            <w:hideMark/>
          </w:tcPr>
          <w:p w14:paraId="22DA75F0" w14:textId="77777777" w:rsidR="0055035C" w:rsidRPr="0055035C" w:rsidRDefault="0055035C" w:rsidP="0055035C">
            <w:pPr>
              <w:spacing w:after="0" w:line="240" w:lineRule="auto"/>
              <w:jc w:val="center"/>
              <w:rPr>
                <w:rFonts w:ascii="Times New Roman" w:hAnsi="Times New Roman"/>
                <w:b/>
                <w:bCs/>
                <w:color w:val="000000"/>
                <w:sz w:val="18"/>
                <w:szCs w:val="18"/>
                <w:lang w:eastAsia="sk-SK"/>
              </w:rPr>
            </w:pPr>
            <w:r w:rsidRPr="0055035C">
              <w:rPr>
                <w:rFonts w:ascii="Times New Roman" w:hAnsi="Times New Roman"/>
                <w:b/>
                <w:bCs/>
                <w:color w:val="000000"/>
                <w:sz w:val="18"/>
                <w:szCs w:val="18"/>
                <w:lang w:eastAsia="sk-SK"/>
              </w:rPr>
              <w:t>2024</w:t>
            </w:r>
          </w:p>
        </w:tc>
        <w:tc>
          <w:tcPr>
            <w:tcW w:w="880" w:type="pct"/>
            <w:tcBorders>
              <w:top w:val="nil"/>
              <w:left w:val="nil"/>
              <w:bottom w:val="single" w:sz="8" w:space="0" w:color="auto"/>
              <w:right w:val="nil"/>
            </w:tcBorders>
            <w:shd w:val="clear" w:color="000000" w:fill="BDD7EE"/>
            <w:noWrap/>
            <w:vAlign w:val="center"/>
            <w:hideMark/>
          </w:tcPr>
          <w:p w14:paraId="31EB30D6" w14:textId="77777777" w:rsidR="0055035C" w:rsidRPr="0055035C" w:rsidRDefault="0055035C" w:rsidP="0055035C">
            <w:pPr>
              <w:spacing w:after="0" w:line="240" w:lineRule="auto"/>
              <w:jc w:val="center"/>
              <w:rPr>
                <w:rFonts w:ascii="Times New Roman" w:hAnsi="Times New Roman"/>
                <w:b/>
                <w:bCs/>
                <w:color w:val="000000"/>
                <w:sz w:val="18"/>
                <w:szCs w:val="18"/>
                <w:lang w:eastAsia="sk-SK"/>
              </w:rPr>
            </w:pPr>
            <w:r w:rsidRPr="0055035C">
              <w:rPr>
                <w:rFonts w:ascii="Times New Roman" w:hAnsi="Times New Roman"/>
                <w:b/>
                <w:bCs/>
                <w:color w:val="000000"/>
                <w:sz w:val="18"/>
                <w:szCs w:val="18"/>
                <w:lang w:eastAsia="sk-SK"/>
              </w:rPr>
              <w:t>2023</w:t>
            </w:r>
          </w:p>
        </w:tc>
        <w:tc>
          <w:tcPr>
            <w:tcW w:w="880" w:type="pct"/>
            <w:tcBorders>
              <w:top w:val="nil"/>
              <w:left w:val="nil"/>
              <w:bottom w:val="single" w:sz="8" w:space="0" w:color="auto"/>
              <w:right w:val="nil"/>
            </w:tcBorders>
            <w:shd w:val="clear" w:color="000000" w:fill="BDD7EE"/>
            <w:vAlign w:val="center"/>
            <w:hideMark/>
          </w:tcPr>
          <w:p w14:paraId="26BD4182" w14:textId="77777777" w:rsidR="0055035C" w:rsidRPr="0055035C" w:rsidRDefault="0055035C" w:rsidP="0055035C">
            <w:pPr>
              <w:spacing w:after="0" w:line="240" w:lineRule="auto"/>
              <w:jc w:val="center"/>
              <w:rPr>
                <w:rFonts w:ascii="Times New Roman" w:hAnsi="Times New Roman"/>
                <w:b/>
                <w:bCs/>
                <w:color w:val="000000"/>
                <w:sz w:val="18"/>
                <w:szCs w:val="18"/>
                <w:lang w:eastAsia="sk-SK"/>
              </w:rPr>
            </w:pPr>
            <w:r w:rsidRPr="0055035C">
              <w:rPr>
                <w:rFonts w:ascii="Times New Roman" w:hAnsi="Times New Roman"/>
                <w:b/>
                <w:bCs/>
                <w:color w:val="000000"/>
                <w:sz w:val="18"/>
                <w:szCs w:val="18"/>
                <w:lang w:eastAsia="sk-SK"/>
              </w:rPr>
              <w:t>Δ 2024-2023</w:t>
            </w:r>
          </w:p>
        </w:tc>
      </w:tr>
      <w:tr w:rsidR="0055035C" w:rsidRPr="0055035C" w14:paraId="4EEDD40B" w14:textId="77777777" w:rsidTr="0085799C">
        <w:trPr>
          <w:trHeight w:val="227"/>
          <w:jc w:val="center"/>
        </w:trPr>
        <w:tc>
          <w:tcPr>
            <w:tcW w:w="2359" w:type="pct"/>
            <w:tcBorders>
              <w:top w:val="nil"/>
              <w:left w:val="nil"/>
              <w:bottom w:val="nil"/>
              <w:right w:val="nil"/>
            </w:tcBorders>
            <w:vAlign w:val="center"/>
            <w:hideMark/>
          </w:tcPr>
          <w:p w14:paraId="629183E9" w14:textId="05D4312D" w:rsidR="0055035C" w:rsidRPr="0055035C" w:rsidRDefault="0055035C" w:rsidP="0055035C">
            <w:pPr>
              <w:spacing w:after="0" w:line="240" w:lineRule="auto"/>
              <w:rPr>
                <w:rFonts w:ascii="Times New Roman" w:hAnsi="Times New Roman"/>
                <w:color w:val="000000"/>
                <w:sz w:val="18"/>
                <w:szCs w:val="18"/>
                <w:lang w:eastAsia="sk-SK"/>
              </w:rPr>
            </w:pPr>
            <w:r w:rsidRPr="0055035C">
              <w:rPr>
                <w:rFonts w:ascii="Times New Roman" w:hAnsi="Times New Roman"/>
                <w:color w:val="000000"/>
                <w:sz w:val="18"/>
                <w:szCs w:val="18"/>
                <w:lang w:eastAsia="sk-SK"/>
              </w:rPr>
              <w:t>Pohľadávky EXIM</w:t>
            </w:r>
            <w:r w:rsidR="00E864BF">
              <w:rPr>
                <w:rFonts w:ascii="Times New Roman" w:hAnsi="Times New Roman"/>
                <w:color w:val="000000"/>
                <w:sz w:val="18"/>
                <w:szCs w:val="18"/>
                <w:lang w:eastAsia="sk-SK"/>
              </w:rPr>
              <w:t>BANKY</w:t>
            </w:r>
            <w:r w:rsidR="00C02646">
              <w:rPr>
                <w:rFonts w:ascii="Times New Roman" w:hAnsi="Times New Roman"/>
                <w:color w:val="000000"/>
                <w:sz w:val="18"/>
                <w:szCs w:val="18"/>
                <w:lang w:eastAsia="sk-SK"/>
              </w:rPr>
              <w:t xml:space="preserve"> SR</w:t>
            </w:r>
            <w:r w:rsidRPr="0055035C">
              <w:rPr>
                <w:rFonts w:ascii="Times New Roman" w:hAnsi="Times New Roman"/>
                <w:color w:val="000000"/>
                <w:sz w:val="18"/>
                <w:szCs w:val="18"/>
                <w:lang w:eastAsia="sk-SK"/>
              </w:rPr>
              <w:t xml:space="preserve"> z poskytnutých úverov </w:t>
            </w:r>
          </w:p>
        </w:tc>
        <w:tc>
          <w:tcPr>
            <w:tcW w:w="880" w:type="pct"/>
            <w:tcBorders>
              <w:top w:val="nil"/>
              <w:left w:val="nil"/>
              <w:bottom w:val="nil"/>
              <w:right w:val="nil"/>
            </w:tcBorders>
            <w:vAlign w:val="center"/>
            <w:hideMark/>
          </w:tcPr>
          <w:p w14:paraId="037E66F4" w14:textId="77777777" w:rsidR="0055035C" w:rsidRPr="0055035C" w:rsidRDefault="0055035C" w:rsidP="0055035C">
            <w:pPr>
              <w:spacing w:after="0" w:line="240" w:lineRule="auto"/>
              <w:jc w:val="right"/>
              <w:rPr>
                <w:rFonts w:ascii="Times New Roman" w:hAnsi="Times New Roman"/>
                <w:color w:val="000000"/>
                <w:sz w:val="18"/>
                <w:szCs w:val="18"/>
                <w:lang w:eastAsia="sk-SK"/>
              </w:rPr>
            </w:pPr>
            <w:r w:rsidRPr="0055035C">
              <w:rPr>
                <w:rFonts w:ascii="Times New Roman" w:hAnsi="Times New Roman"/>
                <w:color w:val="000000"/>
                <w:sz w:val="18"/>
                <w:szCs w:val="18"/>
                <w:lang w:eastAsia="sk-SK"/>
              </w:rPr>
              <w:t>437 429</w:t>
            </w:r>
          </w:p>
        </w:tc>
        <w:tc>
          <w:tcPr>
            <w:tcW w:w="880" w:type="pct"/>
            <w:tcBorders>
              <w:top w:val="nil"/>
              <w:left w:val="nil"/>
              <w:bottom w:val="nil"/>
              <w:right w:val="nil"/>
            </w:tcBorders>
            <w:vAlign w:val="center"/>
            <w:hideMark/>
          </w:tcPr>
          <w:p w14:paraId="234041EF" w14:textId="77777777" w:rsidR="0055035C" w:rsidRPr="0055035C" w:rsidRDefault="0055035C" w:rsidP="0055035C">
            <w:pPr>
              <w:spacing w:after="0" w:line="240" w:lineRule="auto"/>
              <w:jc w:val="right"/>
              <w:rPr>
                <w:rFonts w:ascii="Times New Roman" w:hAnsi="Times New Roman"/>
                <w:color w:val="000000"/>
                <w:sz w:val="18"/>
                <w:szCs w:val="18"/>
                <w:lang w:eastAsia="sk-SK"/>
              </w:rPr>
            </w:pPr>
            <w:r w:rsidRPr="0055035C">
              <w:rPr>
                <w:rFonts w:ascii="Times New Roman" w:hAnsi="Times New Roman"/>
                <w:color w:val="000000"/>
                <w:sz w:val="18"/>
                <w:szCs w:val="18"/>
                <w:lang w:eastAsia="sk-SK"/>
              </w:rPr>
              <w:t>384 247</w:t>
            </w:r>
          </w:p>
        </w:tc>
        <w:tc>
          <w:tcPr>
            <w:tcW w:w="880" w:type="pct"/>
            <w:tcBorders>
              <w:top w:val="nil"/>
              <w:left w:val="nil"/>
              <w:bottom w:val="nil"/>
              <w:right w:val="nil"/>
            </w:tcBorders>
            <w:vAlign w:val="center"/>
            <w:hideMark/>
          </w:tcPr>
          <w:p w14:paraId="732E3680" w14:textId="77777777" w:rsidR="0055035C" w:rsidRPr="0055035C" w:rsidRDefault="0055035C" w:rsidP="0055035C">
            <w:pPr>
              <w:spacing w:after="0" w:line="240" w:lineRule="auto"/>
              <w:jc w:val="right"/>
              <w:rPr>
                <w:rFonts w:ascii="Times New Roman" w:hAnsi="Times New Roman"/>
                <w:color w:val="000000"/>
                <w:sz w:val="18"/>
                <w:szCs w:val="18"/>
                <w:lang w:eastAsia="sk-SK"/>
              </w:rPr>
            </w:pPr>
            <w:r w:rsidRPr="0055035C">
              <w:rPr>
                <w:rFonts w:ascii="Times New Roman" w:hAnsi="Times New Roman"/>
                <w:color w:val="000000"/>
                <w:sz w:val="18"/>
                <w:szCs w:val="18"/>
                <w:lang w:eastAsia="sk-SK"/>
              </w:rPr>
              <w:t>53 182</w:t>
            </w:r>
          </w:p>
        </w:tc>
      </w:tr>
      <w:tr w:rsidR="0055035C" w:rsidRPr="0055035C" w14:paraId="25F51BDA" w14:textId="77777777" w:rsidTr="0085799C">
        <w:trPr>
          <w:trHeight w:val="227"/>
          <w:jc w:val="center"/>
        </w:trPr>
        <w:tc>
          <w:tcPr>
            <w:tcW w:w="2359" w:type="pct"/>
            <w:tcBorders>
              <w:top w:val="nil"/>
              <w:left w:val="nil"/>
              <w:bottom w:val="nil"/>
              <w:right w:val="nil"/>
            </w:tcBorders>
            <w:vAlign w:val="center"/>
            <w:hideMark/>
          </w:tcPr>
          <w:p w14:paraId="14EC9A77" w14:textId="77777777" w:rsidR="0055035C" w:rsidRPr="0055035C" w:rsidRDefault="0055035C" w:rsidP="0055035C">
            <w:pPr>
              <w:spacing w:after="0" w:line="240" w:lineRule="auto"/>
              <w:rPr>
                <w:rFonts w:ascii="Times New Roman" w:hAnsi="Times New Roman"/>
                <w:color w:val="000000"/>
                <w:sz w:val="18"/>
                <w:szCs w:val="18"/>
                <w:lang w:eastAsia="sk-SK"/>
              </w:rPr>
            </w:pPr>
            <w:r w:rsidRPr="0055035C">
              <w:rPr>
                <w:rFonts w:ascii="Times New Roman" w:hAnsi="Times New Roman"/>
                <w:color w:val="000000"/>
                <w:sz w:val="18"/>
                <w:szCs w:val="18"/>
                <w:lang w:eastAsia="sk-SK"/>
              </w:rPr>
              <w:t>Pohľadávky SZRB z poskytnutých úverov  </w:t>
            </w:r>
          </w:p>
        </w:tc>
        <w:tc>
          <w:tcPr>
            <w:tcW w:w="880" w:type="pct"/>
            <w:tcBorders>
              <w:top w:val="nil"/>
              <w:left w:val="nil"/>
              <w:bottom w:val="nil"/>
              <w:right w:val="nil"/>
            </w:tcBorders>
            <w:vAlign w:val="center"/>
            <w:hideMark/>
          </w:tcPr>
          <w:p w14:paraId="53EE935B" w14:textId="77777777" w:rsidR="0055035C" w:rsidRPr="0055035C" w:rsidRDefault="0055035C" w:rsidP="0055035C">
            <w:pPr>
              <w:spacing w:after="0" w:line="240" w:lineRule="auto"/>
              <w:jc w:val="right"/>
              <w:rPr>
                <w:rFonts w:ascii="Times New Roman" w:hAnsi="Times New Roman"/>
                <w:color w:val="000000"/>
                <w:sz w:val="18"/>
                <w:szCs w:val="18"/>
                <w:lang w:eastAsia="sk-SK"/>
              </w:rPr>
            </w:pPr>
            <w:r w:rsidRPr="0055035C">
              <w:rPr>
                <w:rFonts w:ascii="Times New Roman" w:hAnsi="Times New Roman"/>
                <w:color w:val="000000"/>
                <w:sz w:val="18"/>
                <w:szCs w:val="18"/>
                <w:lang w:eastAsia="sk-SK"/>
              </w:rPr>
              <w:t>250 455</w:t>
            </w:r>
          </w:p>
        </w:tc>
        <w:tc>
          <w:tcPr>
            <w:tcW w:w="880" w:type="pct"/>
            <w:tcBorders>
              <w:top w:val="nil"/>
              <w:left w:val="nil"/>
              <w:bottom w:val="nil"/>
              <w:right w:val="nil"/>
            </w:tcBorders>
            <w:vAlign w:val="center"/>
            <w:hideMark/>
          </w:tcPr>
          <w:p w14:paraId="0297F8E2" w14:textId="77777777" w:rsidR="0055035C" w:rsidRPr="0055035C" w:rsidRDefault="0055035C" w:rsidP="0055035C">
            <w:pPr>
              <w:spacing w:after="0" w:line="240" w:lineRule="auto"/>
              <w:jc w:val="right"/>
              <w:rPr>
                <w:rFonts w:ascii="Times New Roman" w:hAnsi="Times New Roman"/>
                <w:color w:val="000000"/>
                <w:sz w:val="18"/>
                <w:szCs w:val="18"/>
                <w:lang w:eastAsia="sk-SK"/>
              </w:rPr>
            </w:pPr>
            <w:r w:rsidRPr="0055035C">
              <w:rPr>
                <w:rFonts w:ascii="Times New Roman" w:hAnsi="Times New Roman"/>
                <w:color w:val="000000"/>
                <w:sz w:val="18"/>
                <w:szCs w:val="18"/>
                <w:lang w:eastAsia="sk-SK"/>
              </w:rPr>
              <w:t>260 454</w:t>
            </w:r>
          </w:p>
        </w:tc>
        <w:tc>
          <w:tcPr>
            <w:tcW w:w="880" w:type="pct"/>
            <w:tcBorders>
              <w:top w:val="nil"/>
              <w:left w:val="nil"/>
              <w:bottom w:val="nil"/>
              <w:right w:val="nil"/>
            </w:tcBorders>
            <w:vAlign w:val="center"/>
            <w:hideMark/>
          </w:tcPr>
          <w:p w14:paraId="1B339C05" w14:textId="77777777" w:rsidR="0055035C" w:rsidRPr="0055035C" w:rsidRDefault="0055035C" w:rsidP="0055035C">
            <w:pPr>
              <w:spacing w:after="0" w:line="240" w:lineRule="auto"/>
              <w:jc w:val="right"/>
              <w:rPr>
                <w:rFonts w:ascii="Times New Roman" w:hAnsi="Times New Roman"/>
                <w:color w:val="000000"/>
                <w:sz w:val="18"/>
                <w:szCs w:val="18"/>
                <w:lang w:eastAsia="sk-SK"/>
              </w:rPr>
            </w:pPr>
            <w:r w:rsidRPr="0055035C">
              <w:rPr>
                <w:rFonts w:ascii="Times New Roman" w:hAnsi="Times New Roman"/>
                <w:color w:val="000000"/>
                <w:sz w:val="18"/>
                <w:szCs w:val="18"/>
                <w:lang w:eastAsia="sk-SK"/>
              </w:rPr>
              <w:t>-9 999</w:t>
            </w:r>
          </w:p>
        </w:tc>
      </w:tr>
      <w:tr w:rsidR="0055035C" w:rsidRPr="0055035C" w14:paraId="44C14206" w14:textId="77777777" w:rsidTr="0085799C">
        <w:trPr>
          <w:trHeight w:val="227"/>
          <w:jc w:val="center"/>
        </w:trPr>
        <w:tc>
          <w:tcPr>
            <w:tcW w:w="2359" w:type="pct"/>
            <w:tcBorders>
              <w:top w:val="nil"/>
              <w:left w:val="nil"/>
              <w:bottom w:val="nil"/>
              <w:right w:val="nil"/>
            </w:tcBorders>
            <w:vAlign w:val="center"/>
            <w:hideMark/>
          </w:tcPr>
          <w:p w14:paraId="473A2EDF" w14:textId="77777777" w:rsidR="0055035C" w:rsidRPr="0055035C" w:rsidRDefault="0055035C" w:rsidP="0055035C">
            <w:pPr>
              <w:spacing w:after="0" w:line="240" w:lineRule="auto"/>
              <w:rPr>
                <w:rFonts w:ascii="Times New Roman" w:hAnsi="Times New Roman"/>
                <w:color w:val="000000"/>
                <w:sz w:val="18"/>
                <w:szCs w:val="18"/>
                <w:lang w:eastAsia="sk-SK"/>
              </w:rPr>
            </w:pPr>
            <w:r w:rsidRPr="0055035C">
              <w:rPr>
                <w:rFonts w:ascii="Times New Roman" w:hAnsi="Times New Roman"/>
                <w:color w:val="000000"/>
                <w:sz w:val="18"/>
                <w:szCs w:val="18"/>
                <w:lang w:eastAsia="sk-SK"/>
              </w:rPr>
              <w:t>Pohľadávky voči zamestnancom</w:t>
            </w:r>
          </w:p>
        </w:tc>
        <w:tc>
          <w:tcPr>
            <w:tcW w:w="880" w:type="pct"/>
            <w:tcBorders>
              <w:top w:val="nil"/>
              <w:left w:val="nil"/>
              <w:bottom w:val="nil"/>
              <w:right w:val="nil"/>
            </w:tcBorders>
            <w:vAlign w:val="center"/>
            <w:hideMark/>
          </w:tcPr>
          <w:p w14:paraId="1E24EF17" w14:textId="77777777" w:rsidR="0055035C" w:rsidRPr="0055035C" w:rsidRDefault="0055035C" w:rsidP="0055035C">
            <w:pPr>
              <w:spacing w:after="0" w:line="240" w:lineRule="auto"/>
              <w:jc w:val="right"/>
              <w:rPr>
                <w:rFonts w:ascii="Times New Roman" w:hAnsi="Times New Roman"/>
                <w:color w:val="000000"/>
                <w:sz w:val="18"/>
                <w:szCs w:val="18"/>
                <w:lang w:eastAsia="sk-SK"/>
              </w:rPr>
            </w:pPr>
            <w:r w:rsidRPr="0055035C">
              <w:rPr>
                <w:rFonts w:ascii="Times New Roman" w:hAnsi="Times New Roman"/>
                <w:color w:val="000000"/>
                <w:sz w:val="18"/>
                <w:szCs w:val="18"/>
                <w:lang w:eastAsia="sk-SK"/>
              </w:rPr>
              <w:t>26 090</w:t>
            </w:r>
          </w:p>
        </w:tc>
        <w:tc>
          <w:tcPr>
            <w:tcW w:w="880" w:type="pct"/>
            <w:tcBorders>
              <w:top w:val="nil"/>
              <w:left w:val="nil"/>
              <w:bottom w:val="nil"/>
              <w:right w:val="nil"/>
            </w:tcBorders>
            <w:vAlign w:val="center"/>
            <w:hideMark/>
          </w:tcPr>
          <w:p w14:paraId="09F5032D" w14:textId="77777777" w:rsidR="0055035C" w:rsidRPr="0055035C" w:rsidRDefault="0055035C" w:rsidP="0055035C">
            <w:pPr>
              <w:spacing w:after="0" w:line="240" w:lineRule="auto"/>
              <w:jc w:val="right"/>
              <w:rPr>
                <w:rFonts w:ascii="Times New Roman" w:hAnsi="Times New Roman"/>
                <w:color w:val="000000"/>
                <w:sz w:val="18"/>
                <w:szCs w:val="18"/>
                <w:lang w:eastAsia="sk-SK"/>
              </w:rPr>
            </w:pPr>
            <w:r w:rsidRPr="0055035C">
              <w:rPr>
                <w:rFonts w:ascii="Times New Roman" w:hAnsi="Times New Roman"/>
                <w:color w:val="000000"/>
                <w:sz w:val="18"/>
                <w:szCs w:val="18"/>
                <w:lang w:eastAsia="sk-SK"/>
              </w:rPr>
              <w:t>24 476</w:t>
            </w:r>
          </w:p>
        </w:tc>
        <w:tc>
          <w:tcPr>
            <w:tcW w:w="880" w:type="pct"/>
            <w:tcBorders>
              <w:top w:val="nil"/>
              <w:left w:val="nil"/>
              <w:bottom w:val="nil"/>
              <w:right w:val="nil"/>
            </w:tcBorders>
            <w:vAlign w:val="center"/>
            <w:hideMark/>
          </w:tcPr>
          <w:p w14:paraId="17878335" w14:textId="77777777" w:rsidR="0055035C" w:rsidRPr="0055035C" w:rsidRDefault="0055035C" w:rsidP="0055035C">
            <w:pPr>
              <w:spacing w:after="0" w:line="240" w:lineRule="auto"/>
              <w:jc w:val="right"/>
              <w:rPr>
                <w:rFonts w:ascii="Times New Roman" w:hAnsi="Times New Roman"/>
                <w:color w:val="000000"/>
                <w:sz w:val="18"/>
                <w:szCs w:val="18"/>
                <w:lang w:eastAsia="sk-SK"/>
              </w:rPr>
            </w:pPr>
            <w:r w:rsidRPr="0055035C">
              <w:rPr>
                <w:rFonts w:ascii="Times New Roman" w:hAnsi="Times New Roman"/>
                <w:color w:val="000000"/>
                <w:sz w:val="18"/>
                <w:szCs w:val="18"/>
                <w:lang w:eastAsia="sk-SK"/>
              </w:rPr>
              <w:t>1 614</w:t>
            </w:r>
          </w:p>
        </w:tc>
      </w:tr>
      <w:tr w:rsidR="0055035C" w:rsidRPr="0055035C" w14:paraId="41C58944" w14:textId="77777777" w:rsidTr="0085799C">
        <w:trPr>
          <w:trHeight w:val="227"/>
          <w:jc w:val="center"/>
        </w:trPr>
        <w:tc>
          <w:tcPr>
            <w:tcW w:w="2359" w:type="pct"/>
            <w:tcBorders>
              <w:top w:val="nil"/>
              <w:left w:val="nil"/>
              <w:bottom w:val="nil"/>
              <w:right w:val="nil"/>
            </w:tcBorders>
            <w:noWrap/>
            <w:vAlign w:val="center"/>
            <w:hideMark/>
          </w:tcPr>
          <w:p w14:paraId="450EBBBE" w14:textId="77777777" w:rsidR="0055035C" w:rsidRPr="0055035C" w:rsidRDefault="0055035C" w:rsidP="0055035C">
            <w:pPr>
              <w:spacing w:after="0" w:line="240" w:lineRule="auto"/>
              <w:rPr>
                <w:rFonts w:ascii="Times New Roman" w:hAnsi="Times New Roman"/>
                <w:color w:val="000000"/>
                <w:sz w:val="18"/>
                <w:szCs w:val="18"/>
                <w:lang w:eastAsia="sk-SK"/>
              </w:rPr>
            </w:pPr>
            <w:r w:rsidRPr="0055035C">
              <w:rPr>
                <w:rFonts w:ascii="Times New Roman" w:hAnsi="Times New Roman"/>
                <w:color w:val="000000"/>
                <w:sz w:val="18"/>
                <w:szCs w:val="18"/>
                <w:lang w:eastAsia="sk-SK"/>
              </w:rPr>
              <w:t>Všeobecná zdravotná poisťovňa, a.s.</w:t>
            </w:r>
          </w:p>
        </w:tc>
        <w:tc>
          <w:tcPr>
            <w:tcW w:w="880" w:type="pct"/>
            <w:tcBorders>
              <w:top w:val="nil"/>
              <w:left w:val="nil"/>
              <w:bottom w:val="nil"/>
              <w:right w:val="nil"/>
            </w:tcBorders>
            <w:noWrap/>
            <w:vAlign w:val="center"/>
            <w:hideMark/>
          </w:tcPr>
          <w:p w14:paraId="61454083" w14:textId="77777777" w:rsidR="0055035C" w:rsidRPr="0055035C" w:rsidRDefault="0055035C" w:rsidP="0055035C">
            <w:pPr>
              <w:spacing w:after="0" w:line="240" w:lineRule="auto"/>
              <w:jc w:val="right"/>
              <w:rPr>
                <w:rFonts w:ascii="Times New Roman" w:hAnsi="Times New Roman"/>
                <w:color w:val="000000"/>
                <w:sz w:val="18"/>
                <w:szCs w:val="18"/>
                <w:lang w:eastAsia="sk-SK"/>
              </w:rPr>
            </w:pPr>
            <w:r w:rsidRPr="0055035C">
              <w:rPr>
                <w:rFonts w:ascii="Times New Roman" w:hAnsi="Times New Roman"/>
                <w:color w:val="000000"/>
                <w:sz w:val="18"/>
                <w:szCs w:val="18"/>
                <w:lang w:eastAsia="sk-SK"/>
              </w:rPr>
              <w:t>24 328</w:t>
            </w:r>
          </w:p>
        </w:tc>
        <w:tc>
          <w:tcPr>
            <w:tcW w:w="880" w:type="pct"/>
            <w:tcBorders>
              <w:top w:val="nil"/>
              <w:left w:val="nil"/>
              <w:bottom w:val="nil"/>
              <w:right w:val="nil"/>
            </w:tcBorders>
            <w:noWrap/>
            <w:vAlign w:val="center"/>
            <w:hideMark/>
          </w:tcPr>
          <w:p w14:paraId="38C8CF49" w14:textId="77777777" w:rsidR="0055035C" w:rsidRPr="0055035C" w:rsidRDefault="0055035C" w:rsidP="0055035C">
            <w:pPr>
              <w:spacing w:after="0" w:line="240" w:lineRule="auto"/>
              <w:jc w:val="right"/>
              <w:rPr>
                <w:rFonts w:ascii="Times New Roman" w:hAnsi="Times New Roman"/>
                <w:color w:val="000000"/>
                <w:sz w:val="18"/>
                <w:szCs w:val="18"/>
                <w:lang w:eastAsia="sk-SK"/>
              </w:rPr>
            </w:pPr>
            <w:r w:rsidRPr="0055035C">
              <w:rPr>
                <w:rFonts w:ascii="Times New Roman" w:hAnsi="Times New Roman"/>
                <w:color w:val="000000"/>
                <w:sz w:val="18"/>
                <w:szCs w:val="18"/>
                <w:lang w:eastAsia="sk-SK"/>
              </w:rPr>
              <w:t>31 230</w:t>
            </w:r>
          </w:p>
        </w:tc>
        <w:tc>
          <w:tcPr>
            <w:tcW w:w="880" w:type="pct"/>
            <w:tcBorders>
              <w:top w:val="nil"/>
              <w:left w:val="nil"/>
              <w:bottom w:val="nil"/>
              <w:right w:val="nil"/>
            </w:tcBorders>
            <w:vAlign w:val="center"/>
            <w:hideMark/>
          </w:tcPr>
          <w:p w14:paraId="0AC4FA5D" w14:textId="77777777" w:rsidR="0055035C" w:rsidRPr="0055035C" w:rsidRDefault="0055035C" w:rsidP="0055035C">
            <w:pPr>
              <w:spacing w:after="0" w:line="240" w:lineRule="auto"/>
              <w:jc w:val="right"/>
              <w:rPr>
                <w:rFonts w:ascii="Times New Roman" w:hAnsi="Times New Roman"/>
                <w:color w:val="000000"/>
                <w:sz w:val="18"/>
                <w:szCs w:val="18"/>
                <w:lang w:eastAsia="sk-SK"/>
              </w:rPr>
            </w:pPr>
            <w:r w:rsidRPr="0055035C">
              <w:rPr>
                <w:rFonts w:ascii="Times New Roman" w:hAnsi="Times New Roman"/>
                <w:color w:val="000000"/>
                <w:sz w:val="18"/>
                <w:szCs w:val="18"/>
                <w:lang w:eastAsia="sk-SK"/>
              </w:rPr>
              <w:t>-6 902</w:t>
            </w:r>
          </w:p>
        </w:tc>
      </w:tr>
      <w:tr w:rsidR="0055035C" w:rsidRPr="0055035C" w14:paraId="7C78800C" w14:textId="77777777" w:rsidTr="0085799C">
        <w:trPr>
          <w:trHeight w:val="227"/>
          <w:jc w:val="center"/>
        </w:trPr>
        <w:tc>
          <w:tcPr>
            <w:tcW w:w="2359" w:type="pct"/>
            <w:tcBorders>
              <w:top w:val="nil"/>
              <w:left w:val="nil"/>
              <w:bottom w:val="nil"/>
              <w:right w:val="nil"/>
            </w:tcBorders>
            <w:vAlign w:val="center"/>
            <w:hideMark/>
          </w:tcPr>
          <w:p w14:paraId="522FDA7B" w14:textId="77777777" w:rsidR="0055035C" w:rsidRPr="0055035C" w:rsidRDefault="0055035C" w:rsidP="0055035C">
            <w:pPr>
              <w:spacing w:after="0" w:line="240" w:lineRule="auto"/>
              <w:rPr>
                <w:rFonts w:ascii="Times New Roman" w:hAnsi="Times New Roman"/>
                <w:color w:val="000000"/>
                <w:sz w:val="18"/>
                <w:szCs w:val="18"/>
                <w:lang w:eastAsia="sk-SK"/>
              </w:rPr>
            </w:pPr>
            <w:r w:rsidRPr="0055035C">
              <w:rPr>
                <w:rFonts w:ascii="Times New Roman" w:hAnsi="Times New Roman"/>
                <w:color w:val="000000"/>
                <w:sz w:val="18"/>
                <w:szCs w:val="18"/>
                <w:lang w:eastAsia="sk-SK"/>
              </w:rPr>
              <w:t>Pohľadávky NDF II</w:t>
            </w:r>
          </w:p>
        </w:tc>
        <w:tc>
          <w:tcPr>
            <w:tcW w:w="880" w:type="pct"/>
            <w:tcBorders>
              <w:top w:val="nil"/>
              <w:left w:val="nil"/>
              <w:bottom w:val="nil"/>
              <w:right w:val="nil"/>
            </w:tcBorders>
            <w:vAlign w:val="center"/>
            <w:hideMark/>
          </w:tcPr>
          <w:p w14:paraId="10DD864A" w14:textId="77777777" w:rsidR="0055035C" w:rsidRPr="0055035C" w:rsidRDefault="0055035C" w:rsidP="0055035C">
            <w:pPr>
              <w:spacing w:after="0" w:line="240" w:lineRule="auto"/>
              <w:jc w:val="right"/>
              <w:rPr>
                <w:rFonts w:ascii="Times New Roman" w:hAnsi="Times New Roman"/>
                <w:color w:val="000000"/>
                <w:sz w:val="18"/>
                <w:szCs w:val="18"/>
                <w:lang w:eastAsia="sk-SK"/>
              </w:rPr>
            </w:pPr>
            <w:r w:rsidRPr="0055035C">
              <w:rPr>
                <w:rFonts w:ascii="Times New Roman" w:hAnsi="Times New Roman"/>
                <w:color w:val="000000"/>
                <w:sz w:val="18"/>
                <w:szCs w:val="18"/>
                <w:lang w:eastAsia="sk-SK"/>
              </w:rPr>
              <w:t>21 083</w:t>
            </w:r>
          </w:p>
        </w:tc>
        <w:tc>
          <w:tcPr>
            <w:tcW w:w="880" w:type="pct"/>
            <w:tcBorders>
              <w:top w:val="nil"/>
              <w:left w:val="nil"/>
              <w:bottom w:val="nil"/>
              <w:right w:val="nil"/>
            </w:tcBorders>
            <w:vAlign w:val="center"/>
            <w:hideMark/>
          </w:tcPr>
          <w:p w14:paraId="1D75840D" w14:textId="77777777" w:rsidR="0055035C" w:rsidRPr="0055035C" w:rsidRDefault="0055035C" w:rsidP="0055035C">
            <w:pPr>
              <w:spacing w:after="0" w:line="240" w:lineRule="auto"/>
              <w:jc w:val="right"/>
              <w:rPr>
                <w:rFonts w:ascii="Times New Roman" w:hAnsi="Times New Roman"/>
                <w:color w:val="000000"/>
                <w:sz w:val="18"/>
                <w:szCs w:val="18"/>
                <w:lang w:eastAsia="sk-SK"/>
              </w:rPr>
            </w:pPr>
            <w:r w:rsidRPr="0055035C">
              <w:rPr>
                <w:rFonts w:ascii="Times New Roman" w:hAnsi="Times New Roman"/>
                <w:color w:val="000000"/>
                <w:sz w:val="18"/>
                <w:szCs w:val="18"/>
                <w:lang w:eastAsia="sk-SK"/>
              </w:rPr>
              <w:t>22 922</w:t>
            </w:r>
          </w:p>
        </w:tc>
        <w:tc>
          <w:tcPr>
            <w:tcW w:w="880" w:type="pct"/>
            <w:tcBorders>
              <w:top w:val="nil"/>
              <w:left w:val="nil"/>
              <w:bottom w:val="nil"/>
              <w:right w:val="nil"/>
            </w:tcBorders>
            <w:vAlign w:val="center"/>
            <w:hideMark/>
          </w:tcPr>
          <w:p w14:paraId="40579EEB" w14:textId="77777777" w:rsidR="0055035C" w:rsidRPr="0055035C" w:rsidRDefault="0055035C" w:rsidP="0055035C">
            <w:pPr>
              <w:spacing w:after="0" w:line="240" w:lineRule="auto"/>
              <w:jc w:val="right"/>
              <w:rPr>
                <w:rFonts w:ascii="Times New Roman" w:hAnsi="Times New Roman"/>
                <w:color w:val="000000"/>
                <w:sz w:val="18"/>
                <w:szCs w:val="18"/>
                <w:lang w:eastAsia="sk-SK"/>
              </w:rPr>
            </w:pPr>
            <w:r w:rsidRPr="0055035C">
              <w:rPr>
                <w:rFonts w:ascii="Times New Roman" w:hAnsi="Times New Roman"/>
                <w:color w:val="000000"/>
                <w:sz w:val="18"/>
                <w:szCs w:val="18"/>
                <w:lang w:eastAsia="sk-SK"/>
              </w:rPr>
              <w:t>-1 839</w:t>
            </w:r>
          </w:p>
        </w:tc>
      </w:tr>
      <w:tr w:rsidR="0055035C" w:rsidRPr="0055035C" w14:paraId="2C44D0F5" w14:textId="77777777" w:rsidTr="0085799C">
        <w:trPr>
          <w:trHeight w:val="227"/>
          <w:jc w:val="center"/>
        </w:trPr>
        <w:tc>
          <w:tcPr>
            <w:tcW w:w="2359" w:type="pct"/>
            <w:tcBorders>
              <w:top w:val="nil"/>
              <w:left w:val="nil"/>
              <w:bottom w:val="nil"/>
              <w:right w:val="nil"/>
            </w:tcBorders>
            <w:vAlign w:val="center"/>
            <w:hideMark/>
          </w:tcPr>
          <w:p w14:paraId="35D55508" w14:textId="77777777" w:rsidR="0055035C" w:rsidRPr="0055035C" w:rsidRDefault="0055035C" w:rsidP="0055035C">
            <w:pPr>
              <w:spacing w:after="0" w:line="240" w:lineRule="auto"/>
              <w:rPr>
                <w:rFonts w:ascii="Times New Roman" w:hAnsi="Times New Roman"/>
                <w:color w:val="000000"/>
                <w:sz w:val="18"/>
                <w:szCs w:val="18"/>
                <w:lang w:eastAsia="sk-SK"/>
              </w:rPr>
            </w:pPr>
            <w:r w:rsidRPr="0055035C">
              <w:rPr>
                <w:rFonts w:ascii="Times New Roman" w:hAnsi="Times New Roman"/>
                <w:color w:val="000000"/>
                <w:sz w:val="18"/>
                <w:szCs w:val="18"/>
                <w:lang w:eastAsia="sk-SK"/>
              </w:rPr>
              <w:t>Návratné finančné výpomoci</w:t>
            </w:r>
          </w:p>
        </w:tc>
        <w:tc>
          <w:tcPr>
            <w:tcW w:w="880" w:type="pct"/>
            <w:tcBorders>
              <w:top w:val="nil"/>
              <w:left w:val="nil"/>
              <w:bottom w:val="nil"/>
              <w:right w:val="nil"/>
            </w:tcBorders>
            <w:vAlign w:val="center"/>
            <w:hideMark/>
          </w:tcPr>
          <w:p w14:paraId="542BD35F" w14:textId="77777777" w:rsidR="0055035C" w:rsidRPr="0055035C" w:rsidRDefault="0055035C" w:rsidP="0055035C">
            <w:pPr>
              <w:spacing w:after="0" w:line="240" w:lineRule="auto"/>
              <w:jc w:val="right"/>
              <w:rPr>
                <w:rFonts w:ascii="Times New Roman" w:hAnsi="Times New Roman"/>
                <w:color w:val="000000"/>
                <w:sz w:val="18"/>
                <w:szCs w:val="18"/>
                <w:lang w:eastAsia="sk-SK"/>
              </w:rPr>
            </w:pPr>
            <w:r w:rsidRPr="0055035C">
              <w:rPr>
                <w:rFonts w:ascii="Times New Roman" w:hAnsi="Times New Roman"/>
                <w:color w:val="000000"/>
                <w:sz w:val="18"/>
                <w:szCs w:val="18"/>
                <w:lang w:eastAsia="sk-SK"/>
              </w:rPr>
              <w:t>17 184</w:t>
            </w:r>
          </w:p>
        </w:tc>
        <w:tc>
          <w:tcPr>
            <w:tcW w:w="880" w:type="pct"/>
            <w:tcBorders>
              <w:top w:val="nil"/>
              <w:left w:val="nil"/>
              <w:bottom w:val="nil"/>
              <w:right w:val="nil"/>
            </w:tcBorders>
            <w:vAlign w:val="center"/>
            <w:hideMark/>
          </w:tcPr>
          <w:p w14:paraId="3058B795" w14:textId="77777777" w:rsidR="0055035C" w:rsidRPr="0055035C" w:rsidRDefault="0055035C" w:rsidP="0055035C">
            <w:pPr>
              <w:spacing w:after="0" w:line="240" w:lineRule="auto"/>
              <w:jc w:val="right"/>
              <w:rPr>
                <w:rFonts w:ascii="Times New Roman" w:hAnsi="Times New Roman"/>
                <w:color w:val="000000"/>
                <w:sz w:val="18"/>
                <w:szCs w:val="18"/>
                <w:lang w:eastAsia="sk-SK"/>
              </w:rPr>
            </w:pPr>
            <w:r w:rsidRPr="0055035C">
              <w:rPr>
                <w:rFonts w:ascii="Times New Roman" w:hAnsi="Times New Roman"/>
                <w:color w:val="000000"/>
                <w:sz w:val="18"/>
                <w:szCs w:val="18"/>
                <w:lang w:eastAsia="sk-SK"/>
              </w:rPr>
              <w:t>38 607</w:t>
            </w:r>
          </w:p>
        </w:tc>
        <w:tc>
          <w:tcPr>
            <w:tcW w:w="880" w:type="pct"/>
            <w:tcBorders>
              <w:top w:val="nil"/>
              <w:left w:val="nil"/>
              <w:bottom w:val="nil"/>
              <w:right w:val="nil"/>
            </w:tcBorders>
            <w:vAlign w:val="center"/>
            <w:hideMark/>
          </w:tcPr>
          <w:p w14:paraId="5687A153" w14:textId="77777777" w:rsidR="0055035C" w:rsidRPr="0055035C" w:rsidRDefault="0055035C" w:rsidP="0055035C">
            <w:pPr>
              <w:spacing w:after="0" w:line="240" w:lineRule="auto"/>
              <w:jc w:val="right"/>
              <w:rPr>
                <w:rFonts w:ascii="Times New Roman" w:hAnsi="Times New Roman"/>
                <w:color w:val="000000"/>
                <w:sz w:val="18"/>
                <w:szCs w:val="18"/>
                <w:lang w:eastAsia="sk-SK"/>
              </w:rPr>
            </w:pPr>
            <w:r w:rsidRPr="0055035C">
              <w:rPr>
                <w:rFonts w:ascii="Times New Roman" w:hAnsi="Times New Roman"/>
                <w:color w:val="000000"/>
                <w:sz w:val="18"/>
                <w:szCs w:val="18"/>
                <w:lang w:eastAsia="sk-SK"/>
              </w:rPr>
              <w:t>-21 423</w:t>
            </w:r>
          </w:p>
        </w:tc>
      </w:tr>
      <w:tr w:rsidR="0055035C" w:rsidRPr="0055035C" w14:paraId="36EF78B6" w14:textId="77777777" w:rsidTr="0085799C">
        <w:trPr>
          <w:trHeight w:val="227"/>
          <w:jc w:val="center"/>
        </w:trPr>
        <w:tc>
          <w:tcPr>
            <w:tcW w:w="2359" w:type="pct"/>
            <w:tcBorders>
              <w:top w:val="nil"/>
              <w:left w:val="nil"/>
              <w:bottom w:val="single" w:sz="8" w:space="0" w:color="auto"/>
              <w:right w:val="nil"/>
            </w:tcBorders>
            <w:vAlign w:val="center"/>
            <w:hideMark/>
          </w:tcPr>
          <w:p w14:paraId="67111EBE" w14:textId="77777777" w:rsidR="0055035C" w:rsidRPr="0055035C" w:rsidRDefault="0055035C" w:rsidP="0055035C">
            <w:pPr>
              <w:spacing w:after="0" w:line="240" w:lineRule="auto"/>
              <w:rPr>
                <w:rFonts w:ascii="Times New Roman" w:hAnsi="Times New Roman"/>
                <w:color w:val="000000"/>
                <w:sz w:val="18"/>
                <w:szCs w:val="18"/>
                <w:lang w:eastAsia="sk-SK"/>
              </w:rPr>
            </w:pPr>
            <w:r w:rsidRPr="0055035C">
              <w:rPr>
                <w:rFonts w:ascii="Times New Roman" w:hAnsi="Times New Roman"/>
                <w:color w:val="000000"/>
                <w:sz w:val="18"/>
                <w:szCs w:val="18"/>
                <w:lang w:eastAsia="sk-SK"/>
              </w:rPr>
              <w:t>Ostatné dlhodobé pohľadávky</w:t>
            </w:r>
          </w:p>
        </w:tc>
        <w:tc>
          <w:tcPr>
            <w:tcW w:w="880" w:type="pct"/>
            <w:tcBorders>
              <w:top w:val="nil"/>
              <w:left w:val="nil"/>
              <w:bottom w:val="single" w:sz="8" w:space="0" w:color="auto"/>
              <w:right w:val="nil"/>
            </w:tcBorders>
            <w:vAlign w:val="center"/>
            <w:hideMark/>
          </w:tcPr>
          <w:p w14:paraId="16D553C4" w14:textId="77777777" w:rsidR="0055035C" w:rsidRPr="0055035C" w:rsidRDefault="0055035C" w:rsidP="0055035C">
            <w:pPr>
              <w:spacing w:after="0" w:line="240" w:lineRule="auto"/>
              <w:jc w:val="right"/>
              <w:rPr>
                <w:rFonts w:ascii="Times New Roman" w:hAnsi="Times New Roman"/>
                <w:color w:val="000000"/>
                <w:sz w:val="18"/>
                <w:szCs w:val="18"/>
                <w:lang w:eastAsia="sk-SK"/>
              </w:rPr>
            </w:pPr>
            <w:r w:rsidRPr="0055035C">
              <w:rPr>
                <w:rFonts w:ascii="Times New Roman" w:hAnsi="Times New Roman"/>
                <w:color w:val="000000"/>
                <w:sz w:val="18"/>
                <w:szCs w:val="18"/>
                <w:lang w:eastAsia="sk-SK"/>
              </w:rPr>
              <w:t>236 446</w:t>
            </w:r>
          </w:p>
        </w:tc>
        <w:tc>
          <w:tcPr>
            <w:tcW w:w="880" w:type="pct"/>
            <w:tcBorders>
              <w:top w:val="nil"/>
              <w:left w:val="nil"/>
              <w:bottom w:val="single" w:sz="8" w:space="0" w:color="auto"/>
              <w:right w:val="nil"/>
            </w:tcBorders>
            <w:vAlign w:val="center"/>
            <w:hideMark/>
          </w:tcPr>
          <w:p w14:paraId="10FB3988" w14:textId="77777777" w:rsidR="0055035C" w:rsidRPr="0055035C" w:rsidRDefault="0055035C" w:rsidP="0055035C">
            <w:pPr>
              <w:spacing w:after="0" w:line="240" w:lineRule="auto"/>
              <w:jc w:val="right"/>
              <w:rPr>
                <w:rFonts w:ascii="Times New Roman" w:hAnsi="Times New Roman"/>
                <w:color w:val="000000"/>
                <w:sz w:val="18"/>
                <w:szCs w:val="18"/>
                <w:lang w:eastAsia="sk-SK"/>
              </w:rPr>
            </w:pPr>
            <w:r w:rsidRPr="0055035C">
              <w:rPr>
                <w:rFonts w:ascii="Times New Roman" w:hAnsi="Times New Roman"/>
                <w:color w:val="000000"/>
                <w:sz w:val="18"/>
                <w:szCs w:val="18"/>
                <w:lang w:eastAsia="sk-SK"/>
              </w:rPr>
              <w:t>118 695</w:t>
            </w:r>
          </w:p>
        </w:tc>
        <w:tc>
          <w:tcPr>
            <w:tcW w:w="880" w:type="pct"/>
            <w:tcBorders>
              <w:top w:val="nil"/>
              <w:left w:val="nil"/>
              <w:bottom w:val="nil"/>
              <w:right w:val="nil"/>
            </w:tcBorders>
            <w:vAlign w:val="center"/>
            <w:hideMark/>
          </w:tcPr>
          <w:p w14:paraId="10DADA25" w14:textId="77777777" w:rsidR="0055035C" w:rsidRPr="0055035C" w:rsidRDefault="0055035C" w:rsidP="0055035C">
            <w:pPr>
              <w:spacing w:after="0" w:line="240" w:lineRule="auto"/>
              <w:jc w:val="right"/>
              <w:rPr>
                <w:rFonts w:ascii="Times New Roman" w:hAnsi="Times New Roman"/>
                <w:color w:val="000000"/>
                <w:sz w:val="18"/>
                <w:szCs w:val="18"/>
                <w:lang w:eastAsia="sk-SK"/>
              </w:rPr>
            </w:pPr>
            <w:r w:rsidRPr="0055035C">
              <w:rPr>
                <w:rFonts w:ascii="Times New Roman" w:hAnsi="Times New Roman"/>
                <w:color w:val="000000"/>
                <w:sz w:val="18"/>
                <w:szCs w:val="18"/>
                <w:lang w:eastAsia="sk-SK"/>
              </w:rPr>
              <w:t>117 751</w:t>
            </w:r>
          </w:p>
        </w:tc>
      </w:tr>
      <w:tr w:rsidR="0055035C" w:rsidRPr="0055035C" w14:paraId="643940D5" w14:textId="77777777" w:rsidTr="0085799C">
        <w:trPr>
          <w:trHeight w:val="227"/>
          <w:jc w:val="center"/>
        </w:trPr>
        <w:tc>
          <w:tcPr>
            <w:tcW w:w="2359" w:type="pct"/>
            <w:tcBorders>
              <w:top w:val="nil"/>
              <w:left w:val="nil"/>
              <w:bottom w:val="single" w:sz="8" w:space="0" w:color="auto"/>
              <w:right w:val="nil"/>
            </w:tcBorders>
            <w:vAlign w:val="center"/>
            <w:hideMark/>
          </w:tcPr>
          <w:p w14:paraId="1BF6AB98" w14:textId="77777777" w:rsidR="0055035C" w:rsidRPr="0055035C" w:rsidRDefault="0055035C" w:rsidP="0055035C">
            <w:pPr>
              <w:spacing w:after="0" w:line="240" w:lineRule="auto"/>
              <w:rPr>
                <w:rFonts w:ascii="Times New Roman" w:hAnsi="Times New Roman"/>
                <w:b/>
                <w:bCs/>
                <w:color w:val="000000"/>
                <w:sz w:val="18"/>
                <w:szCs w:val="18"/>
                <w:lang w:eastAsia="sk-SK"/>
              </w:rPr>
            </w:pPr>
            <w:r w:rsidRPr="0055035C">
              <w:rPr>
                <w:rFonts w:ascii="Times New Roman" w:hAnsi="Times New Roman"/>
                <w:b/>
                <w:bCs/>
                <w:color w:val="000000"/>
                <w:sz w:val="18"/>
                <w:szCs w:val="18"/>
                <w:lang w:eastAsia="sk-SK"/>
              </w:rPr>
              <w:t>Spolu</w:t>
            </w:r>
          </w:p>
        </w:tc>
        <w:tc>
          <w:tcPr>
            <w:tcW w:w="880" w:type="pct"/>
            <w:tcBorders>
              <w:top w:val="nil"/>
              <w:left w:val="nil"/>
              <w:bottom w:val="single" w:sz="8" w:space="0" w:color="auto"/>
              <w:right w:val="nil"/>
            </w:tcBorders>
            <w:vAlign w:val="center"/>
            <w:hideMark/>
          </w:tcPr>
          <w:p w14:paraId="6121B903" w14:textId="77777777" w:rsidR="0055035C" w:rsidRPr="0055035C" w:rsidRDefault="0055035C" w:rsidP="0055035C">
            <w:pPr>
              <w:spacing w:after="0" w:line="240" w:lineRule="auto"/>
              <w:jc w:val="right"/>
              <w:rPr>
                <w:rFonts w:ascii="Times New Roman" w:hAnsi="Times New Roman"/>
                <w:b/>
                <w:bCs/>
                <w:color w:val="000000"/>
                <w:sz w:val="18"/>
                <w:szCs w:val="18"/>
                <w:lang w:eastAsia="sk-SK"/>
              </w:rPr>
            </w:pPr>
            <w:r w:rsidRPr="0055035C">
              <w:rPr>
                <w:rFonts w:ascii="Times New Roman" w:hAnsi="Times New Roman"/>
                <w:b/>
                <w:bCs/>
                <w:color w:val="000000"/>
                <w:sz w:val="18"/>
                <w:szCs w:val="18"/>
                <w:lang w:eastAsia="sk-SK"/>
              </w:rPr>
              <w:t>1 013 015</w:t>
            </w:r>
          </w:p>
        </w:tc>
        <w:tc>
          <w:tcPr>
            <w:tcW w:w="880" w:type="pct"/>
            <w:tcBorders>
              <w:top w:val="nil"/>
              <w:left w:val="nil"/>
              <w:bottom w:val="single" w:sz="8" w:space="0" w:color="auto"/>
              <w:right w:val="nil"/>
            </w:tcBorders>
            <w:vAlign w:val="center"/>
            <w:hideMark/>
          </w:tcPr>
          <w:p w14:paraId="65C39D47" w14:textId="77777777" w:rsidR="0055035C" w:rsidRPr="0055035C" w:rsidRDefault="0055035C" w:rsidP="0055035C">
            <w:pPr>
              <w:spacing w:after="0" w:line="240" w:lineRule="auto"/>
              <w:jc w:val="right"/>
              <w:rPr>
                <w:rFonts w:ascii="Times New Roman" w:hAnsi="Times New Roman"/>
                <w:b/>
                <w:bCs/>
                <w:color w:val="000000"/>
                <w:sz w:val="18"/>
                <w:szCs w:val="18"/>
                <w:lang w:eastAsia="sk-SK"/>
              </w:rPr>
            </w:pPr>
            <w:r w:rsidRPr="0055035C">
              <w:rPr>
                <w:rFonts w:ascii="Times New Roman" w:hAnsi="Times New Roman"/>
                <w:b/>
                <w:bCs/>
                <w:color w:val="000000"/>
                <w:sz w:val="18"/>
                <w:szCs w:val="18"/>
                <w:lang w:eastAsia="sk-SK"/>
              </w:rPr>
              <w:t>880 631</w:t>
            </w:r>
          </w:p>
        </w:tc>
        <w:tc>
          <w:tcPr>
            <w:tcW w:w="880" w:type="pct"/>
            <w:tcBorders>
              <w:top w:val="single" w:sz="8" w:space="0" w:color="000000"/>
              <w:left w:val="nil"/>
              <w:bottom w:val="single" w:sz="8" w:space="0" w:color="000000"/>
              <w:right w:val="nil"/>
            </w:tcBorders>
            <w:vAlign w:val="center"/>
            <w:hideMark/>
          </w:tcPr>
          <w:p w14:paraId="1C7589EE" w14:textId="77777777" w:rsidR="0055035C" w:rsidRPr="0055035C" w:rsidRDefault="0055035C" w:rsidP="0055035C">
            <w:pPr>
              <w:spacing w:after="0" w:line="240" w:lineRule="auto"/>
              <w:jc w:val="right"/>
              <w:rPr>
                <w:rFonts w:ascii="Times New Roman" w:hAnsi="Times New Roman"/>
                <w:b/>
                <w:bCs/>
                <w:color w:val="000000"/>
                <w:sz w:val="18"/>
                <w:szCs w:val="18"/>
                <w:lang w:eastAsia="sk-SK"/>
              </w:rPr>
            </w:pPr>
            <w:r w:rsidRPr="0055035C">
              <w:rPr>
                <w:rFonts w:ascii="Times New Roman" w:hAnsi="Times New Roman"/>
                <w:b/>
                <w:bCs/>
                <w:color w:val="000000"/>
                <w:sz w:val="18"/>
                <w:szCs w:val="18"/>
                <w:lang w:eastAsia="sk-SK"/>
              </w:rPr>
              <w:t>132 384</w:t>
            </w:r>
          </w:p>
        </w:tc>
      </w:tr>
      <w:tr w:rsidR="0055035C" w:rsidRPr="0055035C" w14:paraId="564B35AF" w14:textId="77777777" w:rsidTr="0085799C">
        <w:trPr>
          <w:trHeight w:val="227"/>
          <w:jc w:val="center"/>
        </w:trPr>
        <w:tc>
          <w:tcPr>
            <w:tcW w:w="5000" w:type="pct"/>
            <w:gridSpan w:val="4"/>
            <w:tcBorders>
              <w:top w:val="nil"/>
              <w:left w:val="nil"/>
              <w:bottom w:val="nil"/>
              <w:right w:val="nil"/>
            </w:tcBorders>
            <w:noWrap/>
            <w:vAlign w:val="center"/>
            <w:hideMark/>
          </w:tcPr>
          <w:p w14:paraId="03790F43" w14:textId="77777777" w:rsidR="0055035C" w:rsidRPr="0055035C" w:rsidRDefault="0055035C" w:rsidP="0055035C">
            <w:pPr>
              <w:spacing w:after="0" w:line="240" w:lineRule="auto"/>
              <w:jc w:val="right"/>
              <w:rPr>
                <w:rFonts w:ascii="Times New Roman" w:hAnsi="Times New Roman"/>
                <w:color w:val="000000"/>
                <w:sz w:val="16"/>
                <w:szCs w:val="16"/>
                <w:lang w:eastAsia="sk-SK"/>
              </w:rPr>
            </w:pPr>
            <w:r w:rsidRPr="0055035C">
              <w:rPr>
                <w:rFonts w:ascii="Times New Roman" w:hAnsi="Times New Roman"/>
                <w:color w:val="000000"/>
                <w:sz w:val="16"/>
                <w:szCs w:val="16"/>
                <w:lang w:eastAsia="sk-SK"/>
              </w:rPr>
              <w:t>Zdroj: MF SR, Centrálny konsolidačný systém</w:t>
            </w:r>
          </w:p>
        </w:tc>
      </w:tr>
    </w:tbl>
    <w:p w14:paraId="44365BAE" w14:textId="5687FA0F" w:rsidR="001F3378" w:rsidRPr="0085799C" w:rsidRDefault="00647542" w:rsidP="0085799C">
      <w:pPr>
        <w:pStyle w:val="Pismenka"/>
        <w:tabs>
          <w:tab w:val="clear" w:pos="426"/>
        </w:tabs>
        <w:spacing w:after="120"/>
        <w:ind w:left="0" w:firstLine="0"/>
        <w:rPr>
          <w:rFonts w:eastAsia="Calibri"/>
        </w:rPr>
      </w:pPr>
      <w:r w:rsidRPr="0085799C">
        <w:rPr>
          <w:b w:val="0"/>
          <w:sz w:val="22"/>
          <w:szCs w:val="22"/>
          <w:lang w:eastAsia="en-US"/>
        </w:rPr>
        <w:t xml:space="preserve">Z dlhodobých pohľadávok </w:t>
      </w:r>
      <w:r w:rsidR="00C322AC" w:rsidRPr="0085799C">
        <w:rPr>
          <w:b w:val="0"/>
          <w:sz w:val="22"/>
          <w:szCs w:val="22"/>
          <w:lang w:eastAsia="en-US"/>
        </w:rPr>
        <w:t>n</w:t>
      </w:r>
      <w:r w:rsidR="3A1B8FD5" w:rsidRPr="0085799C">
        <w:rPr>
          <w:rFonts w:eastAsia="Calibri"/>
          <w:b w:val="0"/>
          <w:sz w:val="22"/>
          <w:szCs w:val="22"/>
        </w:rPr>
        <w:t xml:space="preserve">ajvyššiu sumu vykázala </w:t>
      </w:r>
      <w:r w:rsidR="3A1B8FD5" w:rsidRPr="0085799C">
        <w:rPr>
          <w:rFonts w:eastAsia="Calibri"/>
          <w:b w:val="0"/>
          <w:sz w:val="22"/>
          <w:szCs w:val="22"/>
          <w:u w:val="single"/>
        </w:rPr>
        <w:t>EXIMBANKA SR,</w:t>
      </w:r>
      <w:r w:rsidR="3A1B8FD5" w:rsidRPr="0085799C">
        <w:rPr>
          <w:rFonts w:eastAsia="Calibri"/>
          <w:sz w:val="22"/>
          <w:szCs w:val="22"/>
        </w:rPr>
        <w:t xml:space="preserve"> </w:t>
      </w:r>
      <w:r w:rsidR="3A1B8FD5" w:rsidRPr="0085799C">
        <w:rPr>
          <w:rFonts w:eastAsia="Calibri"/>
          <w:b w:val="0"/>
          <w:sz w:val="22"/>
          <w:szCs w:val="22"/>
        </w:rPr>
        <w:t xml:space="preserve">a to hodnotu 437 429 </w:t>
      </w:r>
      <w:r w:rsidR="00ED288D" w:rsidRPr="0085799C">
        <w:rPr>
          <w:rFonts w:eastAsia="Calibri"/>
          <w:b w:val="0"/>
          <w:sz w:val="22"/>
          <w:szCs w:val="22"/>
        </w:rPr>
        <w:t>tis.</w:t>
      </w:r>
      <w:r w:rsidR="3A1B8FD5" w:rsidRPr="0085799C">
        <w:rPr>
          <w:rFonts w:eastAsia="Calibri"/>
          <w:b w:val="0"/>
          <w:sz w:val="22"/>
          <w:szCs w:val="22"/>
        </w:rPr>
        <w:t xml:space="preserve"> eur. Ide o</w:t>
      </w:r>
      <w:r w:rsidR="007450D3" w:rsidRPr="0085799C">
        <w:rPr>
          <w:rFonts w:eastAsia="Calibri"/>
          <w:b w:val="0"/>
          <w:sz w:val="22"/>
          <w:szCs w:val="22"/>
        </w:rPr>
        <w:t> </w:t>
      </w:r>
      <w:r w:rsidR="3A1B8FD5" w:rsidRPr="0085799C">
        <w:rPr>
          <w:rFonts w:eastAsia="Calibri"/>
          <w:b w:val="0"/>
          <w:sz w:val="22"/>
          <w:szCs w:val="22"/>
        </w:rPr>
        <w:t xml:space="preserve">pohľadávky voči obchodným klientom a voči bankám (pohľadávky z úverov poskytnutých bankám). </w:t>
      </w:r>
      <w:r w:rsidR="001F3378" w:rsidRPr="0085799C">
        <w:rPr>
          <w:b w:val="0"/>
          <w:bCs w:val="0"/>
          <w:sz w:val="22"/>
          <w:szCs w:val="22"/>
        </w:rPr>
        <w:t>Netto hodnota týchto pohľadávok zaznamenala nárast o 53 182 </w:t>
      </w:r>
      <w:r w:rsidR="001F3378" w:rsidRPr="0085799C">
        <w:rPr>
          <w:b w:val="0"/>
          <w:sz w:val="22"/>
          <w:szCs w:val="22"/>
        </w:rPr>
        <w:t>tis.</w:t>
      </w:r>
      <w:r w:rsidR="001F3378" w:rsidRPr="0085799C">
        <w:rPr>
          <w:b w:val="0"/>
          <w:bCs w:val="0"/>
          <w:sz w:val="22"/>
          <w:szCs w:val="22"/>
        </w:rPr>
        <w:t> eur oproti minulému roku. Tento nárast bol spôsobený zvýšením netto hodnoty pohľadávok z úverov voči klientom o 39</w:t>
      </w:r>
      <w:r w:rsidR="001F3378" w:rsidRPr="0085799C">
        <w:rPr>
          <w:b w:val="0"/>
          <w:sz w:val="22"/>
          <w:szCs w:val="22"/>
        </w:rPr>
        <w:t> </w:t>
      </w:r>
      <w:r w:rsidR="001F3378" w:rsidRPr="0085799C">
        <w:rPr>
          <w:b w:val="0"/>
          <w:bCs w:val="0"/>
          <w:sz w:val="22"/>
          <w:szCs w:val="22"/>
        </w:rPr>
        <w:t>76</w:t>
      </w:r>
      <w:r w:rsidR="001F3378" w:rsidRPr="0085799C">
        <w:rPr>
          <w:b w:val="0"/>
          <w:sz w:val="22"/>
          <w:szCs w:val="22"/>
        </w:rPr>
        <w:t xml:space="preserve">1 tis. </w:t>
      </w:r>
      <w:r w:rsidR="001F3378" w:rsidRPr="0085799C">
        <w:rPr>
          <w:b w:val="0"/>
          <w:bCs w:val="0"/>
          <w:sz w:val="22"/>
          <w:szCs w:val="22"/>
        </w:rPr>
        <w:t xml:space="preserve">eur, nárastom netto hodnoty ostatných pohľadávok voči klientom bolo o 13 427 </w:t>
      </w:r>
      <w:r w:rsidR="001F3378" w:rsidRPr="0085799C">
        <w:rPr>
          <w:b w:val="0"/>
          <w:sz w:val="22"/>
          <w:szCs w:val="22"/>
        </w:rPr>
        <w:t>tis.</w:t>
      </w:r>
      <w:r w:rsidR="001F3378" w:rsidRPr="0085799C">
        <w:rPr>
          <w:b w:val="0"/>
          <w:bCs w:val="0"/>
          <w:sz w:val="22"/>
          <w:szCs w:val="22"/>
        </w:rPr>
        <w:t xml:space="preserve"> eur, nárastom netto hodnoty pohľadávok voči bankám o 2</w:t>
      </w:r>
      <w:r w:rsidR="001F3378" w:rsidRPr="0085799C">
        <w:rPr>
          <w:b w:val="0"/>
          <w:sz w:val="22"/>
          <w:szCs w:val="22"/>
        </w:rPr>
        <w:t> </w:t>
      </w:r>
      <w:r w:rsidR="001F3378" w:rsidRPr="0085799C">
        <w:rPr>
          <w:b w:val="0"/>
          <w:bCs w:val="0"/>
          <w:sz w:val="22"/>
          <w:szCs w:val="22"/>
        </w:rPr>
        <w:t>55</w:t>
      </w:r>
      <w:r w:rsidR="001F3378" w:rsidRPr="0085799C">
        <w:rPr>
          <w:b w:val="0"/>
          <w:sz w:val="22"/>
          <w:szCs w:val="22"/>
        </w:rPr>
        <w:t xml:space="preserve">3 tis. </w:t>
      </w:r>
      <w:r w:rsidR="001F3378" w:rsidRPr="0085799C">
        <w:rPr>
          <w:b w:val="0"/>
          <w:bCs w:val="0"/>
          <w:sz w:val="22"/>
          <w:szCs w:val="22"/>
        </w:rPr>
        <w:t xml:space="preserve">eur so súčasným poklesom podielu zaisťovateľov o 2 558 </w:t>
      </w:r>
      <w:r w:rsidR="001F3378" w:rsidRPr="0085799C">
        <w:rPr>
          <w:b w:val="0"/>
          <w:sz w:val="22"/>
          <w:szCs w:val="22"/>
        </w:rPr>
        <w:t>tis. e</w:t>
      </w:r>
      <w:r w:rsidR="001F3378" w:rsidRPr="0085799C">
        <w:rPr>
          <w:b w:val="0"/>
          <w:bCs w:val="0"/>
          <w:sz w:val="22"/>
          <w:szCs w:val="22"/>
        </w:rPr>
        <w:t>ur.</w:t>
      </w:r>
    </w:p>
    <w:p w14:paraId="063ACC95" w14:textId="69601D70" w:rsidR="00647542" w:rsidRPr="0085799C" w:rsidRDefault="3A1B8FD5" w:rsidP="0085799C">
      <w:pPr>
        <w:spacing w:after="120" w:line="240" w:lineRule="auto"/>
        <w:jc w:val="both"/>
        <w:rPr>
          <w:rFonts w:ascii="Times New Roman" w:eastAsia="Calibri" w:hAnsi="Times New Roman"/>
        </w:rPr>
      </w:pPr>
      <w:r w:rsidRPr="0085799C">
        <w:rPr>
          <w:rFonts w:ascii="Times New Roman" w:eastAsia="Calibri" w:hAnsi="Times New Roman"/>
          <w:u w:val="single"/>
        </w:rPr>
        <w:t>Slovenská záručná a rozvojová banka, a.s.</w:t>
      </w:r>
      <w:r w:rsidRPr="0085799C">
        <w:rPr>
          <w:rFonts w:ascii="Times New Roman" w:eastAsia="Calibri" w:hAnsi="Times New Roman"/>
        </w:rPr>
        <w:t xml:space="preserve"> vykázala v rámci dlhodobých pohľadávok hodnotu </w:t>
      </w:r>
      <w:r w:rsidR="00047C3F" w:rsidRPr="001A67CA">
        <w:rPr>
          <w:rFonts w:ascii="Times New Roman" w:eastAsia="Calibri" w:hAnsi="Times New Roman"/>
        </w:rPr>
        <w:t>250</w:t>
      </w:r>
      <w:r w:rsidR="00CB11A7" w:rsidRPr="0085799C">
        <w:rPr>
          <w:rFonts w:ascii="Times New Roman" w:eastAsia="Calibri" w:hAnsi="Times New Roman"/>
        </w:rPr>
        <w:t> </w:t>
      </w:r>
      <w:r w:rsidR="00047C3F" w:rsidRPr="001A67CA">
        <w:rPr>
          <w:rFonts w:ascii="Times New Roman" w:eastAsia="Calibri" w:hAnsi="Times New Roman"/>
        </w:rPr>
        <w:t>455</w:t>
      </w:r>
      <w:r w:rsidR="00CB11A7" w:rsidRPr="001A67CA">
        <w:rPr>
          <w:rFonts w:ascii="Times New Roman" w:eastAsia="Calibri" w:hAnsi="Times New Roman"/>
        </w:rPr>
        <w:t> </w:t>
      </w:r>
      <w:r w:rsidR="000A1DFF" w:rsidRPr="0085799C">
        <w:rPr>
          <w:rFonts w:ascii="Times New Roman" w:eastAsia="Calibri" w:hAnsi="Times New Roman"/>
        </w:rPr>
        <w:t>tis.</w:t>
      </w:r>
      <w:r w:rsidR="00CB11A7" w:rsidRPr="001A67CA">
        <w:rPr>
          <w:rFonts w:ascii="Times New Roman" w:eastAsia="Calibri" w:hAnsi="Times New Roman"/>
        </w:rPr>
        <w:t> </w:t>
      </w:r>
      <w:r w:rsidRPr="0085799C">
        <w:rPr>
          <w:rFonts w:ascii="Times New Roman" w:eastAsia="Calibri" w:hAnsi="Times New Roman"/>
        </w:rPr>
        <w:t>eur. Ide o pohľadávky z poskytnutých úverov obchodným spoločnostiam mimo konsolidovaného celk</w:t>
      </w:r>
      <w:r w:rsidR="00C8197A" w:rsidRPr="00CB11A7">
        <w:rPr>
          <w:rFonts w:ascii="Times New Roman" w:eastAsia="Calibri" w:hAnsi="Times New Roman"/>
        </w:rPr>
        <w:t xml:space="preserve">u z predchádzajúcej podpory družstevnej bytovej výstavby a z realizovaných bankových záruk. Pôvodne vykazované pohľadávky </w:t>
      </w:r>
      <w:r w:rsidRPr="0085799C">
        <w:rPr>
          <w:rFonts w:ascii="Times New Roman" w:eastAsia="Calibri" w:hAnsi="Times New Roman"/>
        </w:rPr>
        <w:t xml:space="preserve"> obciam SR</w:t>
      </w:r>
      <w:r w:rsidR="00C8197A" w:rsidRPr="00CB11A7">
        <w:rPr>
          <w:rFonts w:ascii="Times New Roman" w:eastAsia="Calibri" w:hAnsi="Times New Roman"/>
        </w:rPr>
        <w:t xml:space="preserve"> boli eliminované vo výške 16</w:t>
      </w:r>
      <w:r w:rsidR="00CB11A7" w:rsidRPr="00CB11A7">
        <w:rPr>
          <w:rFonts w:ascii="Times New Roman" w:eastAsia="Calibri" w:hAnsi="Times New Roman"/>
        </w:rPr>
        <w:t> </w:t>
      </w:r>
      <w:r w:rsidR="00C8197A" w:rsidRPr="00CB11A7">
        <w:rPr>
          <w:rFonts w:ascii="Times New Roman" w:eastAsia="Calibri" w:hAnsi="Times New Roman"/>
        </w:rPr>
        <w:t>51</w:t>
      </w:r>
      <w:r w:rsidR="006D50C9" w:rsidRPr="00CB11A7">
        <w:rPr>
          <w:rFonts w:ascii="Times New Roman" w:eastAsia="Calibri" w:hAnsi="Times New Roman"/>
        </w:rPr>
        <w:t>8</w:t>
      </w:r>
      <w:r w:rsidR="00CB11A7" w:rsidRPr="00CB11A7">
        <w:rPr>
          <w:rFonts w:ascii="Times New Roman" w:eastAsia="Calibri" w:hAnsi="Times New Roman"/>
        </w:rPr>
        <w:t> </w:t>
      </w:r>
      <w:r w:rsidR="00C8197A" w:rsidRPr="00CB11A7">
        <w:rPr>
          <w:rFonts w:ascii="Times New Roman" w:eastAsia="Calibri" w:hAnsi="Times New Roman"/>
        </w:rPr>
        <w:t>tis.</w:t>
      </w:r>
      <w:r w:rsidR="00CB11A7" w:rsidRPr="00CB11A7">
        <w:rPr>
          <w:rFonts w:ascii="Times New Roman" w:eastAsia="Calibri" w:hAnsi="Times New Roman"/>
        </w:rPr>
        <w:t> </w:t>
      </w:r>
      <w:r w:rsidR="00C8197A" w:rsidRPr="00CB11A7">
        <w:rPr>
          <w:rFonts w:ascii="Times New Roman" w:eastAsia="Calibri" w:hAnsi="Times New Roman"/>
        </w:rPr>
        <w:t xml:space="preserve">eur na tretej úrovni konsolidácie. </w:t>
      </w:r>
    </w:p>
    <w:p w14:paraId="477E4645" w14:textId="6611E4F1" w:rsidR="00647542" w:rsidRPr="0085799C" w:rsidRDefault="3A1B8FD5" w:rsidP="0085799C">
      <w:pPr>
        <w:spacing w:after="120" w:line="240" w:lineRule="auto"/>
        <w:jc w:val="both"/>
        <w:rPr>
          <w:rFonts w:ascii="Times New Roman" w:eastAsia="Calibri" w:hAnsi="Times New Roman"/>
        </w:rPr>
      </w:pPr>
      <w:r w:rsidRPr="0085799C">
        <w:rPr>
          <w:rFonts w:ascii="Times New Roman" w:eastAsia="Calibri" w:hAnsi="Times New Roman"/>
        </w:rPr>
        <w:t xml:space="preserve">Pohľadávky </w:t>
      </w:r>
      <w:r w:rsidRPr="0085799C">
        <w:rPr>
          <w:rFonts w:ascii="Times New Roman" w:eastAsia="Calibri" w:hAnsi="Times New Roman"/>
          <w:u w:val="single"/>
        </w:rPr>
        <w:t>Všeobecnej zdravotnej poisťovne, a.s.</w:t>
      </w:r>
      <w:r w:rsidRPr="0085799C">
        <w:rPr>
          <w:rFonts w:ascii="Times New Roman" w:eastAsia="Calibri" w:hAnsi="Times New Roman"/>
        </w:rPr>
        <w:t xml:space="preserve"> </w:t>
      </w:r>
      <w:r w:rsidR="002A3ABD" w:rsidRPr="0085799C">
        <w:rPr>
          <w:rFonts w:ascii="Times New Roman" w:eastAsia="Calibri" w:hAnsi="Times New Roman"/>
        </w:rPr>
        <w:t xml:space="preserve">vykázané </w:t>
      </w:r>
      <w:r w:rsidRPr="0085799C">
        <w:rPr>
          <w:rFonts w:ascii="Times New Roman" w:eastAsia="Calibri" w:hAnsi="Times New Roman"/>
        </w:rPr>
        <w:t xml:space="preserve">v sume 24 328 </w:t>
      </w:r>
      <w:r w:rsidR="000A1DFF" w:rsidRPr="0085799C">
        <w:rPr>
          <w:rFonts w:ascii="Times New Roman" w:eastAsia="Calibri" w:hAnsi="Times New Roman"/>
        </w:rPr>
        <w:t>tis.</w:t>
      </w:r>
      <w:r w:rsidRPr="0085799C">
        <w:rPr>
          <w:rFonts w:ascii="Times New Roman" w:eastAsia="Calibri" w:hAnsi="Times New Roman"/>
        </w:rPr>
        <w:t xml:space="preserve"> eur sa týkali pohľadáv</w:t>
      </w:r>
      <w:r w:rsidR="00CD0AA2">
        <w:rPr>
          <w:rFonts w:ascii="Times New Roman" w:eastAsia="Calibri" w:hAnsi="Times New Roman"/>
        </w:rPr>
        <w:t>ok</w:t>
      </w:r>
      <w:r w:rsidRPr="0085799C">
        <w:rPr>
          <w:rFonts w:ascii="Times New Roman" w:eastAsia="Calibri" w:hAnsi="Times New Roman"/>
        </w:rPr>
        <w:t xml:space="preserve"> na zdravotnú starostlivosť poistencov EÚ, pri vzájomnom uplatňovaní pohľadávok a záväzkov prostredníctvom Styčného orgánu SR.</w:t>
      </w:r>
    </w:p>
    <w:p w14:paraId="0E38B477" w14:textId="5EAB6A43" w:rsidR="00133BE1" w:rsidRPr="00CB11A7" w:rsidRDefault="2911FBCB" w:rsidP="00CB11A7">
      <w:pPr>
        <w:spacing w:after="120" w:line="240" w:lineRule="auto"/>
        <w:jc w:val="both"/>
        <w:rPr>
          <w:rFonts w:ascii="Times New Roman" w:eastAsia="Calibri" w:hAnsi="Times New Roman"/>
          <w:szCs w:val="22"/>
        </w:rPr>
      </w:pPr>
      <w:r w:rsidRPr="0085799C">
        <w:rPr>
          <w:rFonts w:ascii="Times New Roman" w:eastAsia="Calibri" w:hAnsi="Times New Roman"/>
          <w:szCs w:val="22"/>
        </w:rPr>
        <w:t xml:space="preserve">V </w:t>
      </w:r>
      <w:r w:rsidRPr="0085799C">
        <w:rPr>
          <w:rFonts w:ascii="Times New Roman" w:eastAsia="Calibri" w:hAnsi="Times New Roman"/>
          <w:szCs w:val="22"/>
          <w:u w:val="single"/>
        </w:rPr>
        <w:t>iných pohľadávkach</w:t>
      </w:r>
      <w:r w:rsidRPr="0085799C">
        <w:rPr>
          <w:rFonts w:ascii="Times New Roman" w:eastAsia="Calibri" w:hAnsi="Times New Roman"/>
          <w:szCs w:val="22"/>
        </w:rPr>
        <w:t xml:space="preserve"> </w:t>
      </w:r>
      <w:r w:rsidR="0C72D5CB" w:rsidRPr="0085799C">
        <w:rPr>
          <w:rFonts w:ascii="Times New Roman" w:eastAsia="Calibri" w:hAnsi="Times New Roman"/>
          <w:szCs w:val="22"/>
        </w:rPr>
        <w:t xml:space="preserve">vykázal </w:t>
      </w:r>
      <w:r w:rsidR="0061072B" w:rsidRPr="0085799C">
        <w:rPr>
          <w:rFonts w:ascii="Times New Roman" w:eastAsia="Calibri" w:hAnsi="Times New Roman"/>
          <w:szCs w:val="22"/>
        </w:rPr>
        <w:t>súhrnný</w:t>
      </w:r>
      <w:r w:rsidR="0C72D5CB" w:rsidRPr="0085799C">
        <w:rPr>
          <w:rFonts w:ascii="Times New Roman" w:eastAsia="Calibri" w:hAnsi="Times New Roman"/>
          <w:szCs w:val="22"/>
        </w:rPr>
        <w:t xml:space="preserve"> celok h</w:t>
      </w:r>
      <w:r w:rsidRPr="0085799C">
        <w:rPr>
          <w:rFonts w:ascii="Times New Roman" w:eastAsia="Calibri" w:hAnsi="Times New Roman"/>
          <w:szCs w:val="22"/>
        </w:rPr>
        <w:t xml:space="preserve">odnotu </w:t>
      </w:r>
      <w:r w:rsidR="00C3745D" w:rsidRPr="00CB11A7">
        <w:rPr>
          <w:rFonts w:ascii="Times New Roman" w:eastAsia="Calibri" w:hAnsi="Times New Roman"/>
          <w:szCs w:val="22"/>
        </w:rPr>
        <w:t>236 446</w:t>
      </w:r>
      <w:r w:rsidR="00055D58" w:rsidRPr="0085799C">
        <w:rPr>
          <w:rFonts w:ascii="Times New Roman" w:eastAsia="Calibri" w:hAnsi="Times New Roman"/>
          <w:szCs w:val="22"/>
        </w:rPr>
        <w:t xml:space="preserve"> tis.</w:t>
      </w:r>
      <w:r w:rsidRPr="0085799C">
        <w:rPr>
          <w:rFonts w:ascii="Times New Roman" w:eastAsia="Calibri" w:hAnsi="Times New Roman"/>
          <w:szCs w:val="22"/>
        </w:rPr>
        <w:t xml:space="preserve"> eur. Najvýznamnejšie hodnoty vykázalo </w:t>
      </w:r>
      <w:r w:rsidRPr="0085799C">
        <w:rPr>
          <w:rFonts w:ascii="Times New Roman" w:eastAsia="Calibri" w:hAnsi="Times New Roman"/>
          <w:u w:val="single"/>
        </w:rPr>
        <w:t>Ministerstvo financií SR</w:t>
      </w:r>
      <w:r w:rsidRPr="0085799C">
        <w:rPr>
          <w:rFonts w:ascii="Times New Roman" w:eastAsia="Calibri" w:hAnsi="Times New Roman"/>
          <w:szCs w:val="22"/>
        </w:rPr>
        <w:t xml:space="preserve"> (netto 53</w:t>
      </w:r>
      <w:r w:rsidR="00055D58" w:rsidRPr="0085799C">
        <w:rPr>
          <w:rFonts w:ascii="Times New Roman" w:eastAsia="Calibri" w:hAnsi="Times New Roman"/>
          <w:szCs w:val="22"/>
        </w:rPr>
        <w:t> </w:t>
      </w:r>
      <w:r w:rsidRPr="0085799C">
        <w:rPr>
          <w:rFonts w:ascii="Times New Roman" w:eastAsia="Calibri" w:hAnsi="Times New Roman"/>
          <w:szCs w:val="22"/>
        </w:rPr>
        <w:t>11</w:t>
      </w:r>
      <w:r w:rsidR="00055D58" w:rsidRPr="0085799C">
        <w:rPr>
          <w:rFonts w:ascii="Times New Roman" w:eastAsia="Calibri" w:hAnsi="Times New Roman"/>
          <w:szCs w:val="22"/>
        </w:rPr>
        <w:t>8 tis.</w:t>
      </w:r>
      <w:r w:rsidRPr="0085799C">
        <w:rPr>
          <w:rFonts w:ascii="Times New Roman" w:eastAsia="Calibri" w:hAnsi="Times New Roman"/>
          <w:szCs w:val="22"/>
        </w:rPr>
        <w:t xml:space="preserve"> eur) z dôvodu ukončenia členstva v Medzinárodnej investičnej banke a Medzinárodnej banke pre hospodársku spoluprácu v roku 2023</w:t>
      </w:r>
      <w:r w:rsidR="00A716F0">
        <w:rPr>
          <w:rFonts w:ascii="Times New Roman" w:eastAsia="Calibri" w:hAnsi="Times New Roman"/>
          <w:szCs w:val="22"/>
        </w:rPr>
        <w:t xml:space="preserve"> a taktiež </w:t>
      </w:r>
      <w:r w:rsidRPr="0085799C">
        <w:rPr>
          <w:rFonts w:ascii="Times New Roman" w:eastAsia="Calibri" w:hAnsi="Times New Roman"/>
          <w:szCs w:val="22"/>
        </w:rPr>
        <w:t>eviduje pohľadávky vo výške 42</w:t>
      </w:r>
      <w:r w:rsidR="00A46EDE" w:rsidRPr="0085799C">
        <w:rPr>
          <w:rFonts w:ascii="Times New Roman" w:eastAsia="Calibri" w:hAnsi="Times New Roman"/>
          <w:szCs w:val="22"/>
        </w:rPr>
        <w:t> </w:t>
      </w:r>
      <w:r w:rsidRPr="0085799C">
        <w:rPr>
          <w:rFonts w:ascii="Times New Roman" w:eastAsia="Calibri" w:hAnsi="Times New Roman"/>
          <w:szCs w:val="22"/>
        </w:rPr>
        <w:t xml:space="preserve">211 </w:t>
      </w:r>
      <w:r w:rsidR="00055D58" w:rsidRPr="0085799C">
        <w:rPr>
          <w:rFonts w:ascii="Times New Roman" w:eastAsia="Calibri" w:hAnsi="Times New Roman"/>
          <w:szCs w:val="22"/>
        </w:rPr>
        <w:t>tis.</w:t>
      </w:r>
      <w:r w:rsidRPr="0085799C">
        <w:rPr>
          <w:rFonts w:ascii="Times New Roman" w:eastAsia="Calibri" w:hAnsi="Times New Roman"/>
          <w:szCs w:val="22"/>
        </w:rPr>
        <w:t xml:space="preserve"> eur voči prijímateľom prostriedkov z fondov EÚ a iných finančných nástrojov, ktoré vznikli z dôvodu nezrovnalostí so zostatkovou dobou splatnosti dlhšou ako jeden rok, pohľadávky úverového charakteru a pohľadávky z barterových obchodov voči podnikom v zahraničí, resp. voči iným krajinám (ide o</w:t>
      </w:r>
      <w:r w:rsidR="00A46EDE" w:rsidRPr="0085799C">
        <w:rPr>
          <w:rFonts w:ascii="Times New Roman" w:eastAsia="Calibri" w:hAnsi="Times New Roman"/>
          <w:szCs w:val="22"/>
        </w:rPr>
        <w:t> </w:t>
      </w:r>
      <w:r w:rsidRPr="0085799C">
        <w:rPr>
          <w:rFonts w:ascii="Times New Roman" w:eastAsia="Calibri" w:hAnsi="Times New Roman"/>
          <w:szCs w:val="22"/>
        </w:rPr>
        <w:t xml:space="preserve">pohľadávky SR, ktoré vznikli pred rokom 1993). </w:t>
      </w:r>
    </w:p>
    <w:p w14:paraId="4624F62E" w14:textId="175AB75A" w:rsidR="00647542" w:rsidRPr="0085799C" w:rsidRDefault="2911FBCB" w:rsidP="0085799C">
      <w:pPr>
        <w:spacing w:after="120" w:line="240" w:lineRule="auto"/>
        <w:jc w:val="both"/>
        <w:rPr>
          <w:rFonts w:ascii="Times New Roman" w:eastAsia="Calibri" w:hAnsi="Times New Roman"/>
          <w:szCs w:val="22"/>
        </w:rPr>
      </w:pPr>
      <w:r w:rsidRPr="0085799C">
        <w:rPr>
          <w:rFonts w:ascii="Times New Roman" w:eastAsia="Calibri" w:hAnsi="Times New Roman"/>
          <w:szCs w:val="22"/>
          <w:u w:val="single"/>
        </w:rPr>
        <w:t xml:space="preserve">National </w:t>
      </w:r>
      <w:proofErr w:type="spellStart"/>
      <w:r w:rsidRPr="0085799C">
        <w:rPr>
          <w:rFonts w:ascii="Times New Roman" w:eastAsia="Calibri" w:hAnsi="Times New Roman"/>
          <w:szCs w:val="22"/>
          <w:u w:val="single"/>
        </w:rPr>
        <w:t>Development</w:t>
      </w:r>
      <w:proofErr w:type="spellEnd"/>
      <w:r w:rsidRPr="0085799C">
        <w:rPr>
          <w:rFonts w:ascii="Times New Roman" w:eastAsia="Calibri" w:hAnsi="Times New Roman"/>
          <w:szCs w:val="22"/>
          <w:u w:val="single"/>
        </w:rPr>
        <w:t xml:space="preserve"> </w:t>
      </w:r>
      <w:proofErr w:type="spellStart"/>
      <w:r w:rsidRPr="0085799C">
        <w:rPr>
          <w:rFonts w:ascii="Times New Roman" w:eastAsia="Calibri" w:hAnsi="Times New Roman"/>
          <w:szCs w:val="22"/>
          <w:u w:val="single"/>
        </w:rPr>
        <w:t>Fund</w:t>
      </w:r>
      <w:proofErr w:type="spellEnd"/>
      <w:r w:rsidRPr="0085799C">
        <w:rPr>
          <w:rFonts w:ascii="Times New Roman" w:eastAsia="Calibri" w:hAnsi="Times New Roman"/>
          <w:szCs w:val="22"/>
          <w:u w:val="single"/>
        </w:rPr>
        <w:t xml:space="preserve"> II., a.s.</w:t>
      </w:r>
      <w:r w:rsidRPr="0085799C">
        <w:rPr>
          <w:rFonts w:ascii="Times New Roman" w:eastAsia="Calibri" w:hAnsi="Times New Roman"/>
          <w:szCs w:val="22"/>
        </w:rPr>
        <w:t xml:space="preserve"> (21</w:t>
      </w:r>
      <w:r w:rsidR="00FD4B74" w:rsidRPr="0085799C">
        <w:rPr>
          <w:rFonts w:ascii="Times New Roman" w:eastAsia="Calibri" w:hAnsi="Times New Roman"/>
          <w:szCs w:val="22"/>
        </w:rPr>
        <w:t> </w:t>
      </w:r>
      <w:r w:rsidRPr="0085799C">
        <w:rPr>
          <w:rFonts w:ascii="Times New Roman" w:eastAsia="Calibri" w:hAnsi="Times New Roman"/>
          <w:szCs w:val="22"/>
        </w:rPr>
        <w:t>08</w:t>
      </w:r>
      <w:r w:rsidR="00FD4B74" w:rsidRPr="0085799C">
        <w:rPr>
          <w:rFonts w:ascii="Times New Roman" w:eastAsia="Calibri" w:hAnsi="Times New Roman"/>
          <w:szCs w:val="22"/>
        </w:rPr>
        <w:t>3 tis.</w:t>
      </w:r>
      <w:r w:rsidRPr="0085799C">
        <w:rPr>
          <w:rFonts w:ascii="Times New Roman" w:eastAsia="Calibri" w:hAnsi="Times New Roman"/>
          <w:szCs w:val="22"/>
        </w:rPr>
        <w:t xml:space="preserve"> eur) eviduje pohľadávky z titulu portfóliového úverového finančného nástroja zdieľaného rizika na základe zmlúv s</w:t>
      </w:r>
      <w:r w:rsidR="00A46EDE" w:rsidRPr="0085799C">
        <w:rPr>
          <w:rFonts w:ascii="Times New Roman" w:eastAsia="Calibri" w:hAnsi="Times New Roman"/>
          <w:szCs w:val="22"/>
        </w:rPr>
        <w:t> </w:t>
      </w:r>
      <w:r w:rsidRPr="0085799C">
        <w:rPr>
          <w:rFonts w:ascii="Times New Roman" w:eastAsia="Calibri" w:hAnsi="Times New Roman"/>
          <w:szCs w:val="22"/>
        </w:rPr>
        <w:t>komerčnými bankami.</w:t>
      </w:r>
    </w:p>
    <w:p w14:paraId="3F272721" w14:textId="70E14CDF" w:rsidR="00A46EDE" w:rsidRPr="00D6641A" w:rsidRDefault="00647542" w:rsidP="001A67CA">
      <w:pPr>
        <w:spacing w:after="120" w:line="240" w:lineRule="auto"/>
        <w:jc w:val="both"/>
        <w:rPr>
          <w:rFonts w:ascii="Times New Roman" w:eastAsia="Calibri" w:hAnsi="Times New Roman"/>
          <w:bCs/>
          <w:szCs w:val="22"/>
        </w:rPr>
      </w:pPr>
      <w:r w:rsidRPr="00A7107D">
        <w:rPr>
          <w:rFonts w:ascii="Times New Roman" w:eastAsia="Calibri" w:hAnsi="Times New Roman"/>
          <w:bCs/>
          <w:iCs/>
          <w:szCs w:val="22"/>
        </w:rPr>
        <w:t>Pohľadávky v špecifickom režime správy predstavujú vládne pohľadávky voči zahraničiu, ktoré sa vedú voči jednotlivým dlžníckym krajinám. Ide o pohľadávky z delenia federácie, ktoré sú v správe NBS a ČSOB, a.s. Praha, účtovne vedené na Ministerstve financií SR. Pre vymoženie dlžnej sumy sa vykonávajú všetky nevyhnutné úkony, ako je pravidelné kontaktovanie dlžnej strany, negociácia podmienok za ktorých pohľadávky vznikli a</w:t>
      </w:r>
      <w:r w:rsidR="00A46EDE" w:rsidRPr="00D6641A">
        <w:rPr>
          <w:rFonts w:ascii="Times New Roman" w:eastAsia="Calibri" w:hAnsi="Times New Roman"/>
          <w:bCs/>
          <w:iCs/>
          <w:szCs w:val="22"/>
        </w:rPr>
        <w:t> </w:t>
      </w:r>
      <w:r w:rsidRPr="00A7107D">
        <w:rPr>
          <w:rFonts w:ascii="Times New Roman" w:eastAsia="Calibri" w:hAnsi="Times New Roman"/>
          <w:bCs/>
          <w:iCs/>
          <w:szCs w:val="22"/>
        </w:rPr>
        <w:t>ďalšie</w:t>
      </w:r>
      <w:r w:rsidR="00A46EDE" w:rsidRPr="00D6641A">
        <w:rPr>
          <w:rFonts w:ascii="Times New Roman" w:eastAsia="Calibri" w:hAnsi="Times New Roman"/>
          <w:bCs/>
          <w:szCs w:val="22"/>
        </w:rPr>
        <w:t>.</w:t>
      </w:r>
    </w:p>
    <w:p w14:paraId="4F277D49" w14:textId="1ED266CD" w:rsidR="00DE1803" w:rsidRPr="00907622" w:rsidRDefault="00647542" w:rsidP="004121C6">
      <w:pPr>
        <w:pStyle w:val="Popis"/>
        <w:keepNext/>
        <w:rPr>
          <w:noProof/>
        </w:rPr>
      </w:pPr>
      <w:r w:rsidRPr="00907622">
        <w:t xml:space="preserve">Tabuľka </w:t>
      </w:r>
      <w:r w:rsidRPr="00907622">
        <w:fldChar w:fldCharType="begin"/>
      </w:r>
      <w:r w:rsidRPr="00907622">
        <w:instrText xml:space="preserve"> SEQ Tabuľka \* ARABIC </w:instrText>
      </w:r>
      <w:r w:rsidRPr="00907622">
        <w:fldChar w:fldCharType="separate"/>
      </w:r>
      <w:r w:rsidRPr="00907622">
        <w:rPr>
          <w:noProof/>
        </w:rPr>
        <w:t>8</w:t>
      </w:r>
      <w:r w:rsidRPr="00907622">
        <w:rPr>
          <w:noProof/>
        </w:rPr>
        <w:fldChar w:fldCharType="end"/>
      </w:r>
    </w:p>
    <w:tbl>
      <w:tblPr>
        <w:tblW w:w="9072" w:type="dxa"/>
        <w:jc w:val="center"/>
        <w:tblCellMar>
          <w:left w:w="70" w:type="dxa"/>
          <w:right w:w="70" w:type="dxa"/>
        </w:tblCellMar>
        <w:tblLook w:val="04A0" w:firstRow="1" w:lastRow="0" w:firstColumn="1" w:lastColumn="0" w:noHBand="0" w:noVBand="1"/>
      </w:tblPr>
      <w:tblGrid>
        <w:gridCol w:w="4491"/>
        <w:gridCol w:w="1527"/>
        <w:gridCol w:w="1527"/>
        <w:gridCol w:w="1527"/>
      </w:tblGrid>
      <w:tr w:rsidR="0031510A" w:rsidRPr="00DE718B" w14:paraId="534A20A9" w14:textId="77777777" w:rsidTr="0085799C">
        <w:trPr>
          <w:trHeight w:val="227"/>
          <w:jc w:val="center"/>
        </w:trPr>
        <w:tc>
          <w:tcPr>
            <w:tcW w:w="3940" w:type="dxa"/>
            <w:tcBorders>
              <w:top w:val="single" w:sz="4" w:space="0" w:color="auto"/>
              <w:left w:val="nil"/>
              <w:bottom w:val="single" w:sz="4" w:space="0" w:color="auto"/>
              <w:right w:val="nil"/>
            </w:tcBorders>
            <w:shd w:val="clear" w:color="000000" w:fill="F4B084"/>
            <w:vAlign w:val="center"/>
            <w:hideMark/>
          </w:tcPr>
          <w:p w14:paraId="6F8317E3" w14:textId="77777777" w:rsidR="0031510A" w:rsidRPr="0031510A" w:rsidRDefault="0031510A" w:rsidP="0031510A">
            <w:pPr>
              <w:spacing w:after="0" w:line="240" w:lineRule="auto"/>
              <w:rPr>
                <w:rFonts w:ascii="Times New Roman" w:hAnsi="Times New Roman"/>
                <w:b/>
                <w:bCs/>
                <w:color w:val="000000"/>
                <w:sz w:val="18"/>
                <w:szCs w:val="18"/>
                <w:lang w:eastAsia="sk-SK"/>
              </w:rPr>
            </w:pPr>
            <w:r w:rsidRPr="0031510A">
              <w:rPr>
                <w:rFonts w:ascii="Times New Roman" w:hAnsi="Times New Roman"/>
                <w:b/>
                <w:bCs/>
                <w:color w:val="000000"/>
                <w:sz w:val="18"/>
                <w:szCs w:val="18"/>
                <w:lang w:eastAsia="sk-SK"/>
              </w:rPr>
              <w:t>Vybrané pohľadávky SR voči zahraničiu v správe Ministerstva financií SR</w:t>
            </w:r>
          </w:p>
        </w:tc>
        <w:tc>
          <w:tcPr>
            <w:tcW w:w="1340" w:type="dxa"/>
            <w:tcBorders>
              <w:top w:val="single" w:sz="4" w:space="0" w:color="auto"/>
              <w:left w:val="nil"/>
              <w:bottom w:val="single" w:sz="4" w:space="0" w:color="auto"/>
              <w:right w:val="nil"/>
            </w:tcBorders>
            <w:shd w:val="clear" w:color="000000" w:fill="F4B084"/>
            <w:noWrap/>
            <w:vAlign w:val="center"/>
            <w:hideMark/>
          </w:tcPr>
          <w:p w14:paraId="133855A1" w14:textId="77777777" w:rsidR="0031510A" w:rsidRPr="0031510A" w:rsidRDefault="0031510A" w:rsidP="0031510A">
            <w:pPr>
              <w:spacing w:after="0" w:line="240" w:lineRule="auto"/>
              <w:rPr>
                <w:rFonts w:ascii="Times New Roman" w:hAnsi="Times New Roman"/>
                <w:b/>
                <w:bCs/>
                <w:color w:val="000000"/>
                <w:sz w:val="18"/>
                <w:szCs w:val="18"/>
                <w:lang w:eastAsia="sk-SK"/>
              </w:rPr>
            </w:pPr>
            <w:r w:rsidRPr="0031510A">
              <w:rPr>
                <w:rFonts w:ascii="Times New Roman" w:hAnsi="Times New Roman"/>
                <w:b/>
                <w:bCs/>
                <w:color w:val="000000"/>
                <w:sz w:val="18"/>
                <w:szCs w:val="18"/>
                <w:lang w:eastAsia="sk-SK"/>
              </w:rPr>
              <w:t> </w:t>
            </w:r>
          </w:p>
        </w:tc>
        <w:tc>
          <w:tcPr>
            <w:tcW w:w="1340" w:type="dxa"/>
            <w:tcBorders>
              <w:top w:val="single" w:sz="4" w:space="0" w:color="auto"/>
              <w:left w:val="nil"/>
              <w:bottom w:val="single" w:sz="4" w:space="0" w:color="auto"/>
              <w:right w:val="nil"/>
            </w:tcBorders>
            <w:shd w:val="clear" w:color="000000" w:fill="F4B084"/>
            <w:noWrap/>
            <w:vAlign w:val="center"/>
            <w:hideMark/>
          </w:tcPr>
          <w:p w14:paraId="7339C632" w14:textId="77777777" w:rsidR="0031510A" w:rsidRPr="0031510A" w:rsidRDefault="0031510A" w:rsidP="0031510A">
            <w:pPr>
              <w:spacing w:after="0" w:line="240" w:lineRule="auto"/>
              <w:rPr>
                <w:rFonts w:ascii="Times New Roman" w:hAnsi="Times New Roman"/>
                <w:b/>
                <w:bCs/>
                <w:color w:val="000000"/>
                <w:sz w:val="18"/>
                <w:szCs w:val="18"/>
                <w:lang w:eastAsia="sk-SK"/>
              </w:rPr>
            </w:pPr>
            <w:r w:rsidRPr="0031510A">
              <w:rPr>
                <w:rFonts w:ascii="Times New Roman" w:hAnsi="Times New Roman"/>
                <w:b/>
                <w:bCs/>
                <w:color w:val="000000"/>
                <w:sz w:val="18"/>
                <w:szCs w:val="18"/>
                <w:lang w:eastAsia="sk-SK"/>
              </w:rPr>
              <w:t>(v tis. eur)</w:t>
            </w:r>
          </w:p>
        </w:tc>
        <w:tc>
          <w:tcPr>
            <w:tcW w:w="1340" w:type="dxa"/>
            <w:tcBorders>
              <w:top w:val="single" w:sz="4" w:space="0" w:color="auto"/>
              <w:left w:val="nil"/>
              <w:bottom w:val="single" w:sz="4" w:space="0" w:color="auto"/>
              <w:right w:val="nil"/>
            </w:tcBorders>
            <w:shd w:val="clear" w:color="000000" w:fill="F4B084"/>
            <w:noWrap/>
            <w:vAlign w:val="center"/>
            <w:hideMark/>
          </w:tcPr>
          <w:p w14:paraId="0A755BA9" w14:textId="77777777" w:rsidR="0031510A" w:rsidRPr="0031510A" w:rsidRDefault="0031510A" w:rsidP="0031510A">
            <w:pPr>
              <w:spacing w:after="0" w:line="240" w:lineRule="auto"/>
              <w:rPr>
                <w:rFonts w:ascii="Times New Roman" w:hAnsi="Times New Roman"/>
                <w:b/>
                <w:bCs/>
                <w:color w:val="000000"/>
                <w:sz w:val="18"/>
                <w:szCs w:val="18"/>
                <w:lang w:eastAsia="sk-SK"/>
              </w:rPr>
            </w:pPr>
            <w:r w:rsidRPr="0031510A">
              <w:rPr>
                <w:rFonts w:ascii="Times New Roman" w:hAnsi="Times New Roman"/>
                <w:b/>
                <w:bCs/>
                <w:color w:val="000000"/>
                <w:sz w:val="18"/>
                <w:szCs w:val="18"/>
                <w:lang w:eastAsia="sk-SK"/>
              </w:rPr>
              <w:t> </w:t>
            </w:r>
          </w:p>
        </w:tc>
      </w:tr>
      <w:tr w:rsidR="0031510A" w:rsidRPr="00DE718B" w14:paraId="17199AFC" w14:textId="77777777" w:rsidTr="0085799C">
        <w:trPr>
          <w:trHeight w:val="227"/>
          <w:jc w:val="center"/>
        </w:trPr>
        <w:tc>
          <w:tcPr>
            <w:tcW w:w="3940" w:type="dxa"/>
            <w:tcBorders>
              <w:top w:val="nil"/>
              <w:left w:val="nil"/>
              <w:bottom w:val="single" w:sz="4" w:space="0" w:color="auto"/>
              <w:right w:val="nil"/>
            </w:tcBorders>
            <w:shd w:val="clear" w:color="000000" w:fill="BDD7EE"/>
            <w:noWrap/>
            <w:vAlign w:val="center"/>
            <w:hideMark/>
          </w:tcPr>
          <w:p w14:paraId="5DD3CB0F" w14:textId="77777777" w:rsidR="0031510A" w:rsidRPr="0031510A" w:rsidRDefault="0031510A" w:rsidP="0031510A">
            <w:pPr>
              <w:spacing w:after="0" w:line="240" w:lineRule="auto"/>
              <w:rPr>
                <w:rFonts w:ascii="Times New Roman" w:hAnsi="Times New Roman"/>
                <w:b/>
                <w:bCs/>
                <w:color w:val="000000"/>
                <w:sz w:val="18"/>
                <w:szCs w:val="18"/>
                <w:lang w:eastAsia="sk-SK"/>
              </w:rPr>
            </w:pPr>
            <w:r w:rsidRPr="0031510A">
              <w:rPr>
                <w:rFonts w:ascii="Times New Roman" w:hAnsi="Times New Roman"/>
                <w:b/>
                <w:bCs/>
                <w:color w:val="000000"/>
                <w:sz w:val="18"/>
                <w:szCs w:val="18"/>
                <w:lang w:eastAsia="sk-SK"/>
              </w:rPr>
              <w:t>Dlžnícka krajina</w:t>
            </w:r>
          </w:p>
        </w:tc>
        <w:tc>
          <w:tcPr>
            <w:tcW w:w="1340" w:type="dxa"/>
            <w:tcBorders>
              <w:top w:val="nil"/>
              <w:left w:val="nil"/>
              <w:bottom w:val="single" w:sz="4" w:space="0" w:color="auto"/>
              <w:right w:val="nil"/>
            </w:tcBorders>
            <w:shd w:val="clear" w:color="000000" w:fill="BDD7EE"/>
            <w:noWrap/>
            <w:vAlign w:val="center"/>
            <w:hideMark/>
          </w:tcPr>
          <w:p w14:paraId="2121EC39" w14:textId="77777777" w:rsidR="0031510A" w:rsidRPr="0031510A" w:rsidRDefault="0031510A" w:rsidP="0031510A">
            <w:pPr>
              <w:spacing w:after="0" w:line="240" w:lineRule="auto"/>
              <w:jc w:val="center"/>
              <w:rPr>
                <w:rFonts w:ascii="Times New Roman" w:hAnsi="Times New Roman"/>
                <w:b/>
                <w:bCs/>
                <w:color w:val="000000"/>
                <w:sz w:val="18"/>
                <w:szCs w:val="18"/>
                <w:lang w:eastAsia="sk-SK"/>
              </w:rPr>
            </w:pPr>
            <w:r w:rsidRPr="0031510A">
              <w:rPr>
                <w:rFonts w:ascii="Times New Roman" w:hAnsi="Times New Roman"/>
                <w:b/>
                <w:bCs/>
                <w:color w:val="000000"/>
                <w:sz w:val="18"/>
                <w:szCs w:val="18"/>
                <w:lang w:eastAsia="sk-SK"/>
              </w:rPr>
              <w:t>2024</w:t>
            </w:r>
          </w:p>
        </w:tc>
        <w:tc>
          <w:tcPr>
            <w:tcW w:w="1340" w:type="dxa"/>
            <w:tcBorders>
              <w:top w:val="nil"/>
              <w:left w:val="nil"/>
              <w:bottom w:val="single" w:sz="4" w:space="0" w:color="auto"/>
              <w:right w:val="nil"/>
            </w:tcBorders>
            <w:shd w:val="clear" w:color="000000" w:fill="BDD7EE"/>
            <w:noWrap/>
            <w:vAlign w:val="center"/>
            <w:hideMark/>
          </w:tcPr>
          <w:p w14:paraId="2D6FFE28" w14:textId="77777777" w:rsidR="0031510A" w:rsidRPr="0031510A" w:rsidRDefault="0031510A" w:rsidP="0031510A">
            <w:pPr>
              <w:spacing w:after="0" w:line="240" w:lineRule="auto"/>
              <w:jc w:val="center"/>
              <w:rPr>
                <w:rFonts w:ascii="Times New Roman" w:hAnsi="Times New Roman"/>
                <w:b/>
                <w:bCs/>
                <w:color w:val="000000"/>
                <w:sz w:val="18"/>
                <w:szCs w:val="18"/>
                <w:lang w:eastAsia="sk-SK"/>
              </w:rPr>
            </w:pPr>
            <w:r w:rsidRPr="0031510A">
              <w:rPr>
                <w:rFonts w:ascii="Times New Roman" w:hAnsi="Times New Roman"/>
                <w:b/>
                <w:bCs/>
                <w:color w:val="000000"/>
                <w:sz w:val="18"/>
                <w:szCs w:val="18"/>
                <w:lang w:eastAsia="sk-SK"/>
              </w:rPr>
              <w:t>2023</w:t>
            </w:r>
          </w:p>
        </w:tc>
        <w:tc>
          <w:tcPr>
            <w:tcW w:w="1340" w:type="dxa"/>
            <w:tcBorders>
              <w:top w:val="nil"/>
              <w:left w:val="nil"/>
              <w:bottom w:val="single" w:sz="4" w:space="0" w:color="auto"/>
              <w:right w:val="nil"/>
            </w:tcBorders>
            <w:shd w:val="clear" w:color="000000" w:fill="BDD7EE"/>
            <w:noWrap/>
            <w:vAlign w:val="center"/>
            <w:hideMark/>
          </w:tcPr>
          <w:p w14:paraId="3C7607E4" w14:textId="77777777" w:rsidR="0031510A" w:rsidRPr="0031510A" w:rsidRDefault="0031510A" w:rsidP="0031510A">
            <w:pPr>
              <w:spacing w:after="0" w:line="240" w:lineRule="auto"/>
              <w:jc w:val="center"/>
              <w:rPr>
                <w:rFonts w:ascii="Times New Roman" w:hAnsi="Times New Roman"/>
                <w:b/>
                <w:bCs/>
                <w:color w:val="000000"/>
                <w:sz w:val="18"/>
                <w:szCs w:val="18"/>
                <w:lang w:eastAsia="sk-SK"/>
              </w:rPr>
            </w:pPr>
            <w:r w:rsidRPr="0031510A">
              <w:rPr>
                <w:rFonts w:ascii="Times New Roman" w:hAnsi="Times New Roman"/>
                <w:b/>
                <w:bCs/>
                <w:color w:val="000000"/>
                <w:sz w:val="18"/>
                <w:szCs w:val="18"/>
                <w:lang w:eastAsia="sk-SK"/>
              </w:rPr>
              <w:t>Δ 2024-2023</w:t>
            </w:r>
          </w:p>
        </w:tc>
      </w:tr>
      <w:tr w:rsidR="0031510A" w:rsidRPr="00DE718B" w14:paraId="4B15E10E" w14:textId="77777777" w:rsidTr="0085799C">
        <w:trPr>
          <w:trHeight w:val="227"/>
          <w:jc w:val="center"/>
        </w:trPr>
        <w:tc>
          <w:tcPr>
            <w:tcW w:w="3940" w:type="dxa"/>
            <w:tcBorders>
              <w:top w:val="nil"/>
              <w:left w:val="nil"/>
              <w:bottom w:val="nil"/>
              <w:right w:val="nil"/>
            </w:tcBorders>
            <w:noWrap/>
            <w:vAlign w:val="center"/>
            <w:hideMark/>
          </w:tcPr>
          <w:p w14:paraId="4C5B7144" w14:textId="77777777" w:rsidR="0031510A" w:rsidRPr="0031510A" w:rsidRDefault="0031510A" w:rsidP="0031510A">
            <w:pPr>
              <w:spacing w:after="0" w:line="240" w:lineRule="auto"/>
              <w:rPr>
                <w:rFonts w:ascii="Times New Roman" w:hAnsi="Times New Roman"/>
                <w:color w:val="000000"/>
                <w:sz w:val="18"/>
                <w:szCs w:val="18"/>
                <w:lang w:eastAsia="sk-SK"/>
              </w:rPr>
            </w:pPr>
            <w:r w:rsidRPr="0031510A">
              <w:rPr>
                <w:rFonts w:ascii="Times New Roman" w:hAnsi="Times New Roman"/>
                <w:color w:val="000000"/>
                <w:sz w:val="18"/>
                <w:szCs w:val="18"/>
                <w:lang w:eastAsia="sk-SK"/>
              </w:rPr>
              <w:t>bývalá  SFRJ</w:t>
            </w:r>
          </w:p>
        </w:tc>
        <w:tc>
          <w:tcPr>
            <w:tcW w:w="1340" w:type="dxa"/>
            <w:tcBorders>
              <w:top w:val="nil"/>
              <w:left w:val="nil"/>
              <w:bottom w:val="nil"/>
              <w:right w:val="nil"/>
            </w:tcBorders>
            <w:noWrap/>
            <w:vAlign w:val="center"/>
            <w:hideMark/>
          </w:tcPr>
          <w:p w14:paraId="6B150EA0" w14:textId="77777777" w:rsidR="0031510A" w:rsidRPr="0031510A" w:rsidRDefault="0031510A" w:rsidP="0031510A">
            <w:pPr>
              <w:spacing w:after="0" w:line="240" w:lineRule="auto"/>
              <w:jc w:val="right"/>
              <w:rPr>
                <w:rFonts w:ascii="Times New Roman" w:hAnsi="Times New Roman"/>
                <w:color w:val="000000"/>
                <w:sz w:val="18"/>
                <w:szCs w:val="18"/>
                <w:lang w:eastAsia="sk-SK"/>
              </w:rPr>
            </w:pPr>
            <w:r w:rsidRPr="0031510A">
              <w:rPr>
                <w:rFonts w:ascii="Times New Roman" w:hAnsi="Times New Roman"/>
                <w:color w:val="000000"/>
                <w:sz w:val="18"/>
                <w:szCs w:val="18"/>
                <w:lang w:eastAsia="sk-SK"/>
              </w:rPr>
              <w:t>18 553</w:t>
            </w:r>
          </w:p>
        </w:tc>
        <w:tc>
          <w:tcPr>
            <w:tcW w:w="1340" w:type="dxa"/>
            <w:tcBorders>
              <w:top w:val="nil"/>
              <w:left w:val="nil"/>
              <w:bottom w:val="nil"/>
              <w:right w:val="nil"/>
            </w:tcBorders>
            <w:noWrap/>
            <w:vAlign w:val="center"/>
            <w:hideMark/>
          </w:tcPr>
          <w:p w14:paraId="21DEF08F" w14:textId="77777777" w:rsidR="0031510A" w:rsidRPr="0031510A" w:rsidRDefault="0031510A" w:rsidP="0031510A">
            <w:pPr>
              <w:spacing w:after="0" w:line="240" w:lineRule="auto"/>
              <w:jc w:val="right"/>
              <w:rPr>
                <w:rFonts w:ascii="Times New Roman" w:hAnsi="Times New Roman"/>
                <w:color w:val="000000"/>
                <w:sz w:val="18"/>
                <w:szCs w:val="18"/>
                <w:lang w:eastAsia="sk-SK"/>
              </w:rPr>
            </w:pPr>
            <w:r w:rsidRPr="0031510A">
              <w:rPr>
                <w:rFonts w:ascii="Times New Roman" w:hAnsi="Times New Roman"/>
                <w:color w:val="000000"/>
                <w:sz w:val="18"/>
                <w:szCs w:val="18"/>
                <w:lang w:eastAsia="sk-SK"/>
              </w:rPr>
              <w:t>17 443</w:t>
            </w:r>
          </w:p>
        </w:tc>
        <w:tc>
          <w:tcPr>
            <w:tcW w:w="1340" w:type="dxa"/>
            <w:tcBorders>
              <w:top w:val="nil"/>
              <w:left w:val="nil"/>
              <w:bottom w:val="nil"/>
              <w:right w:val="nil"/>
            </w:tcBorders>
            <w:noWrap/>
            <w:vAlign w:val="center"/>
            <w:hideMark/>
          </w:tcPr>
          <w:p w14:paraId="00BF6F1A" w14:textId="77777777" w:rsidR="0031510A" w:rsidRPr="0031510A" w:rsidRDefault="0031510A" w:rsidP="0031510A">
            <w:pPr>
              <w:spacing w:after="0" w:line="240" w:lineRule="auto"/>
              <w:jc w:val="right"/>
              <w:rPr>
                <w:rFonts w:ascii="Times New Roman" w:hAnsi="Times New Roman"/>
                <w:color w:val="000000"/>
                <w:sz w:val="18"/>
                <w:szCs w:val="18"/>
                <w:lang w:eastAsia="sk-SK"/>
              </w:rPr>
            </w:pPr>
            <w:r w:rsidRPr="0031510A">
              <w:rPr>
                <w:rFonts w:ascii="Times New Roman" w:hAnsi="Times New Roman"/>
                <w:color w:val="000000"/>
                <w:sz w:val="18"/>
                <w:szCs w:val="18"/>
                <w:lang w:eastAsia="sk-SK"/>
              </w:rPr>
              <w:t>1 110</w:t>
            </w:r>
          </w:p>
        </w:tc>
      </w:tr>
      <w:tr w:rsidR="0031510A" w:rsidRPr="00DE718B" w14:paraId="3700B814" w14:textId="77777777" w:rsidTr="0085799C">
        <w:trPr>
          <w:trHeight w:val="227"/>
          <w:jc w:val="center"/>
        </w:trPr>
        <w:tc>
          <w:tcPr>
            <w:tcW w:w="3940" w:type="dxa"/>
            <w:tcBorders>
              <w:top w:val="nil"/>
              <w:left w:val="nil"/>
              <w:bottom w:val="nil"/>
              <w:right w:val="nil"/>
            </w:tcBorders>
            <w:noWrap/>
            <w:vAlign w:val="center"/>
            <w:hideMark/>
          </w:tcPr>
          <w:p w14:paraId="2167C129" w14:textId="77777777" w:rsidR="0031510A" w:rsidRPr="0031510A" w:rsidRDefault="0031510A" w:rsidP="0031510A">
            <w:pPr>
              <w:spacing w:after="0" w:line="240" w:lineRule="auto"/>
              <w:rPr>
                <w:rFonts w:ascii="Times New Roman" w:hAnsi="Times New Roman"/>
                <w:color w:val="000000"/>
                <w:sz w:val="18"/>
                <w:szCs w:val="18"/>
                <w:lang w:eastAsia="sk-SK"/>
              </w:rPr>
            </w:pPr>
            <w:r w:rsidRPr="0031510A">
              <w:rPr>
                <w:rFonts w:ascii="Times New Roman" w:hAnsi="Times New Roman"/>
                <w:color w:val="000000"/>
                <w:sz w:val="18"/>
                <w:szCs w:val="18"/>
                <w:lang w:eastAsia="sk-SK"/>
              </w:rPr>
              <w:t>Čínska ľudová republika</w:t>
            </w:r>
          </w:p>
        </w:tc>
        <w:tc>
          <w:tcPr>
            <w:tcW w:w="1340" w:type="dxa"/>
            <w:tcBorders>
              <w:top w:val="nil"/>
              <w:left w:val="nil"/>
              <w:bottom w:val="nil"/>
              <w:right w:val="nil"/>
            </w:tcBorders>
            <w:noWrap/>
            <w:vAlign w:val="center"/>
            <w:hideMark/>
          </w:tcPr>
          <w:p w14:paraId="246A167E" w14:textId="77777777" w:rsidR="0031510A" w:rsidRPr="0031510A" w:rsidRDefault="0031510A" w:rsidP="0031510A">
            <w:pPr>
              <w:spacing w:after="0" w:line="240" w:lineRule="auto"/>
              <w:jc w:val="right"/>
              <w:rPr>
                <w:rFonts w:ascii="Times New Roman" w:hAnsi="Times New Roman"/>
                <w:color w:val="000000"/>
                <w:sz w:val="18"/>
                <w:szCs w:val="18"/>
                <w:lang w:eastAsia="sk-SK"/>
              </w:rPr>
            </w:pPr>
            <w:r w:rsidRPr="0031510A">
              <w:rPr>
                <w:rFonts w:ascii="Times New Roman" w:hAnsi="Times New Roman"/>
                <w:color w:val="000000"/>
                <w:sz w:val="18"/>
                <w:szCs w:val="18"/>
                <w:lang w:eastAsia="sk-SK"/>
              </w:rPr>
              <w:t>12 196</w:t>
            </w:r>
          </w:p>
        </w:tc>
        <w:tc>
          <w:tcPr>
            <w:tcW w:w="1340" w:type="dxa"/>
            <w:tcBorders>
              <w:top w:val="nil"/>
              <w:left w:val="nil"/>
              <w:bottom w:val="nil"/>
              <w:right w:val="nil"/>
            </w:tcBorders>
            <w:noWrap/>
            <w:vAlign w:val="center"/>
            <w:hideMark/>
          </w:tcPr>
          <w:p w14:paraId="14ED9606" w14:textId="77777777" w:rsidR="0031510A" w:rsidRPr="0031510A" w:rsidRDefault="0031510A" w:rsidP="0031510A">
            <w:pPr>
              <w:spacing w:after="0" w:line="240" w:lineRule="auto"/>
              <w:jc w:val="right"/>
              <w:rPr>
                <w:rFonts w:ascii="Times New Roman" w:hAnsi="Times New Roman"/>
                <w:color w:val="000000"/>
                <w:sz w:val="18"/>
                <w:szCs w:val="18"/>
                <w:lang w:eastAsia="sk-SK"/>
              </w:rPr>
            </w:pPr>
            <w:r w:rsidRPr="0031510A">
              <w:rPr>
                <w:rFonts w:ascii="Times New Roman" w:hAnsi="Times New Roman"/>
                <w:color w:val="000000"/>
                <w:sz w:val="18"/>
                <w:szCs w:val="18"/>
                <w:lang w:eastAsia="sk-SK"/>
              </w:rPr>
              <w:t>12 396</w:t>
            </w:r>
          </w:p>
        </w:tc>
        <w:tc>
          <w:tcPr>
            <w:tcW w:w="1340" w:type="dxa"/>
            <w:tcBorders>
              <w:top w:val="nil"/>
              <w:left w:val="nil"/>
              <w:bottom w:val="nil"/>
              <w:right w:val="nil"/>
            </w:tcBorders>
            <w:noWrap/>
            <w:vAlign w:val="center"/>
            <w:hideMark/>
          </w:tcPr>
          <w:p w14:paraId="79A12B22" w14:textId="77777777" w:rsidR="0031510A" w:rsidRPr="0031510A" w:rsidRDefault="0031510A" w:rsidP="0031510A">
            <w:pPr>
              <w:spacing w:after="0" w:line="240" w:lineRule="auto"/>
              <w:jc w:val="right"/>
              <w:rPr>
                <w:rFonts w:ascii="Times New Roman" w:hAnsi="Times New Roman"/>
                <w:color w:val="000000"/>
                <w:sz w:val="18"/>
                <w:szCs w:val="18"/>
                <w:lang w:eastAsia="sk-SK"/>
              </w:rPr>
            </w:pPr>
            <w:r w:rsidRPr="0031510A">
              <w:rPr>
                <w:rFonts w:ascii="Times New Roman" w:hAnsi="Times New Roman"/>
                <w:color w:val="000000"/>
                <w:sz w:val="18"/>
                <w:szCs w:val="18"/>
                <w:lang w:eastAsia="sk-SK"/>
              </w:rPr>
              <w:t>-200</w:t>
            </w:r>
          </w:p>
        </w:tc>
      </w:tr>
      <w:tr w:rsidR="0031510A" w:rsidRPr="00DE718B" w14:paraId="2863AE8D" w14:textId="77777777" w:rsidTr="0085799C">
        <w:trPr>
          <w:trHeight w:val="227"/>
          <w:jc w:val="center"/>
        </w:trPr>
        <w:tc>
          <w:tcPr>
            <w:tcW w:w="3940" w:type="dxa"/>
            <w:tcBorders>
              <w:top w:val="nil"/>
              <w:left w:val="nil"/>
              <w:bottom w:val="nil"/>
              <w:right w:val="nil"/>
            </w:tcBorders>
            <w:noWrap/>
            <w:vAlign w:val="center"/>
            <w:hideMark/>
          </w:tcPr>
          <w:p w14:paraId="31A2B381" w14:textId="77777777" w:rsidR="0031510A" w:rsidRPr="0031510A" w:rsidRDefault="0031510A" w:rsidP="0031510A">
            <w:pPr>
              <w:spacing w:after="0" w:line="240" w:lineRule="auto"/>
              <w:rPr>
                <w:rFonts w:ascii="Times New Roman" w:hAnsi="Times New Roman"/>
                <w:color w:val="000000"/>
                <w:sz w:val="18"/>
                <w:szCs w:val="18"/>
                <w:lang w:eastAsia="sk-SK"/>
              </w:rPr>
            </w:pPr>
            <w:r w:rsidRPr="0031510A">
              <w:rPr>
                <w:rFonts w:ascii="Times New Roman" w:hAnsi="Times New Roman"/>
                <w:color w:val="000000"/>
                <w:sz w:val="18"/>
                <w:szCs w:val="18"/>
                <w:lang w:eastAsia="sk-SK"/>
              </w:rPr>
              <w:t>Alžírska demokratická a ľudová republika</w:t>
            </w:r>
          </w:p>
        </w:tc>
        <w:tc>
          <w:tcPr>
            <w:tcW w:w="1340" w:type="dxa"/>
            <w:tcBorders>
              <w:top w:val="nil"/>
              <w:left w:val="nil"/>
              <w:bottom w:val="nil"/>
              <w:right w:val="nil"/>
            </w:tcBorders>
            <w:noWrap/>
            <w:vAlign w:val="center"/>
            <w:hideMark/>
          </w:tcPr>
          <w:p w14:paraId="49CD2657" w14:textId="77777777" w:rsidR="0031510A" w:rsidRPr="0031510A" w:rsidRDefault="0031510A" w:rsidP="0031510A">
            <w:pPr>
              <w:spacing w:after="0" w:line="240" w:lineRule="auto"/>
              <w:jc w:val="right"/>
              <w:rPr>
                <w:rFonts w:ascii="Times New Roman" w:hAnsi="Times New Roman"/>
                <w:color w:val="000000"/>
                <w:sz w:val="18"/>
                <w:szCs w:val="18"/>
                <w:lang w:eastAsia="sk-SK"/>
              </w:rPr>
            </w:pPr>
            <w:r w:rsidRPr="0031510A">
              <w:rPr>
                <w:rFonts w:ascii="Times New Roman" w:hAnsi="Times New Roman"/>
                <w:color w:val="000000"/>
                <w:sz w:val="18"/>
                <w:szCs w:val="18"/>
                <w:lang w:eastAsia="sk-SK"/>
              </w:rPr>
              <w:t>5 128</w:t>
            </w:r>
          </w:p>
        </w:tc>
        <w:tc>
          <w:tcPr>
            <w:tcW w:w="1340" w:type="dxa"/>
            <w:tcBorders>
              <w:top w:val="nil"/>
              <w:left w:val="nil"/>
              <w:bottom w:val="nil"/>
              <w:right w:val="nil"/>
            </w:tcBorders>
            <w:noWrap/>
            <w:vAlign w:val="center"/>
            <w:hideMark/>
          </w:tcPr>
          <w:p w14:paraId="5E44C693" w14:textId="77777777" w:rsidR="0031510A" w:rsidRPr="0031510A" w:rsidRDefault="0031510A" w:rsidP="0031510A">
            <w:pPr>
              <w:spacing w:after="0" w:line="240" w:lineRule="auto"/>
              <w:jc w:val="right"/>
              <w:rPr>
                <w:rFonts w:ascii="Times New Roman" w:hAnsi="Times New Roman"/>
                <w:color w:val="000000"/>
                <w:sz w:val="18"/>
                <w:szCs w:val="18"/>
                <w:lang w:eastAsia="sk-SK"/>
              </w:rPr>
            </w:pPr>
            <w:r w:rsidRPr="0031510A">
              <w:rPr>
                <w:rFonts w:ascii="Times New Roman" w:hAnsi="Times New Roman"/>
                <w:color w:val="000000"/>
                <w:sz w:val="18"/>
                <w:szCs w:val="18"/>
                <w:lang w:eastAsia="sk-SK"/>
              </w:rPr>
              <w:t>15 223</w:t>
            </w:r>
          </w:p>
        </w:tc>
        <w:tc>
          <w:tcPr>
            <w:tcW w:w="1340" w:type="dxa"/>
            <w:tcBorders>
              <w:top w:val="nil"/>
              <w:left w:val="nil"/>
              <w:bottom w:val="nil"/>
              <w:right w:val="nil"/>
            </w:tcBorders>
            <w:noWrap/>
            <w:vAlign w:val="center"/>
            <w:hideMark/>
          </w:tcPr>
          <w:p w14:paraId="0F82CF9F" w14:textId="77777777" w:rsidR="0031510A" w:rsidRPr="0031510A" w:rsidRDefault="0031510A" w:rsidP="0031510A">
            <w:pPr>
              <w:spacing w:after="0" w:line="240" w:lineRule="auto"/>
              <w:jc w:val="right"/>
              <w:rPr>
                <w:rFonts w:ascii="Times New Roman" w:hAnsi="Times New Roman"/>
                <w:color w:val="000000"/>
                <w:sz w:val="18"/>
                <w:szCs w:val="18"/>
                <w:lang w:eastAsia="sk-SK"/>
              </w:rPr>
            </w:pPr>
            <w:r w:rsidRPr="0031510A">
              <w:rPr>
                <w:rFonts w:ascii="Times New Roman" w:hAnsi="Times New Roman"/>
                <w:color w:val="000000"/>
                <w:sz w:val="18"/>
                <w:szCs w:val="18"/>
                <w:lang w:eastAsia="sk-SK"/>
              </w:rPr>
              <w:t>-10 095</w:t>
            </w:r>
          </w:p>
        </w:tc>
      </w:tr>
      <w:tr w:rsidR="0031510A" w:rsidRPr="00DE718B" w14:paraId="72996612" w14:textId="77777777" w:rsidTr="0085799C">
        <w:trPr>
          <w:trHeight w:val="227"/>
          <w:jc w:val="center"/>
        </w:trPr>
        <w:tc>
          <w:tcPr>
            <w:tcW w:w="3940" w:type="dxa"/>
            <w:tcBorders>
              <w:top w:val="nil"/>
              <w:left w:val="nil"/>
              <w:bottom w:val="nil"/>
              <w:right w:val="nil"/>
            </w:tcBorders>
            <w:noWrap/>
            <w:vAlign w:val="center"/>
            <w:hideMark/>
          </w:tcPr>
          <w:p w14:paraId="132C1C03" w14:textId="77777777" w:rsidR="0031510A" w:rsidRPr="0031510A" w:rsidRDefault="0031510A" w:rsidP="0031510A">
            <w:pPr>
              <w:spacing w:after="0" w:line="240" w:lineRule="auto"/>
              <w:rPr>
                <w:rFonts w:ascii="Times New Roman" w:hAnsi="Times New Roman"/>
                <w:color w:val="000000"/>
                <w:sz w:val="18"/>
                <w:szCs w:val="18"/>
                <w:lang w:eastAsia="sk-SK"/>
              </w:rPr>
            </w:pPr>
            <w:r w:rsidRPr="0031510A">
              <w:rPr>
                <w:rFonts w:ascii="Times New Roman" w:hAnsi="Times New Roman"/>
                <w:color w:val="000000"/>
                <w:sz w:val="18"/>
                <w:szCs w:val="18"/>
                <w:lang w:eastAsia="sk-SK"/>
              </w:rPr>
              <w:t>Ruská federácia - Krivoj Rog</w:t>
            </w:r>
          </w:p>
        </w:tc>
        <w:tc>
          <w:tcPr>
            <w:tcW w:w="1340" w:type="dxa"/>
            <w:tcBorders>
              <w:top w:val="nil"/>
              <w:left w:val="nil"/>
              <w:bottom w:val="nil"/>
              <w:right w:val="nil"/>
            </w:tcBorders>
            <w:noWrap/>
            <w:vAlign w:val="center"/>
            <w:hideMark/>
          </w:tcPr>
          <w:p w14:paraId="1E3B48D4" w14:textId="77777777" w:rsidR="0031510A" w:rsidRPr="0031510A" w:rsidRDefault="0031510A" w:rsidP="0031510A">
            <w:pPr>
              <w:spacing w:after="0" w:line="240" w:lineRule="auto"/>
              <w:jc w:val="right"/>
              <w:rPr>
                <w:rFonts w:ascii="Times New Roman" w:hAnsi="Times New Roman"/>
                <w:color w:val="000000"/>
                <w:sz w:val="18"/>
                <w:szCs w:val="18"/>
                <w:lang w:eastAsia="sk-SK"/>
              </w:rPr>
            </w:pPr>
            <w:r w:rsidRPr="0031510A">
              <w:rPr>
                <w:rFonts w:ascii="Times New Roman" w:hAnsi="Times New Roman"/>
                <w:color w:val="000000"/>
                <w:sz w:val="18"/>
                <w:szCs w:val="18"/>
                <w:lang w:eastAsia="sk-SK"/>
              </w:rPr>
              <w:t>4 795</w:t>
            </w:r>
          </w:p>
        </w:tc>
        <w:tc>
          <w:tcPr>
            <w:tcW w:w="1340" w:type="dxa"/>
            <w:tcBorders>
              <w:top w:val="nil"/>
              <w:left w:val="nil"/>
              <w:bottom w:val="nil"/>
              <w:right w:val="nil"/>
            </w:tcBorders>
            <w:noWrap/>
            <w:vAlign w:val="center"/>
            <w:hideMark/>
          </w:tcPr>
          <w:p w14:paraId="6365A728" w14:textId="77777777" w:rsidR="0031510A" w:rsidRPr="0031510A" w:rsidRDefault="0031510A" w:rsidP="0031510A">
            <w:pPr>
              <w:spacing w:after="0" w:line="240" w:lineRule="auto"/>
              <w:jc w:val="right"/>
              <w:rPr>
                <w:rFonts w:ascii="Times New Roman" w:hAnsi="Times New Roman"/>
                <w:color w:val="000000"/>
                <w:sz w:val="18"/>
                <w:szCs w:val="18"/>
                <w:lang w:eastAsia="sk-SK"/>
              </w:rPr>
            </w:pPr>
            <w:r w:rsidRPr="0031510A">
              <w:rPr>
                <w:rFonts w:ascii="Times New Roman" w:hAnsi="Times New Roman"/>
                <w:color w:val="000000"/>
                <w:sz w:val="18"/>
                <w:szCs w:val="18"/>
                <w:lang w:eastAsia="sk-SK"/>
              </w:rPr>
              <w:t>4 795</w:t>
            </w:r>
          </w:p>
        </w:tc>
        <w:tc>
          <w:tcPr>
            <w:tcW w:w="1340" w:type="dxa"/>
            <w:tcBorders>
              <w:top w:val="nil"/>
              <w:left w:val="nil"/>
              <w:bottom w:val="nil"/>
              <w:right w:val="nil"/>
            </w:tcBorders>
            <w:noWrap/>
            <w:vAlign w:val="center"/>
            <w:hideMark/>
          </w:tcPr>
          <w:p w14:paraId="4DCAA7EF" w14:textId="77777777" w:rsidR="0031510A" w:rsidRPr="0031510A" w:rsidRDefault="0031510A" w:rsidP="0031510A">
            <w:pPr>
              <w:spacing w:after="0" w:line="240" w:lineRule="auto"/>
              <w:jc w:val="right"/>
              <w:rPr>
                <w:rFonts w:ascii="Times New Roman" w:hAnsi="Times New Roman"/>
                <w:color w:val="000000"/>
                <w:sz w:val="18"/>
                <w:szCs w:val="18"/>
                <w:lang w:eastAsia="sk-SK"/>
              </w:rPr>
            </w:pPr>
            <w:r w:rsidRPr="0031510A">
              <w:rPr>
                <w:rFonts w:ascii="Times New Roman" w:hAnsi="Times New Roman"/>
                <w:color w:val="000000"/>
                <w:sz w:val="18"/>
                <w:szCs w:val="18"/>
                <w:lang w:eastAsia="sk-SK"/>
              </w:rPr>
              <w:t>0</w:t>
            </w:r>
          </w:p>
        </w:tc>
      </w:tr>
      <w:tr w:rsidR="0031510A" w:rsidRPr="00DE718B" w14:paraId="69FF2065" w14:textId="77777777" w:rsidTr="0085799C">
        <w:trPr>
          <w:trHeight w:val="227"/>
          <w:jc w:val="center"/>
        </w:trPr>
        <w:tc>
          <w:tcPr>
            <w:tcW w:w="3940" w:type="dxa"/>
            <w:tcBorders>
              <w:top w:val="nil"/>
              <w:left w:val="nil"/>
              <w:bottom w:val="single" w:sz="4" w:space="0" w:color="auto"/>
              <w:right w:val="nil"/>
            </w:tcBorders>
            <w:noWrap/>
            <w:vAlign w:val="center"/>
            <w:hideMark/>
          </w:tcPr>
          <w:p w14:paraId="01EDB01D" w14:textId="77777777" w:rsidR="0031510A" w:rsidRPr="0031510A" w:rsidRDefault="0031510A" w:rsidP="0031510A">
            <w:pPr>
              <w:spacing w:after="0" w:line="240" w:lineRule="auto"/>
              <w:rPr>
                <w:rFonts w:ascii="Times New Roman" w:hAnsi="Times New Roman"/>
                <w:color w:val="000000"/>
                <w:sz w:val="18"/>
                <w:szCs w:val="18"/>
                <w:lang w:eastAsia="sk-SK"/>
              </w:rPr>
            </w:pPr>
            <w:r w:rsidRPr="0031510A">
              <w:rPr>
                <w:rFonts w:ascii="Times New Roman" w:hAnsi="Times New Roman"/>
                <w:color w:val="000000"/>
                <w:sz w:val="18"/>
                <w:szCs w:val="18"/>
                <w:lang w:eastAsia="sk-SK"/>
              </w:rPr>
              <w:t>Kórejská ľudovodemokratická republika</w:t>
            </w:r>
          </w:p>
        </w:tc>
        <w:tc>
          <w:tcPr>
            <w:tcW w:w="1340" w:type="dxa"/>
            <w:tcBorders>
              <w:top w:val="nil"/>
              <w:left w:val="nil"/>
              <w:bottom w:val="single" w:sz="4" w:space="0" w:color="auto"/>
              <w:right w:val="nil"/>
            </w:tcBorders>
            <w:noWrap/>
            <w:vAlign w:val="center"/>
            <w:hideMark/>
          </w:tcPr>
          <w:p w14:paraId="1689E77C" w14:textId="77777777" w:rsidR="0031510A" w:rsidRPr="0031510A" w:rsidRDefault="0031510A" w:rsidP="0031510A">
            <w:pPr>
              <w:spacing w:after="0" w:line="240" w:lineRule="auto"/>
              <w:jc w:val="right"/>
              <w:rPr>
                <w:rFonts w:ascii="Times New Roman" w:hAnsi="Times New Roman"/>
                <w:color w:val="000000"/>
                <w:sz w:val="18"/>
                <w:szCs w:val="18"/>
                <w:lang w:eastAsia="sk-SK"/>
              </w:rPr>
            </w:pPr>
            <w:r w:rsidRPr="0031510A">
              <w:rPr>
                <w:rFonts w:ascii="Times New Roman" w:hAnsi="Times New Roman"/>
                <w:color w:val="000000"/>
                <w:sz w:val="18"/>
                <w:szCs w:val="18"/>
                <w:lang w:eastAsia="sk-SK"/>
              </w:rPr>
              <w:t>1 884</w:t>
            </w:r>
          </w:p>
        </w:tc>
        <w:tc>
          <w:tcPr>
            <w:tcW w:w="1340" w:type="dxa"/>
            <w:tcBorders>
              <w:top w:val="nil"/>
              <w:left w:val="nil"/>
              <w:bottom w:val="single" w:sz="4" w:space="0" w:color="auto"/>
              <w:right w:val="nil"/>
            </w:tcBorders>
            <w:noWrap/>
            <w:vAlign w:val="center"/>
            <w:hideMark/>
          </w:tcPr>
          <w:p w14:paraId="43823433" w14:textId="77777777" w:rsidR="0031510A" w:rsidRPr="0031510A" w:rsidRDefault="0031510A" w:rsidP="0031510A">
            <w:pPr>
              <w:spacing w:after="0" w:line="240" w:lineRule="auto"/>
              <w:jc w:val="right"/>
              <w:rPr>
                <w:rFonts w:ascii="Times New Roman" w:hAnsi="Times New Roman"/>
                <w:color w:val="000000"/>
                <w:sz w:val="18"/>
                <w:szCs w:val="18"/>
                <w:lang w:eastAsia="sk-SK"/>
              </w:rPr>
            </w:pPr>
            <w:r w:rsidRPr="0031510A">
              <w:rPr>
                <w:rFonts w:ascii="Times New Roman" w:hAnsi="Times New Roman"/>
                <w:color w:val="000000"/>
                <w:sz w:val="18"/>
                <w:szCs w:val="18"/>
                <w:lang w:eastAsia="sk-SK"/>
              </w:rPr>
              <w:t>1 705</w:t>
            </w:r>
          </w:p>
        </w:tc>
        <w:tc>
          <w:tcPr>
            <w:tcW w:w="1340" w:type="dxa"/>
            <w:tcBorders>
              <w:top w:val="nil"/>
              <w:left w:val="nil"/>
              <w:bottom w:val="single" w:sz="4" w:space="0" w:color="auto"/>
              <w:right w:val="nil"/>
            </w:tcBorders>
            <w:noWrap/>
            <w:vAlign w:val="center"/>
            <w:hideMark/>
          </w:tcPr>
          <w:p w14:paraId="75196330" w14:textId="77777777" w:rsidR="0031510A" w:rsidRPr="0031510A" w:rsidRDefault="0031510A" w:rsidP="0031510A">
            <w:pPr>
              <w:spacing w:after="0" w:line="240" w:lineRule="auto"/>
              <w:jc w:val="right"/>
              <w:rPr>
                <w:rFonts w:ascii="Times New Roman" w:hAnsi="Times New Roman"/>
                <w:color w:val="000000"/>
                <w:sz w:val="18"/>
                <w:szCs w:val="18"/>
                <w:lang w:eastAsia="sk-SK"/>
              </w:rPr>
            </w:pPr>
            <w:r w:rsidRPr="0031510A">
              <w:rPr>
                <w:rFonts w:ascii="Times New Roman" w:hAnsi="Times New Roman"/>
                <w:color w:val="000000"/>
                <w:sz w:val="18"/>
                <w:szCs w:val="18"/>
                <w:lang w:eastAsia="sk-SK"/>
              </w:rPr>
              <w:t>179</w:t>
            </w:r>
          </w:p>
        </w:tc>
      </w:tr>
      <w:tr w:rsidR="0031510A" w:rsidRPr="00DE718B" w14:paraId="0E951CA5" w14:textId="77777777" w:rsidTr="0085799C">
        <w:trPr>
          <w:trHeight w:val="227"/>
          <w:jc w:val="center"/>
        </w:trPr>
        <w:tc>
          <w:tcPr>
            <w:tcW w:w="3940" w:type="dxa"/>
            <w:tcBorders>
              <w:top w:val="nil"/>
              <w:left w:val="nil"/>
              <w:bottom w:val="single" w:sz="4" w:space="0" w:color="auto"/>
              <w:right w:val="nil"/>
            </w:tcBorders>
            <w:noWrap/>
            <w:vAlign w:val="center"/>
            <w:hideMark/>
          </w:tcPr>
          <w:p w14:paraId="7B8ABB8C" w14:textId="77777777" w:rsidR="0031510A" w:rsidRPr="0031510A" w:rsidRDefault="0031510A" w:rsidP="0031510A">
            <w:pPr>
              <w:spacing w:after="0" w:line="240" w:lineRule="auto"/>
              <w:rPr>
                <w:rFonts w:ascii="Times New Roman" w:hAnsi="Times New Roman"/>
                <w:b/>
                <w:bCs/>
                <w:color w:val="000000"/>
                <w:sz w:val="18"/>
                <w:szCs w:val="18"/>
                <w:lang w:eastAsia="sk-SK"/>
              </w:rPr>
            </w:pPr>
            <w:r w:rsidRPr="0031510A">
              <w:rPr>
                <w:rFonts w:ascii="Times New Roman" w:hAnsi="Times New Roman"/>
                <w:b/>
                <w:bCs/>
                <w:color w:val="000000"/>
                <w:sz w:val="18"/>
                <w:szCs w:val="18"/>
                <w:lang w:eastAsia="sk-SK"/>
              </w:rPr>
              <w:t>Spolu</w:t>
            </w:r>
          </w:p>
        </w:tc>
        <w:tc>
          <w:tcPr>
            <w:tcW w:w="1340" w:type="dxa"/>
            <w:tcBorders>
              <w:top w:val="nil"/>
              <w:left w:val="nil"/>
              <w:bottom w:val="single" w:sz="4" w:space="0" w:color="auto"/>
              <w:right w:val="nil"/>
            </w:tcBorders>
            <w:noWrap/>
            <w:vAlign w:val="center"/>
            <w:hideMark/>
          </w:tcPr>
          <w:p w14:paraId="1449E98A" w14:textId="77777777" w:rsidR="0031510A" w:rsidRPr="0031510A" w:rsidRDefault="0031510A" w:rsidP="0031510A">
            <w:pPr>
              <w:spacing w:after="0" w:line="240" w:lineRule="auto"/>
              <w:jc w:val="right"/>
              <w:rPr>
                <w:rFonts w:ascii="Times New Roman" w:hAnsi="Times New Roman"/>
                <w:b/>
                <w:bCs/>
                <w:color w:val="000000"/>
                <w:sz w:val="18"/>
                <w:szCs w:val="18"/>
                <w:lang w:eastAsia="sk-SK"/>
              </w:rPr>
            </w:pPr>
            <w:r w:rsidRPr="0031510A">
              <w:rPr>
                <w:rFonts w:ascii="Times New Roman" w:hAnsi="Times New Roman"/>
                <w:b/>
                <w:bCs/>
                <w:color w:val="000000"/>
                <w:sz w:val="18"/>
                <w:szCs w:val="18"/>
                <w:lang w:eastAsia="sk-SK"/>
              </w:rPr>
              <w:t>42 556</w:t>
            </w:r>
          </w:p>
        </w:tc>
        <w:tc>
          <w:tcPr>
            <w:tcW w:w="1340" w:type="dxa"/>
            <w:tcBorders>
              <w:top w:val="nil"/>
              <w:left w:val="nil"/>
              <w:bottom w:val="single" w:sz="4" w:space="0" w:color="auto"/>
              <w:right w:val="nil"/>
            </w:tcBorders>
            <w:noWrap/>
            <w:vAlign w:val="center"/>
            <w:hideMark/>
          </w:tcPr>
          <w:p w14:paraId="72911A63" w14:textId="77777777" w:rsidR="0031510A" w:rsidRPr="0031510A" w:rsidRDefault="0031510A" w:rsidP="0031510A">
            <w:pPr>
              <w:spacing w:after="0" w:line="240" w:lineRule="auto"/>
              <w:jc w:val="right"/>
              <w:rPr>
                <w:rFonts w:ascii="Times New Roman" w:hAnsi="Times New Roman"/>
                <w:b/>
                <w:bCs/>
                <w:color w:val="000000"/>
                <w:sz w:val="18"/>
                <w:szCs w:val="18"/>
                <w:lang w:eastAsia="sk-SK"/>
              </w:rPr>
            </w:pPr>
            <w:r w:rsidRPr="0031510A">
              <w:rPr>
                <w:rFonts w:ascii="Times New Roman" w:hAnsi="Times New Roman"/>
                <w:b/>
                <w:bCs/>
                <w:color w:val="000000"/>
                <w:sz w:val="18"/>
                <w:szCs w:val="18"/>
                <w:lang w:eastAsia="sk-SK"/>
              </w:rPr>
              <w:t>51 562</w:t>
            </w:r>
          </w:p>
        </w:tc>
        <w:tc>
          <w:tcPr>
            <w:tcW w:w="1340" w:type="dxa"/>
            <w:tcBorders>
              <w:top w:val="nil"/>
              <w:left w:val="nil"/>
              <w:bottom w:val="single" w:sz="4" w:space="0" w:color="auto"/>
              <w:right w:val="nil"/>
            </w:tcBorders>
            <w:noWrap/>
            <w:vAlign w:val="center"/>
            <w:hideMark/>
          </w:tcPr>
          <w:p w14:paraId="43AE3E34" w14:textId="77777777" w:rsidR="0031510A" w:rsidRPr="0031510A" w:rsidRDefault="0031510A" w:rsidP="0031510A">
            <w:pPr>
              <w:spacing w:after="0" w:line="240" w:lineRule="auto"/>
              <w:jc w:val="right"/>
              <w:rPr>
                <w:rFonts w:ascii="Times New Roman" w:hAnsi="Times New Roman"/>
                <w:b/>
                <w:bCs/>
                <w:color w:val="000000"/>
                <w:sz w:val="18"/>
                <w:szCs w:val="18"/>
                <w:lang w:eastAsia="sk-SK"/>
              </w:rPr>
            </w:pPr>
            <w:r w:rsidRPr="0031510A">
              <w:rPr>
                <w:rFonts w:ascii="Times New Roman" w:hAnsi="Times New Roman"/>
                <w:b/>
                <w:bCs/>
                <w:color w:val="000000"/>
                <w:sz w:val="18"/>
                <w:szCs w:val="18"/>
                <w:lang w:eastAsia="sk-SK"/>
              </w:rPr>
              <w:t>-9 006</w:t>
            </w:r>
          </w:p>
        </w:tc>
      </w:tr>
      <w:tr w:rsidR="0031510A" w:rsidRPr="00DE718B" w14:paraId="764E6540" w14:textId="77777777" w:rsidTr="0085799C">
        <w:trPr>
          <w:trHeight w:val="227"/>
          <w:jc w:val="center"/>
        </w:trPr>
        <w:tc>
          <w:tcPr>
            <w:tcW w:w="7960" w:type="dxa"/>
            <w:gridSpan w:val="4"/>
            <w:tcBorders>
              <w:top w:val="single" w:sz="4" w:space="0" w:color="auto"/>
              <w:left w:val="nil"/>
              <w:bottom w:val="nil"/>
              <w:right w:val="nil"/>
            </w:tcBorders>
            <w:vAlign w:val="center"/>
            <w:hideMark/>
          </w:tcPr>
          <w:p w14:paraId="0978B1EC" w14:textId="77777777" w:rsidR="0031510A" w:rsidRPr="0031510A" w:rsidRDefault="0031510A" w:rsidP="0031510A">
            <w:pPr>
              <w:spacing w:after="0" w:line="240" w:lineRule="auto"/>
              <w:rPr>
                <w:rFonts w:ascii="Times New Roman" w:hAnsi="Times New Roman"/>
                <w:color w:val="000000"/>
                <w:sz w:val="18"/>
                <w:szCs w:val="18"/>
                <w:lang w:eastAsia="sk-SK"/>
              </w:rPr>
            </w:pPr>
            <w:r w:rsidRPr="00DE718B">
              <w:rPr>
                <w:rFonts w:ascii="Times New Roman" w:hAnsi="Times New Roman"/>
                <w:color w:val="000000"/>
                <w:sz w:val="18"/>
                <w:szCs w:val="18"/>
                <w:lang w:eastAsia="sk-SK"/>
              </w:rPr>
              <w:t>*hodnoty sú pred zohľadnením opravných položiek</w:t>
            </w:r>
            <w:r w:rsidRPr="0031510A">
              <w:rPr>
                <w:rFonts w:ascii="Times New Roman" w:hAnsi="Times New Roman"/>
                <w:color w:val="000000"/>
                <w:sz w:val="18"/>
                <w:szCs w:val="18"/>
                <w:lang w:eastAsia="sk-SK"/>
              </w:rPr>
              <w:br/>
              <w:t>Zdroj: MF SR, Centrálny konsolidačný systém</w:t>
            </w:r>
          </w:p>
        </w:tc>
      </w:tr>
    </w:tbl>
    <w:p w14:paraId="41D9A5E0" w14:textId="3AF0DB41" w:rsidR="00647542" w:rsidRPr="00505C0F" w:rsidRDefault="00647542" w:rsidP="00505C0F">
      <w:pPr>
        <w:pStyle w:val="Pismenka"/>
        <w:tabs>
          <w:tab w:val="clear" w:pos="426"/>
        </w:tabs>
        <w:spacing w:after="120"/>
        <w:ind w:left="0" w:firstLine="0"/>
        <w:rPr>
          <w:b w:val="0"/>
          <w:sz w:val="22"/>
          <w:szCs w:val="22"/>
        </w:rPr>
      </w:pPr>
      <w:r w:rsidRPr="00505C0F">
        <w:rPr>
          <w:b w:val="0"/>
          <w:sz w:val="22"/>
          <w:szCs w:val="22"/>
        </w:rPr>
        <w:lastRenderedPageBreak/>
        <w:t>Ide o pohľadávky úverového charakteru voči iným krajinám a pohľadávky z barterových obchodov voči podnikom v zahraničí, ktoré vznikli pred rokom 1993, pričom ich podrobnejší popis je možné nájsť v Súhrnných účtovných závierkach Slovenskej republiky za predchádzajúce účtovné obdobia.</w:t>
      </w:r>
      <w:r w:rsidRPr="0085799C">
        <w:rPr>
          <w:b w:val="0"/>
          <w:sz w:val="22"/>
          <w:szCs w:val="22"/>
          <w:vertAlign w:val="superscript"/>
        </w:rPr>
        <w:footnoteReference w:id="2"/>
      </w:r>
      <w:r w:rsidRPr="00505C0F">
        <w:rPr>
          <w:b w:val="0"/>
          <w:sz w:val="22"/>
          <w:szCs w:val="22"/>
        </w:rPr>
        <w:t xml:space="preserve"> </w:t>
      </w:r>
      <w:r w:rsidR="00C17B3C" w:rsidRPr="00505C0F">
        <w:rPr>
          <w:b w:val="0"/>
          <w:sz w:val="22"/>
          <w:szCs w:val="22"/>
        </w:rPr>
        <w:t>Bru</w:t>
      </w:r>
      <w:r w:rsidRPr="00505C0F">
        <w:rPr>
          <w:b w:val="0"/>
          <w:sz w:val="22"/>
          <w:szCs w:val="22"/>
        </w:rPr>
        <w:t>tto</w:t>
      </w:r>
      <w:r w:rsidRPr="0085799C">
        <w:rPr>
          <w:b w:val="0"/>
          <w:color w:val="FF0000"/>
          <w:sz w:val="22"/>
          <w:szCs w:val="22"/>
        </w:rPr>
        <w:t xml:space="preserve"> </w:t>
      </w:r>
      <w:r w:rsidRPr="00505C0F">
        <w:rPr>
          <w:b w:val="0"/>
          <w:sz w:val="22"/>
          <w:szCs w:val="22"/>
        </w:rPr>
        <w:t xml:space="preserve">hodnota týchto pohľadávok je </w:t>
      </w:r>
      <w:r w:rsidR="00A46EDE" w:rsidRPr="00505C0F">
        <w:rPr>
          <w:b w:val="0"/>
          <w:sz w:val="22"/>
          <w:szCs w:val="22"/>
        </w:rPr>
        <w:t>42 556</w:t>
      </w:r>
      <w:r w:rsidRPr="00505C0F">
        <w:rPr>
          <w:b w:val="0"/>
          <w:sz w:val="22"/>
          <w:szCs w:val="22"/>
        </w:rPr>
        <w:t> tis. eur.</w:t>
      </w:r>
    </w:p>
    <w:p w14:paraId="4D9785D9" w14:textId="77777777" w:rsidR="00A7107D" w:rsidRDefault="00A7107D" w:rsidP="0085799C">
      <w:pPr>
        <w:pStyle w:val="Nadpis3"/>
        <w:rPr>
          <w:lang w:eastAsia="sk-SK"/>
        </w:rPr>
      </w:pPr>
    </w:p>
    <w:p w14:paraId="5DD4ECA6" w14:textId="7F78851C" w:rsidR="00647542" w:rsidRPr="007253B7" w:rsidRDefault="00647542" w:rsidP="0085799C">
      <w:pPr>
        <w:pStyle w:val="Nadpis3"/>
        <w:rPr>
          <w:sz w:val="24"/>
          <w:szCs w:val="24"/>
          <w:lang w:eastAsia="sk-SK"/>
        </w:rPr>
      </w:pPr>
      <w:r w:rsidRPr="00265F07">
        <w:rPr>
          <w:lang w:eastAsia="sk-SK"/>
        </w:rPr>
        <w:t xml:space="preserve">B. Krátkodobý majetok </w:t>
      </w:r>
    </w:p>
    <w:p w14:paraId="4C878A60" w14:textId="77777777" w:rsidR="00647542" w:rsidRPr="007253B7" w:rsidRDefault="00647542" w:rsidP="0085799C">
      <w:pPr>
        <w:pStyle w:val="Nadpis3"/>
        <w:rPr>
          <w:sz w:val="24"/>
          <w:szCs w:val="24"/>
          <w:lang w:eastAsia="sk-SK"/>
        </w:rPr>
      </w:pPr>
      <w:r w:rsidRPr="00265F07">
        <w:rPr>
          <w:lang w:eastAsia="sk-SK"/>
        </w:rPr>
        <w:t>B.I. Zásoby</w:t>
      </w:r>
    </w:p>
    <w:p w14:paraId="6061A608" w14:textId="45181CB6" w:rsidR="03EB441B" w:rsidRPr="0085799C" w:rsidRDefault="03EB441B" w:rsidP="0085799C">
      <w:pPr>
        <w:spacing w:after="120" w:line="240" w:lineRule="auto"/>
        <w:jc w:val="both"/>
        <w:rPr>
          <w:rFonts w:ascii="Times New Roman" w:eastAsia="Calibri" w:hAnsi="Times New Roman"/>
          <w:szCs w:val="22"/>
        </w:rPr>
      </w:pPr>
      <w:r w:rsidRPr="00F7655F">
        <w:rPr>
          <w:rFonts w:ascii="Times New Roman" w:hAnsi="Times New Roman"/>
          <w:szCs w:val="22"/>
          <w:lang w:eastAsia="sk-SK"/>
        </w:rPr>
        <w:t xml:space="preserve">Ako zásoby súhrnného celku sa vykazujú materiál, tovar, výrobky, nedokončená výroba a polotovary a zvieratá. </w:t>
      </w:r>
      <w:r w:rsidR="1D3BFFB9" w:rsidRPr="0085799C">
        <w:rPr>
          <w:rFonts w:ascii="Times New Roman" w:eastAsia="Calibri" w:hAnsi="Times New Roman"/>
          <w:szCs w:val="22"/>
        </w:rPr>
        <w:t xml:space="preserve"> Netto hodnota zásob </w:t>
      </w:r>
      <w:r w:rsidR="005B7A4F" w:rsidRPr="0085799C">
        <w:rPr>
          <w:rFonts w:ascii="Times New Roman" w:eastAsia="Calibri" w:hAnsi="Times New Roman"/>
          <w:szCs w:val="22"/>
        </w:rPr>
        <w:t>súhrnného</w:t>
      </w:r>
      <w:r w:rsidR="1D3BFFB9" w:rsidRPr="0085799C">
        <w:rPr>
          <w:rFonts w:ascii="Times New Roman" w:eastAsia="Calibri" w:hAnsi="Times New Roman"/>
          <w:szCs w:val="22"/>
        </w:rPr>
        <w:t xml:space="preserve"> celku k 31. decembru 2024 dosiahla hodnotu </w:t>
      </w:r>
      <w:r w:rsidR="004E577A" w:rsidRPr="0085799C">
        <w:rPr>
          <w:rFonts w:ascii="Times New Roman" w:eastAsia="Calibri" w:hAnsi="Times New Roman"/>
          <w:szCs w:val="22"/>
        </w:rPr>
        <w:t>2 026 017 tis.</w:t>
      </w:r>
      <w:r w:rsidR="1D3BFFB9" w:rsidRPr="0085799C">
        <w:rPr>
          <w:rFonts w:ascii="Times New Roman" w:eastAsia="Calibri" w:hAnsi="Times New Roman"/>
          <w:szCs w:val="22"/>
        </w:rPr>
        <w:t xml:space="preserve"> eur, čo je o</w:t>
      </w:r>
      <w:r w:rsidR="00EB18B0" w:rsidRPr="0085799C">
        <w:rPr>
          <w:rFonts w:ascii="Times New Roman" w:eastAsia="Calibri" w:hAnsi="Times New Roman"/>
          <w:szCs w:val="22"/>
        </w:rPr>
        <w:t> </w:t>
      </w:r>
      <w:r w:rsidR="004E577A" w:rsidRPr="0085799C">
        <w:rPr>
          <w:rFonts w:ascii="Times New Roman" w:eastAsia="Calibri" w:hAnsi="Times New Roman"/>
          <w:szCs w:val="22"/>
        </w:rPr>
        <w:t>136</w:t>
      </w:r>
      <w:r w:rsidR="00EB18B0" w:rsidRPr="0085799C">
        <w:rPr>
          <w:rFonts w:ascii="Times New Roman" w:eastAsia="Calibri" w:hAnsi="Times New Roman"/>
          <w:szCs w:val="22"/>
        </w:rPr>
        <w:t> 798 tis.</w:t>
      </w:r>
      <w:r w:rsidR="1D3BFFB9" w:rsidRPr="0085799C">
        <w:rPr>
          <w:rFonts w:ascii="Times New Roman" w:eastAsia="Calibri" w:hAnsi="Times New Roman"/>
          <w:szCs w:val="22"/>
        </w:rPr>
        <w:t xml:space="preserve"> eur menej ako v roku 2023. </w:t>
      </w:r>
    </w:p>
    <w:p w14:paraId="1B484F68" w14:textId="4D538DB7" w:rsidR="00647542" w:rsidRPr="00907622" w:rsidRDefault="00647542" w:rsidP="00647542">
      <w:pPr>
        <w:pStyle w:val="Popis"/>
        <w:keepNext/>
        <w:rPr>
          <w:noProof/>
        </w:rPr>
      </w:pPr>
      <w:r w:rsidRPr="00907622">
        <w:t xml:space="preserve">Tabuľka </w:t>
      </w:r>
      <w:r w:rsidRPr="00907622">
        <w:fldChar w:fldCharType="begin"/>
      </w:r>
      <w:r w:rsidRPr="00907622">
        <w:instrText xml:space="preserve"> SEQ Tabuľka \* ARABIC </w:instrText>
      </w:r>
      <w:r w:rsidRPr="00907622">
        <w:fldChar w:fldCharType="separate"/>
      </w:r>
      <w:r w:rsidRPr="00907622">
        <w:rPr>
          <w:noProof/>
        </w:rPr>
        <w:t>9</w:t>
      </w:r>
      <w:r w:rsidRPr="00907622">
        <w:rPr>
          <w:noProof/>
        </w:rPr>
        <w:fldChar w:fldCharType="end"/>
      </w:r>
    </w:p>
    <w:tbl>
      <w:tblPr>
        <w:tblW w:w="5000" w:type="pct"/>
        <w:jc w:val="center"/>
        <w:tblCellMar>
          <w:left w:w="70" w:type="dxa"/>
          <w:right w:w="70" w:type="dxa"/>
        </w:tblCellMar>
        <w:tblLook w:val="04A0" w:firstRow="1" w:lastRow="0" w:firstColumn="1" w:lastColumn="0" w:noHBand="0" w:noVBand="1"/>
      </w:tblPr>
      <w:tblGrid>
        <w:gridCol w:w="3402"/>
        <w:gridCol w:w="1890"/>
        <w:gridCol w:w="1890"/>
        <w:gridCol w:w="1889"/>
      </w:tblGrid>
      <w:tr w:rsidR="00A22685" w:rsidRPr="00A22685" w14:paraId="7F042FDE" w14:textId="77777777" w:rsidTr="0085799C">
        <w:trPr>
          <w:trHeight w:val="227"/>
          <w:jc w:val="center"/>
        </w:trPr>
        <w:tc>
          <w:tcPr>
            <w:tcW w:w="1875" w:type="pct"/>
            <w:tcBorders>
              <w:top w:val="single" w:sz="8" w:space="0" w:color="auto"/>
              <w:left w:val="nil"/>
              <w:bottom w:val="single" w:sz="8" w:space="0" w:color="auto"/>
              <w:right w:val="nil"/>
            </w:tcBorders>
            <w:shd w:val="clear" w:color="000000" w:fill="F4B084"/>
            <w:noWrap/>
            <w:vAlign w:val="center"/>
            <w:hideMark/>
          </w:tcPr>
          <w:p w14:paraId="1C181267" w14:textId="77777777" w:rsidR="00A22685" w:rsidRPr="00A22685" w:rsidRDefault="00A22685" w:rsidP="00A22685">
            <w:pPr>
              <w:spacing w:after="0" w:line="240" w:lineRule="auto"/>
              <w:rPr>
                <w:rFonts w:ascii="Times New Roman" w:hAnsi="Times New Roman"/>
                <w:b/>
                <w:bCs/>
                <w:color w:val="000000"/>
                <w:sz w:val="18"/>
                <w:szCs w:val="18"/>
                <w:lang w:eastAsia="sk-SK"/>
              </w:rPr>
            </w:pPr>
            <w:r w:rsidRPr="00A22685">
              <w:rPr>
                <w:rFonts w:ascii="Times New Roman" w:hAnsi="Times New Roman"/>
                <w:b/>
                <w:bCs/>
                <w:color w:val="000000"/>
                <w:sz w:val="18"/>
                <w:szCs w:val="18"/>
                <w:lang w:eastAsia="sk-SK"/>
              </w:rPr>
              <w:t>Zásoby súhrnného celku</w:t>
            </w:r>
          </w:p>
        </w:tc>
        <w:tc>
          <w:tcPr>
            <w:tcW w:w="1042" w:type="pct"/>
            <w:tcBorders>
              <w:top w:val="single" w:sz="8" w:space="0" w:color="auto"/>
              <w:left w:val="nil"/>
              <w:bottom w:val="single" w:sz="8" w:space="0" w:color="auto"/>
              <w:right w:val="nil"/>
            </w:tcBorders>
            <w:shd w:val="clear" w:color="000000" w:fill="F4B084"/>
            <w:noWrap/>
            <w:vAlign w:val="center"/>
            <w:hideMark/>
          </w:tcPr>
          <w:p w14:paraId="6286BD14" w14:textId="77777777" w:rsidR="00A22685" w:rsidRPr="00A22685" w:rsidRDefault="00A22685" w:rsidP="00A22685">
            <w:pPr>
              <w:spacing w:after="0" w:line="240" w:lineRule="auto"/>
              <w:rPr>
                <w:rFonts w:ascii="Times New Roman" w:hAnsi="Times New Roman"/>
                <w:b/>
                <w:bCs/>
                <w:color w:val="000000"/>
                <w:sz w:val="18"/>
                <w:szCs w:val="18"/>
                <w:lang w:eastAsia="sk-SK"/>
              </w:rPr>
            </w:pPr>
            <w:r w:rsidRPr="00A22685">
              <w:rPr>
                <w:rFonts w:ascii="Times New Roman" w:hAnsi="Times New Roman"/>
                <w:b/>
                <w:bCs/>
                <w:color w:val="000000"/>
                <w:sz w:val="18"/>
                <w:szCs w:val="18"/>
                <w:lang w:eastAsia="sk-SK"/>
              </w:rPr>
              <w:t> </w:t>
            </w:r>
          </w:p>
        </w:tc>
        <w:tc>
          <w:tcPr>
            <w:tcW w:w="1042" w:type="pct"/>
            <w:tcBorders>
              <w:top w:val="single" w:sz="8" w:space="0" w:color="auto"/>
              <w:left w:val="nil"/>
              <w:bottom w:val="single" w:sz="8" w:space="0" w:color="auto"/>
              <w:right w:val="nil"/>
            </w:tcBorders>
            <w:shd w:val="clear" w:color="000000" w:fill="F4B084"/>
            <w:noWrap/>
            <w:vAlign w:val="center"/>
            <w:hideMark/>
          </w:tcPr>
          <w:p w14:paraId="661082ED" w14:textId="77777777" w:rsidR="00A22685" w:rsidRPr="00A22685" w:rsidRDefault="00A22685" w:rsidP="00A22685">
            <w:pPr>
              <w:spacing w:after="0" w:line="240" w:lineRule="auto"/>
              <w:jc w:val="center"/>
              <w:rPr>
                <w:rFonts w:ascii="Times New Roman" w:hAnsi="Times New Roman"/>
                <w:b/>
                <w:bCs/>
                <w:color w:val="000000"/>
                <w:sz w:val="18"/>
                <w:szCs w:val="18"/>
                <w:lang w:eastAsia="sk-SK"/>
              </w:rPr>
            </w:pPr>
            <w:r w:rsidRPr="00A22685">
              <w:rPr>
                <w:rFonts w:ascii="Times New Roman" w:hAnsi="Times New Roman"/>
                <w:b/>
                <w:bCs/>
                <w:color w:val="000000"/>
                <w:sz w:val="18"/>
                <w:szCs w:val="18"/>
                <w:lang w:eastAsia="sk-SK"/>
              </w:rPr>
              <w:t>(v tis. eur)</w:t>
            </w:r>
          </w:p>
        </w:tc>
        <w:tc>
          <w:tcPr>
            <w:tcW w:w="1042" w:type="pct"/>
            <w:tcBorders>
              <w:top w:val="single" w:sz="8" w:space="0" w:color="auto"/>
              <w:left w:val="nil"/>
              <w:bottom w:val="single" w:sz="8" w:space="0" w:color="auto"/>
              <w:right w:val="nil"/>
            </w:tcBorders>
            <w:shd w:val="clear" w:color="000000" w:fill="F4B084"/>
            <w:noWrap/>
            <w:vAlign w:val="center"/>
            <w:hideMark/>
          </w:tcPr>
          <w:p w14:paraId="227BB60F" w14:textId="77777777" w:rsidR="00A22685" w:rsidRPr="00A22685" w:rsidRDefault="00A22685" w:rsidP="00A22685">
            <w:pPr>
              <w:spacing w:after="0" w:line="240" w:lineRule="auto"/>
              <w:rPr>
                <w:rFonts w:ascii="Times New Roman" w:hAnsi="Times New Roman"/>
                <w:b/>
                <w:bCs/>
                <w:color w:val="000000"/>
                <w:sz w:val="18"/>
                <w:szCs w:val="18"/>
                <w:lang w:eastAsia="sk-SK"/>
              </w:rPr>
            </w:pPr>
            <w:r w:rsidRPr="00A22685">
              <w:rPr>
                <w:rFonts w:ascii="Times New Roman" w:hAnsi="Times New Roman"/>
                <w:b/>
                <w:bCs/>
                <w:color w:val="000000"/>
                <w:sz w:val="18"/>
                <w:szCs w:val="18"/>
                <w:lang w:eastAsia="sk-SK"/>
              </w:rPr>
              <w:t> </w:t>
            </w:r>
          </w:p>
        </w:tc>
      </w:tr>
      <w:tr w:rsidR="00A22685" w:rsidRPr="00A22685" w14:paraId="6EE9ECFA" w14:textId="77777777" w:rsidTr="0085799C">
        <w:trPr>
          <w:trHeight w:val="227"/>
          <w:jc w:val="center"/>
        </w:trPr>
        <w:tc>
          <w:tcPr>
            <w:tcW w:w="1875" w:type="pct"/>
            <w:tcBorders>
              <w:top w:val="nil"/>
              <w:left w:val="nil"/>
              <w:bottom w:val="single" w:sz="8" w:space="0" w:color="auto"/>
              <w:right w:val="nil"/>
            </w:tcBorders>
            <w:shd w:val="clear" w:color="000000" w:fill="BDD7EE"/>
            <w:noWrap/>
            <w:vAlign w:val="center"/>
            <w:hideMark/>
          </w:tcPr>
          <w:p w14:paraId="5EAD505B" w14:textId="77777777" w:rsidR="00A22685" w:rsidRPr="00A22685" w:rsidRDefault="00A22685" w:rsidP="00A22685">
            <w:pPr>
              <w:spacing w:after="0" w:line="240" w:lineRule="auto"/>
              <w:rPr>
                <w:rFonts w:ascii="Times New Roman" w:hAnsi="Times New Roman"/>
                <w:b/>
                <w:bCs/>
                <w:color w:val="000000"/>
                <w:sz w:val="18"/>
                <w:szCs w:val="18"/>
                <w:lang w:eastAsia="sk-SK"/>
              </w:rPr>
            </w:pPr>
            <w:r w:rsidRPr="00A22685">
              <w:rPr>
                <w:rFonts w:ascii="Times New Roman" w:hAnsi="Times New Roman"/>
                <w:b/>
                <w:bCs/>
                <w:color w:val="000000"/>
                <w:sz w:val="18"/>
                <w:szCs w:val="18"/>
                <w:lang w:eastAsia="sk-SK"/>
              </w:rPr>
              <w:t>Druh zásob</w:t>
            </w:r>
          </w:p>
        </w:tc>
        <w:tc>
          <w:tcPr>
            <w:tcW w:w="1042" w:type="pct"/>
            <w:tcBorders>
              <w:top w:val="nil"/>
              <w:left w:val="nil"/>
              <w:bottom w:val="single" w:sz="8" w:space="0" w:color="auto"/>
              <w:right w:val="nil"/>
            </w:tcBorders>
            <w:shd w:val="clear" w:color="000000" w:fill="BDD7EE"/>
            <w:noWrap/>
            <w:vAlign w:val="center"/>
            <w:hideMark/>
          </w:tcPr>
          <w:p w14:paraId="39F0A4E0" w14:textId="77777777" w:rsidR="00A22685" w:rsidRPr="00A22685" w:rsidRDefault="00A22685" w:rsidP="00A22685">
            <w:pPr>
              <w:spacing w:after="0" w:line="240" w:lineRule="auto"/>
              <w:jc w:val="center"/>
              <w:rPr>
                <w:rFonts w:ascii="Times New Roman" w:hAnsi="Times New Roman"/>
                <w:b/>
                <w:bCs/>
                <w:color w:val="000000"/>
                <w:sz w:val="18"/>
                <w:szCs w:val="18"/>
                <w:lang w:eastAsia="sk-SK"/>
              </w:rPr>
            </w:pPr>
            <w:r w:rsidRPr="00A22685">
              <w:rPr>
                <w:rFonts w:ascii="Times New Roman" w:hAnsi="Times New Roman"/>
                <w:b/>
                <w:bCs/>
                <w:color w:val="000000"/>
                <w:sz w:val="18"/>
                <w:szCs w:val="18"/>
                <w:lang w:eastAsia="sk-SK"/>
              </w:rPr>
              <w:t>2024</w:t>
            </w:r>
          </w:p>
        </w:tc>
        <w:tc>
          <w:tcPr>
            <w:tcW w:w="1042" w:type="pct"/>
            <w:tcBorders>
              <w:top w:val="nil"/>
              <w:left w:val="nil"/>
              <w:bottom w:val="single" w:sz="8" w:space="0" w:color="auto"/>
              <w:right w:val="nil"/>
            </w:tcBorders>
            <w:shd w:val="clear" w:color="000000" w:fill="BDD7EE"/>
            <w:noWrap/>
            <w:vAlign w:val="center"/>
            <w:hideMark/>
          </w:tcPr>
          <w:p w14:paraId="5FF1FBD7" w14:textId="77777777" w:rsidR="00A22685" w:rsidRPr="00A22685" w:rsidRDefault="00A22685" w:rsidP="00A22685">
            <w:pPr>
              <w:spacing w:after="0" w:line="240" w:lineRule="auto"/>
              <w:jc w:val="center"/>
              <w:rPr>
                <w:rFonts w:ascii="Times New Roman" w:hAnsi="Times New Roman"/>
                <w:b/>
                <w:bCs/>
                <w:color w:val="000000"/>
                <w:sz w:val="18"/>
                <w:szCs w:val="18"/>
                <w:lang w:eastAsia="sk-SK"/>
              </w:rPr>
            </w:pPr>
            <w:r w:rsidRPr="00A22685">
              <w:rPr>
                <w:rFonts w:ascii="Times New Roman" w:hAnsi="Times New Roman"/>
                <w:b/>
                <w:bCs/>
                <w:color w:val="000000"/>
                <w:sz w:val="18"/>
                <w:szCs w:val="18"/>
                <w:lang w:eastAsia="sk-SK"/>
              </w:rPr>
              <w:t>2023</w:t>
            </w:r>
          </w:p>
        </w:tc>
        <w:tc>
          <w:tcPr>
            <w:tcW w:w="1042" w:type="pct"/>
            <w:tcBorders>
              <w:top w:val="nil"/>
              <w:left w:val="nil"/>
              <w:bottom w:val="single" w:sz="8" w:space="0" w:color="auto"/>
              <w:right w:val="nil"/>
            </w:tcBorders>
            <w:shd w:val="clear" w:color="000000" w:fill="BDD7EE"/>
            <w:vAlign w:val="center"/>
            <w:hideMark/>
          </w:tcPr>
          <w:p w14:paraId="61575878" w14:textId="77777777" w:rsidR="00A22685" w:rsidRPr="00A22685" w:rsidRDefault="00A22685" w:rsidP="00A22685">
            <w:pPr>
              <w:spacing w:after="0" w:line="240" w:lineRule="auto"/>
              <w:jc w:val="center"/>
              <w:rPr>
                <w:rFonts w:ascii="Times New Roman" w:hAnsi="Times New Roman"/>
                <w:b/>
                <w:bCs/>
                <w:color w:val="000000"/>
                <w:sz w:val="18"/>
                <w:szCs w:val="18"/>
                <w:lang w:eastAsia="sk-SK"/>
              </w:rPr>
            </w:pPr>
            <w:r w:rsidRPr="00A22685">
              <w:rPr>
                <w:rFonts w:ascii="Times New Roman" w:hAnsi="Times New Roman"/>
                <w:b/>
                <w:bCs/>
                <w:color w:val="000000"/>
                <w:sz w:val="18"/>
                <w:szCs w:val="18"/>
                <w:lang w:eastAsia="sk-SK"/>
              </w:rPr>
              <w:t>Δ 2024-2023</w:t>
            </w:r>
          </w:p>
        </w:tc>
      </w:tr>
      <w:tr w:rsidR="00A22685" w:rsidRPr="00A22685" w14:paraId="22970095" w14:textId="77777777" w:rsidTr="0085799C">
        <w:trPr>
          <w:trHeight w:val="227"/>
          <w:jc w:val="center"/>
        </w:trPr>
        <w:tc>
          <w:tcPr>
            <w:tcW w:w="1875" w:type="pct"/>
            <w:tcBorders>
              <w:top w:val="nil"/>
              <w:left w:val="nil"/>
              <w:bottom w:val="nil"/>
              <w:right w:val="nil"/>
            </w:tcBorders>
            <w:vAlign w:val="center"/>
            <w:hideMark/>
          </w:tcPr>
          <w:p w14:paraId="1F35168D" w14:textId="77777777" w:rsidR="00A22685" w:rsidRPr="00A22685" w:rsidRDefault="00A22685" w:rsidP="00A22685">
            <w:pPr>
              <w:spacing w:after="0" w:line="240" w:lineRule="auto"/>
              <w:rPr>
                <w:rFonts w:ascii="Times New Roman" w:hAnsi="Times New Roman"/>
                <w:color w:val="000000"/>
                <w:sz w:val="18"/>
                <w:szCs w:val="18"/>
                <w:lang w:eastAsia="sk-SK"/>
              </w:rPr>
            </w:pPr>
            <w:r w:rsidRPr="00A22685">
              <w:rPr>
                <w:rFonts w:ascii="Times New Roman" w:hAnsi="Times New Roman"/>
                <w:color w:val="000000"/>
                <w:sz w:val="18"/>
                <w:szCs w:val="18"/>
                <w:lang w:eastAsia="sk-SK"/>
              </w:rPr>
              <w:t>Materiál</w:t>
            </w:r>
          </w:p>
        </w:tc>
        <w:tc>
          <w:tcPr>
            <w:tcW w:w="1042" w:type="pct"/>
            <w:tcBorders>
              <w:top w:val="nil"/>
              <w:left w:val="nil"/>
              <w:bottom w:val="nil"/>
              <w:right w:val="nil"/>
            </w:tcBorders>
            <w:vAlign w:val="center"/>
            <w:hideMark/>
          </w:tcPr>
          <w:p w14:paraId="52AEF012" w14:textId="77777777" w:rsidR="00A22685" w:rsidRPr="00A22685" w:rsidRDefault="00A22685" w:rsidP="00A22685">
            <w:pPr>
              <w:spacing w:after="0" w:line="240" w:lineRule="auto"/>
              <w:jc w:val="right"/>
              <w:rPr>
                <w:rFonts w:ascii="Times New Roman" w:hAnsi="Times New Roman"/>
                <w:color w:val="000000"/>
                <w:sz w:val="18"/>
                <w:szCs w:val="18"/>
                <w:lang w:eastAsia="sk-SK"/>
              </w:rPr>
            </w:pPr>
            <w:r w:rsidRPr="00A22685">
              <w:rPr>
                <w:rFonts w:ascii="Times New Roman" w:hAnsi="Times New Roman"/>
                <w:color w:val="000000"/>
                <w:sz w:val="18"/>
                <w:szCs w:val="18"/>
                <w:lang w:eastAsia="sk-SK"/>
              </w:rPr>
              <w:t>1 352 671</w:t>
            </w:r>
          </w:p>
        </w:tc>
        <w:tc>
          <w:tcPr>
            <w:tcW w:w="1042" w:type="pct"/>
            <w:tcBorders>
              <w:top w:val="nil"/>
              <w:left w:val="nil"/>
              <w:bottom w:val="nil"/>
              <w:right w:val="nil"/>
            </w:tcBorders>
            <w:vAlign w:val="center"/>
            <w:hideMark/>
          </w:tcPr>
          <w:p w14:paraId="1C3CBC02" w14:textId="77777777" w:rsidR="00A22685" w:rsidRPr="00A22685" w:rsidRDefault="00A22685" w:rsidP="00A22685">
            <w:pPr>
              <w:spacing w:after="0" w:line="240" w:lineRule="auto"/>
              <w:jc w:val="right"/>
              <w:rPr>
                <w:rFonts w:ascii="Times New Roman" w:hAnsi="Times New Roman"/>
                <w:color w:val="000000"/>
                <w:sz w:val="18"/>
                <w:szCs w:val="18"/>
                <w:lang w:eastAsia="sk-SK"/>
              </w:rPr>
            </w:pPr>
            <w:r w:rsidRPr="00A22685">
              <w:rPr>
                <w:rFonts w:ascii="Times New Roman" w:hAnsi="Times New Roman"/>
                <w:color w:val="000000"/>
                <w:sz w:val="18"/>
                <w:szCs w:val="18"/>
                <w:lang w:eastAsia="sk-SK"/>
              </w:rPr>
              <w:t>1 220 764</w:t>
            </w:r>
          </w:p>
        </w:tc>
        <w:tc>
          <w:tcPr>
            <w:tcW w:w="1042" w:type="pct"/>
            <w:tcBorders>
              <w:top w:val="nil"/>
              <w:left w:val="nil"/>
              <w:bottom w:val="nil"/>
              <w:right w:val="nil"/>
            </w:tcBorders>
            <w:vAlign w:val="center"/>
            <w:hideMark/>
          </w:tcPr>
          <w:p w14:paraId="6105478E" w14:textId="77777777" w:rsidR="00A22685" w:rsidRPr="00A22685" w:rsidRDefault="00A22685" w:rsidP="00A22685">
            <w:pPr>
              <w:spacing w:after="0" w:line="240" w:lineRule="auto"/>
              <w:jc w:val="right"/>
              <w:rPr>
                <w:rFonts w:ascii="Times New Roman" w:hAnsi="Times New Roman"/>
                <w:color w:val="000000"/>
                <w:sz w:val="18"/>
                <w:szCs w:val="18"/>
                <w:lang w:eastAsia="sk-SK"/>
              </w:rPr>
            </w:pPr>
            <w:r w:rsidRPr="00A22685">
              <w:rPr>
                <w:rFonts w:ascii="Times New Roman" w:hAnsi="Times New Roman"/>
                <w:color w:val="000000"/>
                <w:sz w:val="18"/>
                <w:szCs w:val="18"/>
                <w:lang w:eastAsia="sk-SK"/>
              </w:rPr>
              <w:t>131 907</w:t>
            </w:r>
          </w:p>
        </w:tc>
      </w:tr>
      <w:tr w:rsidR="00A22685" w:rsidRPr="00A22685" w14:paraId="2B3F2FC0" w14:textId="77777777" w:rsidTr="0085799C">
        <w:trPr>
          <w:trHeight w:val="227"/>
          <w:jc w:val="center"/>
        </w:trPr>
        <w:tc>
          <w:tcPr>
            <w:tcW w:w="1875" w:type="pct"/>
            <w:tcBorders>
              <w:top w:val="nil"/>
              <w:left w:val="nil"/>
              <w:bottom w:val="nil"/>
              <w:right w:val="nil"/>
            </w:tcBorders>
            <w:vAlign w:val="center"/>
            <w:hideMark/>
          </w:tcPr>
          <w:p w14:paraId="15FE207C" w14:textId="77777777" w:rsidR="00A22685" w:rsidRPr="00A22685" w:rsidRDefault="00A22685" w:rsidP="00A22685">
            <w:pPr>
              <w:spacing w:after="0" w:line="240" w:lineRule="auto"/>
              <w:rPr>
                <w:rFonts w:ascii="Times New Roman" w:hAnsi="Times New Roman"/>
                <w:color w:val="000000"/>
                <w:sz w:val="18"/>
                <w:szCs w:val="18"/>
                <w:lang w:eastAsia="sk-SK"/>
              </w:rPr>
            </w:pPr>
            <w:r w:rsidRPr="00A22685">
              <w:rPr>
                <w:rFonts w:ascii="Times New Roman" w:hAnsi="Times New Roman"/>
                <w:color w:val="000000"/>
                <w:sz w:val="18"/>
                <w:szCs w:val="18"/>
                <w:lang w:eastAsia="sk-SK"/>
              </w:rPr>
              <w:t>Výrobky  </w:t>
            </w:r>
          </w:p>
        </w:tc>
        <w:tc>
          <w:tcPr>
            <w:tcW w:w="1042" w:type="pct"/>
            <w:tcBorders>
              <w:top w:val="nil"/>
              <w:left w:val="nil"/>
              <w:bottom w:val="nil"/>
              <w:right w:val="nil"/>
            </w:tcBorders>
            <w:vAlign w:val="center"/>
            <w:hideMark/>
          </w:tcPr>
          <w:p w14:paraId="5130EC0B" w14:textId="77777777" w:rsidR="00A22685" w:rsidRPr="00A22685" w:rsidRDefault="00A22685" w:rsidP="00A22685">
            <w:pPr>
              <w:spacing w:after="0" w:line="240" w:lineRule="auto"/>
              <w:jc w:val="right"/>
              <w:rPr>
                <w:rFonts w:ascii="Times New Roman" w:hAnsi="Times New Roman"/>
                <w:color w:val="000000"/>
                <w:sz w:val="18"/>
                <w:szCs w:val="18"/>
                <w:lang w:eastAsia="sk-SK"/>
              </w:rPr>
            </w:pPr>
            <w:r w:rsidRPr="00A22685">
              <w:rPr>
                <w:rFonts w:ascii="Times New Roman" w:hAnsi="Times New Roman"/>
                <w:color w:val="000000"/>
                <w:sz w:val="18"/>
                <w:szCs w:val="18"/>
                <w:lang w:eastAsia="sk-SK"/>
              </w:rPr>
              <w:t>587 086</w:t>
            </w:r>
          </w:p>
        </w:tc>
        <w:tc>
          <w:tcPr>
            <w:tcW w:w="1042" w:type="pct"/>
            <w:tcBorders>
              <w:top w:val="nil"/>
              <w:left w:val="nil"/>
              <w:bottom w:val="nil"/>
              <w:right w:val="nil"/>
            </w:tcBorders>
            <w:vAlign w:val="center"/>
            <w:hideMark/>
          </w:tcPr>
          <w:p w14:paraId="5CDC4846" w14:textId="77777777" w:rsidR="00A22685" w:rsidRPr="00A22685" w:rsidRDefault="00A22685" w:rsidP="00A22685">
            <w:pPr>
              <w:spacing w:after="0" w:line="240" w:lineRule="auto"/>
              <w:jc w:val="right"/>
              <w:rPr>
                <w:rFonts w:ascii="Times New Roman" w:hAnsi="Times New Roman"/>
                <w:color w:val="000000"/>
                <w:sz w:val="18"/>
                <w:szCs w:val="18"/>
                <w:lang w:eastAsia="sk-SK"/>
              </w:rPr>
            </w:pPr>
            <w:r w:rsidRPr="00A22685">
              <w:rPr>
                <w:rFonts w:ascii="Times New Roman" w:hAnsi="Times New Roman"/>
                <w:color w:val="000000"/>
                <w:sz w:val="18"/>
                <w:szCs w:val="18"/>
                <w:lang w:eastAsia="sk-SK"/>
              </w:rPr>
              <w:t>603 262</w:t>
            </w:r>
          </w:p>
        </w:tc>
        <w:tc>
          <w:tcPr>
            <w:tcW w:w="1042" w:type="pct"/>
            <w:tcBorders>
              <w:top w:val="nil"/>
              <w:left w:val="nil"/>
              <w:bottom w:val="nil"/>
              <w:right w:val="nil"/>
            </w:tcBorders>
            <w:vAlign w:val="center"/>
            <w:hideMark/>
          </w:tcPr>
          <w:p w14:paraId="09CD7CF3" w14:textId="77777777" w:rsidR="00A22685" w:rsidRPr="00A22685" w:rsidRDefault="00A22685" w:rsidP="00A22685">
            <w:pPr>
              <w:spacing w:after="0" w:line="240" w:lineRule="auto"/>
              <w:jc w:val="right"/>
              <w:rPr>
                <w:rFonts w:ascii="Times New Roman" w:hAnsi="Times New Roman"/>
                <w:color w:val="000000"/>
                <w:sz w:val="18"/>
                <w:szCs w:val="18"/>
                <w:lang w:eastAsia="sk-SK"/>
              </w:rPr>
            </w:pPr>
            <w:r w:rsidRPr="00A22685">
              <w:rPr>
                <w:rFonts w:ascii="Times New Roman" w:hAnsi="Times New Roman"/>
                <w:color w:val="000000"/>
                <w:sz w:val="18"/>
                <w:szCs w:val="18"/>
                <w:lang w:eastAsia="sk-SK"/>
              </w:rPr>
              <w:t>-16 176</w:t>
            </w:r>
          </w:p>
        </w:tc>
      </w:tr>
      <w:tr w:rsidR="00A22685" w:rsidRPr="00A22685" w14:paraId="4BA24132" w14:textId="77777777" w:rsidTr="0085799C">
        <w:trPr>
          <w:trHeight w:val="227"/>
          <w:jc w:val="center"/>
        </w:trPr>
        <w:tc>
          <w:tcPr>
            <w:tcW w:w="1875" w:type="pct"/>
            <w:tcBorders>
              <w:top w:val="nil"/>
              <w:left w:val="nil"/>
              <w:bottom w:val="nil"/>
              <w:right w:val="nil"/>
            </w:tcBorders>
            <w:vAlign w:val="center"/>
            <w:hideMark/>
          </w:tcPr>
          <w:p w14:paraId="32179871" w14:textId="77777777" w:rsidR="00A22685" w:rsidRPr="00A22685" w:rsidRDefault="00A22685" w:rsidP="00A22685">
            <w:pPr>
              <w:spacing w:after="0" w:line="240" w:lineRule="auto"/>
              <w:rPr>
                <w:rFonts w:ascii="Times New Roman" w:hAnsi="Times New Roman"/>
                <w:color w:val="000000"/>
                <w:sz w:val="18"/>
                <w:szCs w:val="18"/>
                <w:lang w:eastAsia="sk-SK"/>
              </w:rPr>
            </w:pPr>
            <w:r w:rsidRPr="00A22685">
              <w:rPr>
                <w:rFonts w:ascii="Times New Roman" w:hAnsi="Times New Roman"/>
                <w:color w:val="000000"/>
                <w:sz w:val="18"/>
                <w:szCs w:val="18"/>
                <w:lang w:eastAsia="sk-SK"/>
              </w:rPr>
              <w:t>Tovar</w:t>
            </w:r>
          </w:p>
        </w:tc>
        <w:tc>
          <w:tcPr>
            <w:tcW w:w="1042" w:type="pct"/>
            <w:tcBorders>
              <w:top w:val="nil"/>
              <w:left w:val="nil"/>
              <w:bottom w:val="nil"/>
              <w:right w:val="nil"/>
            </w:tcBorders>
            <w:vAlign w:val="center"/>
            <w:hideMark/>
          </w:tcPr>
          <w:p w14:paraId="4E3FE9A9" w14:textId="77777777" w:rsidR="00A22685" w:rsidRPr="00A22685" w:rsidRDefault="00A22685" w:rsidP="00A22685">
            <w:pPr>
              <w:spacing w:after="0" w:line="240" w:lineRule="auto"/>
              <w:jc w:val="right"/>
              <w:rPr>
                <w:rFonts w:ascii="Times New Roman" w:hAnsi="Times New Roman"/>
                <w:color w:val="000000"/>
                <w:sz w:val="18"/>
                <w:szCs w:val="18"/>
                <w:lang w:eastAsia="sk-SK"/>
              </w:rPr>
            </w:pPr>
            <w:r w:rsidRPr="00A22685">
              <w:rPr>
                <w:rFonts w:ascii="Times New Roman" w:hAnsi="Times New Roman"/>
                <w:color w:val="000000"/>
                <w:sz w:val="18"/>
                <w:szCs w:val="18"/>
                <w:lang w:eastAsia="sk-SK"/>
              </w:rPr>
              <w:t>40 062</w:t>
            </w:r>
          </w:p>
        </w:tc>
        <w:tc>
          <w:tcPr>
            <w:tcW w:w="1042" w:type="pct"/>
            <w:tcBorders>
              <w:top w:val="nil"/>
              <w:left w:val="nil"/>
              <w:bottom w:val="nil"/>
              <w:right w:val="nil"/>
            </w:tcBorders>
            <w:vAlign w:val="center"/>
            <w:hideMark/>
          </w:tcPr>
          <w:p w14:paraId="04F3E498" w14:textId="77777777" w:rsidR="00A22685" w:rsidRPr="00A22685" w:rsidRDefault="00A22685" w:rsidP="00A22685">
            <w:pPr>
              <w:spacing w:after="0" w:line="240" w:lineRule="auto"/>
              <w:jc w:val="right"/>
              <w:rPr>
                <w:rFonts w:ascii="Times New Roman" w:hAnsi="Times New Roman"/>
                <w:color w:val="000000"/>
                <w:sz w:val="18"/>
                <w:szCs w:val="18"/>
                <w:lang w:eastAsia="sk-SK"/>
              </w:rPr>
            </w:pPr>
            <w:r w:rsidRPr="00A22685">
              <w:rPr>
                <w:rFonts w:ascii="Times New Roman" w:hAnsi="Times New Roman"/>
                <w:color w:val="000000"/>
                <w:sz w:val="18"/>
                <w:szCs w:val="18"/>
                <w:lang w:eastAsia="sk-SK"/>
              </w:rPr>
              <w:t>147 634</w:t>
            </w:r>
          </w:p>
        </w:tc>
        <w:tc>
          <w:tcPr>
            <w:tcW w:w="1042" w:type="pct"/>
            <w:tcBorders>
              <w:top w:val="nil"/>
              <w:left w:val="nil"/>
              <w:bottom w:val="nil"/>
              <w:right w:val="nil"/>
            </w:tcBorders>
            <w:vAlign w:val="center"/>
            <w:hideMark/>
          </w:tcPr>
          <w:p w14:paraId="1B9559C9" w14:textId="77777777" w:rsidR="00A22685" w:rsidRPr="00A22685" w:rsidRDefault="00A22685" w:rsidP="00A22685">
            <w:pPr>
              <w:spacing w:after="0" w:line="240" w:lineRule="auto"/>
              <w:jc w:val="right"/>
              <w:rPr>
                <w:rFonts w:ascii="Times New Roman" w:hAnsi="Times New Roman"/>
                <w:color w:val="000000"/>
                <w:sz w:val="18"/>
                <w:szCs w:val="18"/>
                <w:lang w:eastAsia="sk-SK"/>
              </w:rPr>
            </w:pPr>
            <w:r w:rsidRPr="00A22685">
              <w:rPr>
                <w:rFonts w:ascii="Times New Roman" w:hAnsi="Times New Roman"/>
                <w:color w:val="000000"/>
                <w:sz w:val="18"/>
                <w:szCs w:val="18"/>
                <w:lang w:eastAsia="sk-SK"/>
              </w:rPr>
              <w:t>-107 572</w:t>
            </w:r>
          </w:p>
        </w:tc>
      </w:tr>
      <w:tr w:rsidR="00A22685" w:rsidRPr="00A22685" w14:paraId="0FD16EA4" w14:textId="77777777" w:rsidTr="0085799C">
        <w:trPr>
          <w:trHeight w:val="227"/>
          <w:jc w:val="center"/>
        </w:trPr>
        <w:tc>
          <w:tcPr>
            <w:tcW w:w="1875" w:type="pct"/>
            <w:tcBorders>
              <w:top w:val="nil"/>
              <w:left w:val="nil"/>
              <w:bottom w:val="single" w:sz="8" w:space="0" w:color="auto"/>
              <w:right w:val="nil"/>
            </w:tcBorders>
            <w:vAlign w:val="center"/>
            <w:hideMark/>
          </w:tcPr>
          <w:p w14:paraId="2AABF874" w14:textId="77777777" w:rsidR="00A22685" w:rsidRPr="00A22685" w:rsidRDefault="00A22685" w:rsidP="00A22685">
            <w:pPr>
              <w:spacing w:after="0" w:line="240" w:lineRule="auto"/>
              <w:rPr>
                <w:rFonts w:ascii="Times New Roman" w:hAnsi="Times New Roman"/>
                <w:color w:val="000000"/>
                <w:sz w:val="18"/>
                <w:szCs w:val="18"/>
                <w:lang w:eastAsia="sk-SK"/>
              </w:rPr>
            </w:pPr>
            <w:r w:rsidRPr="00A22685">
              <w:rPr>
                <w:rFonts w:ascii="Times New Roman" w:hAnsi="Times New Roman"/>
                <w:color w:val="000000"/>
                <w:sz w:val="18"/>
                <w:szCs w:val="18"/>
                <w:lang w:eastAsia="sk-SK"/>
              </w:rPr>
              <w:t>Ostatné zásoby</w:t>
            </w:r>
          </w:p>
        </w:tc>
        <w:tc>
          <w:tcPr>
            <w:tcW w:w="1042" w:type="pct"/>
            <w:tcBorders>
              <w:top w:val="nil"/>
              <w:left w:val="nil"/>
              <w:bottom w:val="single" w:sz="8" w:space="0" w:color="auto"/>
              <w:right w:val="nil"/>
            </w:tcBorders>
            <w:vAlign w:val="center"/>
            <w:hideMark/>
          </w:tcPr>
          <w:p w14:paraId="22673317" w14:textId="77777777" w:rsidR="00A22685" w:rsidRPr="00A22685" w:rsidRDefault="00A22685" w:rsidP="00A22685">
            <w:pPr>
              <w:spacing w:after="0" w:line="240" w:lineRule="auto"/>
              <w:jc w:val="right"/>
              <w:rPr>
                <w:rFonts w:ascii="Times New Roman" w:hAnsi="Times New Roman"/>
                <w:color w:val="000000"/>
                <w:sz w:val="18"/>
                <w:szCs w:val="18"/>
                <w:lang w:eastAsia="sk-SK"/>
              </w:rPr>
            </w:pPr>
            <w:r w:rsidRPr="00A22685">
              <w:rPr>
                <w:rFonts w:ascii="Times New Roman" w:hAnsi="Times New Roman"/>
                <w:color w:val="000000"/>
                <w:sz w:val="18"/>
                <w:szCs w:val="18"/>
                <w:lang w:eastAsia="sk-SK"/>
              </w:rPr>
              <w:t>46 198</w:t>
            </w:r>
          </w:p>
        </w:tc>
        <w:tc>
          <w:tcPr>
            <w:tcW w:w="1042" w:type="pct"/>
            <w:tcBorders>
              <w:top w:val="nil"/>
              <w:left w:val="nil"/>
              <w:bottom w:val="single" w:sz="8" w:space="0" w:color="auto"/>
              <w:right w:val="nil"/>
            </w:tcBorders>
            <w:vAlign w:val="center"/>
            <w:hideMark/>
          </w:tcPr>
          <w:p w14:paraId="6C1FAEA1" w14:textId="77777777" w:rsidR="00A22685" w:rsidRPr="00A22685" w:rsidRDefault="00A22685" w:rsidP="00A22685">
            <w:pPr>
              <w:spacing w:after="0" w:line="240" w:lineRule="auto"/>
              <w:jc w:val="right"/>
              <w:rPr>
                <w:rFonts w:ascii="Times New Roman" w:hAnsi="Times New Roman"/>
                <w:color w:val="000000"/>
                <w:sz w:val="18"/>
                <w:szCs w:val="18"/>
                <w:lang w:eastAsia="sk-SK"/>
              </w:rPr>
            </w:pPr>
            <w:r w:rsidRPr="00A22685">
              <w:rPr>
                <w:rFonts w:ascii="Times New Roman" w:hAnsi="Times New Roman"/>
                <w:color w:val="000000"/>
                <w:sz w:val="18"/>
                <w:szCs w:val="18"/>
                <w:lang w:eastAsia="sk-SK"/>
              </w:rPr>
              <w:t>191 155</w:t>
            </w:r>
          </w:p>
        </w:tc>
        <w:tc>
          <w:tcPr>
            <w:tcW w:w="1042" w:type="pct"/>
            <w:tcBorders>
              <w:top w:val="nil"/>
              <w:left w:val="nil"/>
              <w:bottom w:val="nil"/>
              <w:right w:val="nil"/>
            </w:tcBorders>
            <w:vAlign w:val="center"/>
            <w:hideMark/>
          </w:tcPr>
          <w:p w14:paraId="167B35F3" w14:textId="77777777" w:rsidR="00A22685" w:rsidRPr="00A22685" w:rsidRDefault="00A22685" w:rsidP="00A22685">
            <w:pPr>
              <w:spacing w:after="0" w:line="240" w:lineRule="auto"/>
              <w:jc w:val="right"/>
              <w:rPr>
                <w:rFonts w:ascii="Times New Roman" w:hAnsi="Times New Roman"/>
                <w:color w:val="000000"/>
                <w:sz w:val="18"/>
                <w:szCs w:val="18"/>
                <w:lang w:eastAsia="sk-SK"/>
              </w:rPr>
            </w:pPr>
            <w:r w:rsidRPr="00A22685">
              <w:rPr>
                <w:rFonts w:ascii="Times New Roman" w:hAnsi="Times New Roman"/>
                <w:color w:val="000000"/>
                <w:sz w:val="18"/>
                <w:szCs w:val="18"/>
                <w:lang w:eastAsia="sk-SK"/>
              </w:rPr>
              <w:t>-144 957</w:t>
            </w:r>
          </w:p>
        </w:tc>
      </w:tr>
      <w:tr w:rsidR="00A22685" w:rsidRPr="00A22685" w14:paraId="0EEA3BBD" w14:textId="77777777" w:rsidTr="0085799C">
        <w:trPr>
          <w:trHeight w:val="227"/>
          <w:jc w:val="center"/>
        </w:trPr>
        <w:tc>
          <w:tcPr>
            <w:tcW w:w="1875" w:type="pct"/>
            <w:tcBorders>
              <w:top w:val="nil"/>
              <w:left w:val="nil"/>
              <w:bottom w:val="single" w:sz="8" w:space="0" w:color="000000"/>
              <w:right w:val="nil"/>
            </w:tcBorders>
            <w:vAlign w:val="center"/>
            <w:hideMark/>
          </w:tcPr>
          <w:p w14:paraId="708E485E" w14:textId="77777777" w:rsidR="00A22685" w:rsidRPr="00A22685" w:rsidRDefault="00A22685" w:rsidP="00A22685">
            <w:pPr>
              <w:spacing w:after="0" w:line="240" w:lineRule="auto"/>
              <w:rPr>
                <w:rFonts w:ascii="Times New Roman" w:hAnsi="Times New Roman"/>
                <w:b/>
                <w:bCs/>
                <w:color w:val="000000"/>
                <w:sz w:val="18"/>
                <w:szCs w:val="18"/>
                <w:lang w:eastAsia="sk-SK"/>
              </w:rPr>
            </w:pPr>
            <w:r w:rsidRPr="00A22685">
              <w:rPr>
                <w:rFonts w:ascii="Times New Roman" w:hAnsi="Times New Roman"/>
                <w:b/>
                <w:bCs/>
                <w:color w:val="000000"/>
                <w:sz w:val="18"/>
                <w:szCs w:val="18"/>
                <w:lang w:eastAsia="sk-SK"/>
              </w:rPr>
              <w:t>Spolu</w:t>
            </w:r>
          </w:p>
        </w:tc>
        <w:tc>
          <w:tcPr>
            <w:tcW w:w="1042" w:type="pct"/>
            <w:tcBorders>
              <w:top w:val="nil"/>
              <w:left w:val="nil"/>
              <w:bottom w:val="single" w:sz="8" w:space="0" w:color="auto"/>
              <w:right w:val="nil"/>
            </w:tcBorders>
            <w:vAlign w:val="center"/>
            <w:hideMark/>
          </w:tcPr>
          <w:p w14:paraId="1D7B203B" w14:textId="77777777" w:rsidR="00A22685" w:rsidRPr="00A22685" w:rsidRDefault="00A22685" w:rsidP="00A22685">
            <w:pPr>
              <w:spacing w:after="0" w:line="240" w:lineRule="auto"/>
              <w:jc w:val="right"/>
              <w:rPr>
                <w:rFonts w:ascii="Times New Roman" w:hAnsi="Times New Roman"/>
                <w:b/>
                <w:bCs/>
                <w:color w:val="000000"/>
                <w:sz w:val="18"/>
                <w:szCs w:val="18"/>
                <w:lang w:eastAsia="sk-SK"/>
              </w:rPr>
            </w:pPr>
            <w:r w:rsidRPr="00A22685">
              <w:rPr>
                <w:rFonts w:ascii="Times New Roman" w:hAnsi="Times New Roman"/>
                <w:b/>
                <w:bCs/>
                <w:color w:val="000000"/>
                <w:sz w:val="18"/>
                <w:szCs w:val="18"/>
                <w:lang w:eastAsia="sk-SK"/>
              </w:rPr>
              <w:t>2 026 017</w:t>
            </w:r>
          </w:p>
        </w:tc>
        <w:tc>
          <w:tcPr>
            <w:tcW w:w="1042" w:type="pct"/>
            <w:tcBorders>
              <w:top w:val="nil"/>
              <w:left w:val="nil"/>
              <w:bottom w:val="single" w:sz="8" w:space="0" w:color="auto"/>
              <w:right w:val="nil"/>
            </w:tcBorders>
            <w:vAlign w:val="center"/>
            <w:hideMark/>
          </w:tcPr>
          <w:p w14:paraId="1790486F" w14:textId="77777777" w:rsidR="00A22685" w:rsidRPr="00A22685" w:rsidRDefault="00A22685" w:rsidP="00A22685">
            <w:pPr>
              <w:spacing w:after="0" w:line="240" w:lineRule="auto"/>
              <w:jc w:val="right"/>
              <w:rPr>
                <w:rFonts w:ascii="Times New Roman" w:hAnsi="Times New Roman"/>
                <w:b/>
                <w:bCs/>
                <w:color w:val="000000"/>
                <w:sz w:val="18"/>
                <w:szCs w:val="18"/>
                <w:lang w:eastAsia="sk-SK"/>
              </w:rPr>
            </w:pPr>
            <w:r w:rsidRPr="00A22685">
              <w:rPr>
                <w:rFonts w:ascii="Times New Roman" w:hAnsi="Times New Roman"/>
                <w:b/>
                <w:bCs/>
                <w:color w:val="000000"/>
                <w:sz w:val="18"/>
                <w:szCs w:val="18"/>
                <w:lang w:eastAsia="sk-SK"/>
              </w:rPr>
              <w:t>2 162 815</w:t>
            </w:r>
          </w:p>
        </w:tc>
        <w:tc>
          <w:tcPr>
            <w:tcW w:w="1042" w:type="pct"/>
            <w:tcBorders>
              <w:top w:val="single" w:sz="8" w:space="0" w:color="000000"/>
              <w:left w:val="nil"/>
              <w:bottom w:val="single" w:sz="8" w:space="0" w:color="000000"/>
              <w:right w:val="nil"/>
            </w:tcBorders>
            <w:vAlign w:val="center"/>
            <w:hideMark/>
          </w:tcPr>
          <w:p w14:paraId="15378B5D" w14:textId="77777777" w:rsidR="00A22685" w:rsidRPr="00A22685" w:rsidRDefault="00A22685" w:rsidP="00A22685">
            <w:pPr>
              <w:spacing w:after="0" w:line="240" w:lineRule="auto"/>
              <w:jc w:val="right"/>
              <w:rPr>
                <w:rFonts w:ascii="Times New Roman" w:hAnsi="Times New Roman"/>
                <w:b/>
                <w:bCs/>
                <w:color w:val="000000"/>
                <w:sz w:val="18"/>
                <w:szCs w:val="18"/>
                <w:lang w:eastAsia="sk-SK"/>
              </w:rPr>
            </w:pPr>
            <w:r w:rsidRPr="00A22685">
              <w:rPr>
                <w:rFonts w:ascii="Times New Roman" w:hAnsi="Times New Roman"/>
                <w:b/>
                <w:bCs/>
                <w:color w:val="000000"/>
                <w:sz w:val="18"/>
                <w:szCs w:val="18"/>
                <w:lang w:eastAsia="sk-SK"/>
              </w:rPr>
              <w:t>-136 798</w:t>
            </w:r>
          </w:p>
        </w:tc>
      </w:tr>
      <w:tr w:rsidR="00A22685" w:rsidRPr="00A22685" w14:paraId="3B768D4E" w14:textId="77777777" w:rsidTr="0085799C">
        <w:trPr>
          <w:trHeight w:val="227"/>
          <w:jc w:val="center"/>
        </w:trPr>
        <w:tc>
          <w:tcPr>
            <w:tcW w:w="5000" w:type="pct"/>
            <w:gridSpan w:val="4"/>
            <w:tcBorders>
              <w:top w:val="single" w:sz="8" w:space="0" w:color="000000"/>
              <w:left w:val="nil"/>
              <w:bottom w:val="nil"/>
              <w:right w:val="nil"/>
            </w:tcBorders>
            <w:noWrap/>
            <w:vAlign w:val="center"/>
            <w:hideMark/>
          </w:tcPr>
          <w:p w14:paraId="4B028A0A" w14:textId="77777777" w:rsidR="00A22685" w:rsidRPr="00A22685" w:rsidRDefault="00A22685" w:rsidP="00A22685">
            <w:pPr>
              <w:spacing w:after="0" w:line="240" w:lineRule="auto"/>
              <w:jc w:val="right"/>
              <w:rPr>
                <w:rFonts w:ascii="Times New Roman" w:hAnsi="Times New Roman"/>
                <w:color w:val="000000"/>
                <w:sz w:val="16"/>
                <w:szCs w:val="16"/>
                <w:lang w:eastAsia="sk-SK"/>
              </w:rPr>
            </w:pPr>
            <w:r w:rsidRPr="00A22685">
              <w:rPr>
                <w:rFonts w:ascii="Times New Roman" w:hAnsi="Times New Roman"/>
                <w:color w:val="000000"/>
                <w:sz w:val="16"/>
                <w:szCs w:val="16"/>
                <w:lang w:eastAsia="sk-SK"/>
              </w:rPr>
              <w:t>Zdroj: MF SR, Centrálny konsolidačný systém</w:t>
            </w:r>
          </w:p>
        </w:tc>
      </w:tr>
    </w:tbl>
    <w:p w14:paraId="5196CC95" w14:textId="491252A0" w:rsidR="00647542" w:rsidRPr="0085799C" w:rsidRDefault="00647542" w:rsidP="0085799C">
      <w:pPr>
        <w:spacing w:after="120" w:line="240" w:lineRule="auto"/>
        <w:rPr>
          <w:rFonts w:ascii="Times New Roman" w:hAnsi="Times New Roman"/>
          <w:szCs w:val="22"/>
        </w:rPr>
      </w:pPr>
    </w:p>
    <w:p w14:paraId="21334D0B" w14:textId="019A8154" w:rsidR="00647542" w:rsidRPr="00907622" w:rsidRDefault="00647542" w:rsidP="00651F00">
      <w:pPr>
        <w:spacing w:after="120" w:line="240" w:lineRule="auto"/>
        <w:jc w:val="both"/>
        <w:rPr>
          <w:rFonts w:ascii="Times New Roman" w:hAnsi="Times New Roman"/>
          <w:bCs/>
          <w:szCs w:val="22"/>
          <w:lang w:eastAsia="sk-SK"/>
        </w:rPr>
      </w:pPr>
      <w:r w:rsidRPr="00907622">
        <w:rPr>
          <w:rFonts w:ascii="Times New Roman" w:hAnsi="Times New Roman"/>
          <w:bCs/>
          <w:szCs w:val="22"/>
          <w:lang w:eastAsia="sk-SK"/>
        </w:rPr>
        <w:t>Hodnota zásob je medziročne nižšia o</w:t>
      </w:r>
      <w:r w:rsidR="002F5BAB" w:rsidRPr="00F7655F">
        <w:rPr>
          <w:rFonts w:ascii="Times New Roman" w:hAnsi="Times New Roman"/>
          <w:szCs w:val="22"/>
          <w:lang w:eastAsia="sk-SK"/>
        </w:rPr>
        <w:t xml:space="preserve"> 136 798 </w:t>
      </w:r>
      <w:r w:rsidRPr="00907622">
        <w:rPr>
          <w:rFonts w:ascii="Times New Roman" w:hAnsi="Times New Roman"/>
          <w:bCs/>
          <w:szCs w:val="22"/>
          <w:lang w:eastAsia="sk-SK"/>
        </w:rPr>
        <w:t>tis. eur najmä z dôvodu</w:t>
      </w:r>
      <w:r w:rsidRPr="00907622">
        <w:rPr>
          <w:rFonts w:ascii="Times New Roman" w:hAnsi="Times New Roman"/>
          <w:bCs/>
          <w:color w:val="FF0000"/>
          <w:szCs w:val="22"/>
          <w:lang w:eastAsia="sk-SK"/>
        </w:rPr>
        <w:t xml:space="preserve"> </w:t>
      </w:r>
      <w:r w:rsidRPr="00907622">
        <w:rPr>
          <w:rFonts w:ascii="Times New Roman" w:hAnsi="Times New Roman"/>
          <w:bCs/>
          <w:szCs w:val="22"/>
          <w:lang w:eastAsia="sk-SK"/>
        </w:rPr>
        <w:t xml:space="preserve">zníženia hodnoty </w:t>
      </w:r>
      <w:r w:rsidR="00D562E7" w:rsidRPr="00F7655F">
        <w:rPr>
          <w:rFonts w:ascii="Times New Roman" w:hAnsi="Times New Roman"/>
          <w:szCs w:val="22"/>
          <w:lang w:eastAsia="sk-SK"/>
        </w:rPr>
        <w:t xml:space="preserve">ostatných zásob </w:t>
      </w:r>
      <w:r w:rsidRPr="00907622">
        <w:rPr>
          <w:rFonts w:ascii="Times New Roman" w:hAnsi="Times New Roman"/>
          <w:bCs/>
          <w:szCs w:val="22"/>
          <w:lang w:eastAsia="sk-SK"/>
        </w:rPr>
        <w:t>o</w:t>
      </w:r>
      <w:r w:rsidR="00D562E7" w:rsidRPr="00F7655F">
        <w:rPr>
          <w:rFonts w:ascii="Times New Roman" w:hAnsi="Times New Roman"/>
          <w:szCs w:val="22"/>
          <w:lang w:eastAsia="sk-SK"/>
        </w:rPr>
        <w:t> 144 957</w:t>
      </w:r>
      <w:r w:rsidRPr="00907622">
        <w:rPr>
          <w:rFonts w:ascii="Times New Roman" w:hAnsi="Times New Roman"/>
          <w:bCs/>
          <w:szCs w:val="22"/>
          <w:lang w:eastAsia="sk-SK"/>
        </w:rPr>
        <w:t xml:space="preserve"> tis. eur a </w:t>
      </w:r>
      <w:r w:rsidR="00D562E7" w:rsidRPr="00F7655F">
        <w:rPr>
          <w:rFonts w:ascii="Times New Roman" w:hAnsi="Times New Roman"/>
          <w:szCs w:val="22"/>
          <w:lang w:eastAsia="sk-SK"/>
        </w:rPr>
        <w:t xml:space="preserve">tovaru </w:t>
      </w:r>
      <w:r w:rsidRPr="00907622">
        <w:rPr>
          <w:rFonts w:ascii="Times New Roman" w:hAnsi="Times New Roman"/>
          <w:bCs/>
          <w:szCs w:val="22"/>
          <w:lang w:eastAsia="sk-SK"/>
        </w:rPr>
        <w:t>o</w:t>
      </w:r>
      <w:r w:rsidR="00D562E7" w:rsidRPr="00F7655F">
        <w:rPr>
          <w:rFonts w:ascii="Times New Roman" w:hAnsi="Times New Roman"/>
          <w:szCs w:val="22"/>
          <w:lang w:eastAsia="sk-SK"/>
        </w:rPr>
        <w:t> 107 572</w:t>
      </w:r>
      <w:r w:rsidRPr="00907622">
        <w:rPr>
          <w:rFonts w:ascii="Times New Roman" w:hAnsi="Times New Roman"/>
          <w:bCs/>
          <w:szCs w:val="22"/>
          <w:lang w:eastAsia="sk-SK"/>
        </w:rPr>
        <w:t xml:space="preserve"> tis. eur, pričom hodnota </w:t>
      </w:r>
      <w:r w:rsidR="00A24AD1" w:rsidRPr="00F7655F">
        <w:rPr>
          <w:rFonts w:ascii="Times New Roman" w:hAnsi="Times New Roman"/>
          <w:szCs w:val="22"/>
          <w:lang w:eastAsia="sk-SK"/>
        </w:rPr>
        <w:t>materiálu</w:t>
      </w:r>
      <w:r w:rsidRPr="00907622">
        <w:rPr>
          <w:rFonts w:ascii="Times New Roman" w:hAnsi="Times New Roman"/>
          <w:bCs/>
          <w:szCs w:val="22"/>
          <w:lang w:eastAsia="sk-SK"/>
        </w:rPr>
        <w:t xml:space="preserve"> sa zvýšila o</w:t>
      </w:r>
      <w:r w:rsidR="00A24AD1" w:rsidRPr="00F7655F">
        <w:rPr>
          <w:rFonts w:ascii="Times New Roman" w:hAnsi="Times New Roman"/>
          <w:szCs w:val="22"/>
          <w:lang w:eastAsia="sk-SK"/>
        </w:rPr>
        <w:t> 131 907 tis.</w:t>
      </w:r>
      <w:r w:rsidRPr="00907622">
        <w:rPr>
          <w:rFonts w:ascii="Times New Roman" w:hAnsi="Times New Roman"/>
          <w:bCs/>
          <w:szCs w:val="22"/>
          <w:lang w:eastAsia="sk-SK"/>
        </w:rPr>
        <w:t xml:space="preserve"> eur.</w:t>
      </w:r>
    </w:p>
    <w:p w14:paraId="481F5B77" w14:textId="32CE382E" w:rsidR="00647542" w:rsidRPr="00907622" w:rsidRDefault="00647542" w:rsidP="00651F00">
      <w:pPr>
        <w:spacing w:after="120" w:line="240" w:lineRule="auto"/>
        <w:jc w:val="both"/>
        <w:rPr>
          <w:rFonts w:ascii="Times New Roman" w:hAnsi="Times New Roman"/>
          <w:bCs/>
          <w:szCs w:val="22"/>
          <w:lang w:eastAsia="sk-SK"/>
        </w:rPr>
      </w:pPr>
      <w:r w:rsidRPr="00907622">
        <w:rPr>
          <w:rFonts w:ascii="Times New Roman" w:hAnsi="Times New Roman"/>
          <w:bCs/>
          <w:szCs w:val="22"/>
          <w:lang w:eastAsia="sk-SK"/>
        </w:rPr>
        <w:t xml:space="preserve">Na celkovej hodnote zásob sa podieľa najmä ústredná správa </w:t>
      </w:r>
      <w:r w:rsidR="00745651" w:rsidRPr="00F7655F">
        <w:rPr>
          <w:rFonts w:ascii="Times New Roman" w:hAnsi="Times New Roman"/>
          <w:szCs w:val="22"/>
          <w:lang w:eastAsia="sk-SK"/>
        </w:rPr>
        <w:t>78,8</w:t>
      </w:r>
      <w:r w:rsidRPr="00907622">
        <w:rPr>
          <w:rFonts w:ascii="Times New Roman" w:hAnsi="Times New Roman"/>
          <w:bCs/>
          <w:szCs w:val="22"/>
          <w:lang w:eastAsia="sk-SK"/>
        </w:rPr>
        <w:t xml:space="preserve"> % (v absolútnom vyjadrení je to </w:t>
      </w:r>
      <w:r w:rsidR="00CB0650" w:rsidRPr="00F7655F">
        <w:rPr>
          <w:rFonts w:ascii="Times New Roman" w:hAnsi="Times New Roman"/>
          <w:szCs w:val="22"/>
          <w:lang w:eastAsia="sk-SK"/>
        </w:rPr>
        <w:t>1</w:t>
      </w:r>
      <w:r w:rsidR="00475C8B">
        <w:rPr>
          <w:rFonts w:ascii="Times New Roman" w:hAnsi="Times New Roman"/>
          <w:szCs w:val="22"/>
          <w:lang w:eastAsia="sk-SK"/>
        </w:rPr>
        <w:t> </w:t>
      </w:r>
      <w:r w:rsidR="00CB0650" w:rsidRPr="00F7655F">
        <w:rPr>
          <w:rFonts w:ascii="Times New Roman" w:hAnsi="Times New Roman"/>
          <w:szCs w:val="22"/>
          <w:lang w:eastAsia="sk-SK"/>
        </w:rPr>
        <w:t>927</w:t>
      </w:r>
      <w:r w:rsidR="00475C8B">
        <w:rPr>
          <w:rFonts w:ascii="Times New Roman" w:hAnsi="Times New Roman"/>
          <w:szCs w:val="22"/>
          <w:lang w:eastAsia="sk-SK"/>
        </w:rPr>
        <w:t> </w:t>
      </w:r>
      <w:r w:rsidR="00CB0650" w:rsidRPr="00F7655F">
        <w:rPr>
          <w:rFonts w:ascii="Times New Roman" w:hAnsi="Times New Roman"/>
          <w:szCs w:val="22"/>
          <w:lang w:eastAsia="sk-SK"/>
        </w:rPr>
        <w:t>81</w:t>
      </w:r>
      <w:r w:rsidR="00EC7F8E" w:rsidRPr="00F7655F">
        <w:rPr>
          <w:rFonts w:ascii="Times New Roman" w:hAnsi="Times New Roman"/>
          <w:szCs w:val="22"/>
          <w:lang w:eastAsia="sk-SK"/>
        </w:rPr>
        <w:t>4</w:t>
      </w:r>
      <w:r w:rsidRPr="00907622">
        <w:rPr>
          <w:rFonts w:ascii="Times New Roman" w:hAnsi="Times New Roman"/>
          <w:bCs/>
          <w:szCs w:val="22"/>
          <w:lang w:eastAsia="sk-SK"/>
        </w:rPr>
        <w:t> tis. eur), tá však zaznamenala medziročný pokles hodnoty zásob o</w:t>
      </w:r>
      <w:r w:rsidR="00CB11A7">
        <w:rPr>
          <w:rFonts w:ascii="Times New Roman" w:hAnsi="Times New Roman"/>
          <w:bCs/>
          <w:szCs w:val="22"/>
          <w:lang w:eastAsia="sk-SK"/>
        </w:rPr>
        <w:t> </w:t>
      </w:r>
      <w:r w:rsidR="0073691A" w:rsidRPr="00F7655F">
        <w:rPr>
          <w:rFonts w:ascii="Times New Roman" w:hAnsi="Times New Roman"/>
          <w:szCs w:val="22"/>
          <w:lang w:eastAsia="sk-SK"/>
        </w:rPr>
        <w:t>140</w:t>
      </w:r>
      <w:r w:rsidR="00CB11A7">
        <w:rPr>
          <w:rFonts w:ascii="Times New Roman" w:hAnsi="Times New Roman"/>
          <w:szCs w:val="22"/>
          <w:lang w:eastAsia="sk-SK"/>
        </w:rPr>
        <w:t> </w:t>
      </w:r>
      <w:r w:rsidR="0073691A" w:rsidRPr="00F7655F">
        <w:rPr>
          <w:rFonts w:ascii="Times New Roman" w:hAnsi="Times New Roman"/>
          <w:szCs w:val="22"/>
          <w:lang w:eastAsia="sk-SK"/>
        </w:rPr>
        <w:t>181</w:t>
      </w:r>
      <w:r w:rsidRPr="00907622">
        <w:rPr>
          <w:rFonts w:ascii="Times New Roman" w:hAnsi="Times New Roman"/>
          <w:bCs/>
          <w:szCs w:val="22"/>
          <w:lang w:eastAsia="sk-SK"/>
        </w:rPr>
        <w:t> tis. eur</w:t>
      </w:r>
      <w:r w:rsidR="007902F8" w:rsidRPr="00F7655F">
        <w:rPr>
          <w:rFonts w:ascii="Times New Roman" w:hAnsi="Times New Roman"/>
          <w:szCs w:val="22"/>
          <w:lang w:eastAsia="sk-SK"/>
        </w:rPr>
        <w:t>, ktorý</w:t>
      </w:r>
      <w:r w:rsidRPr="00907622">
        <w:rPr>
          <w:rFonts w:ascii="Times New Roman" w:hAnsi="Times New Roman"/>
          <w:bCs/>
          <w:szCs w:val="22"/>
          <w:lang w:eastAsia="sk-SK"/>
        </w:rPr>
        <w:t xml:space="preserve"> bol spôsobený </w:t>
      </w:r>
      <w:r w:rsidR="00030216">
        <w:rPr>
          <w:rFonts w:ascii="Times New Roman" w:hAnsi="Times New Roman"/>
          <w:bCs/>
          <w:szCs w:val="22"/>
          <w:lang w:eastAsia="sk-SK"/>
        </w:rPr>
        <w:t xml:space="preserve">najmä </w:t>
      </w:r>
      <w:r w:rsidRPr="00907622">
        <w:rPr>
          <w:rFonts w:ascii="Times New Roman" w:hAnsi="Times New Roman"/>
          <w:bCs/>
          <w:szCs w:val="22"/>
          <w:lang w:eastAsia="sk-SK"/>
        </w:rPr>
        <w:t xml:space="preserve">poklesom hodnoty výrobkov </w:t>
      </w:r>
      <w:r w:rsidR="006F5346" w:rsidRPr="00F7655F">
        <w:rPr>
          <w:rFonts w:ascii="Times New Roman" w:hAnsi="Times New Roman"/>
          <w:szCs w:val="22"/>
          <w:lang w:eastAsia="sk-SK"/>
        </w:rPr>
        <w:t>Železničnej spoločnosti Slovensko, a.s.</w:t>
      </w:r>
      <w:r w:rsidRPr="00907622">
        <w:rPr>
          <w:rFonts w:ascii="Times New Roman" w:hAnsi="Times New Roman"/>
          <w:bCs/>
          <w:szCs w:val="22"/>
          <w:lang w:eastAsia="sk-SK"/>
        </w:rPr>
        <w:t xml:space="preserve"> o</w:t>
      </w:r>
      <w:r w:rsidR="00CB11A7">
        <w:rPr>
          <w:rFonts w:ascii="Times New Roman" w:hAnsi="Times New Roman"/>
          <w:bCs/>
          <w:szCs w:val="22"/>
          <w:lang w:eastAsia="sk-SK"/>
        </w:rPr>
        <w:t> </w:t>
      </w:r>
      <w:r w:rsidR="000A4DCF" w:rsidRPr="00F7655F">
        <w:rPr>
          <w:rFonts w:ascii="Times New Roman" w:hAnsi="Times New Roman"/>
          <w:szCs w:val="22"/>
          <w:lang w:eastAsia="sk-SK"/>
        </w:rPr>
        <w:t>23</w:t>
      </w:r>
      <w:r w:rsidR="00CB11A7">
        <w:rPr>
          <w:rFonts w:ascii="Times New Roman" w:hAnsi="Times New Roman"/>
          <w:szCs w:val="22"/>
          <w:lang w:eastAsia="sk-SK"/>
        </w:rPr>
        <w:t> </w:t>
      </w:r>
      <w:r w:rsidR="000A4DCF" w:rsidRPr="00F7655F">
        <w:rPr>
          <w:rFonts w:ascii="Times New Roman" w:hAnsi="Times New Roman"/>
          <w:szCs w:val="22"/>
          <w:lang w:eastAsia="sk-SK"/>
        </w:rPr>
        <w:t>551</w:t>
      </w:r>
      <w:r w:rsidRPr="00907622">
        <w:rPr>
          <w:rFonts w:ascii="Times New Roman" w:hAnsi="Times New Roman"/>
          <w:bCs/>
          <w:szCs w:val="22"/>
          <w:lang w:eastAsia="sk-SK"/>
        </w:rPr>
        <w:t> tis. eur a materiálu u Ministerstva zdravotníctva SR o </w:t>
      </w:r>
      <w:r w:rsidR="004433E3" w:rsidRPr="00F7655F">
        <w:rPr>
          <w:rFonts w:ascii="Times New Roman" w:hAnsi="Times New Roman"/>
          <w:szCs w:val="22"/>
          <w:lang w:eastAsia="sk-SK"/>
        </w:rPr>
        <w:t xml:space="preserve">31 118 tis. </w:t>
      </w:r>
      <w:r w:rsidRPr="00907622">
        <w:rPr>
          <w:rFonts w:ascii="Times New Roman" w:hAnsi="Times New Roman"/>
          <w:bCs/>
          <w:szCs w:val="22"/>
          <w:lang w:eastAsia="sk-SK"/>
        </w:rPr>
        <w:t xml:space="preserve"> tis. eur. </w:t>
      </w:r>
    </w:p>
    <w:p w14:paraId="22E2E14A" w14:textId="48CC6A91" w:rsidR="009943D6" w:rsidRPr="00F7655F" w:rsidRDefault="009943D6" w:rsidP="00651F00">
      <w:pPr>
        <w:spacing w:after="120" w:line="240" w:lineRule="auto"/>
        <w:jc w:val="both"/>
        <w:rPr>
          <w:rFonts w:ascii="Times New Roman" w:hAnsi="Times New Roman"/>
          <w:lang w:eastAsia="sk-SK"/>
        </w:rPr>
      </w:pPr>
      <w:r w:rsidRPr="0085799C">
        <w:rPr>
          <w:rFonts w:ascii="Times New Roman" w:eastAsia="Calibri" w:hAnsi="Times New Roman"/>
        </w:rPr>
        <w:t xml:space="preserve">Na celkovej netto hodnote zásob </w:t>
      </w:r>
      <w:r w:rsidR="00C17B3C" w:rsidRPr="395DBC8F">
        <w:rPr>
          <w:rFonts w:ascii="Times New Roman" w:eastAsia="Calibri" w:hAnsi="Times New Roman"/>
        </w:rPr>
        <w:t xml:space="preserve">za ústrednú správu </w:t>
      </w:r>
      <w:r w:rsidRPr="0085799C">
        <w:rPr>
          <w:rFonts w:ascii="Times New Roman" w:eastAsia="Calibri" w:hAnsi="Times New Roman"/>
        </w:rPr>
        <w:t xml:space="preserve">sa podieľali najmä </w:t>
      </w:r>
      <w:r w:rsidRPr="0085799C">
        <w:rPr>
          <w:rFonts w:ascii="Times New Roman" w:eastAsia="Calibri" w:hAnsi="Times New Roman"/>
          <w:u w:val="single"/>
        </w:rPr>
        <w:t>Ministerstvo obrany SR</w:t>
      </w:r>
      <w:r w:rsidRPr="0085799C">
        <w:rPr>
          <w:rFonts w:ascii="Times New Roman" w:eastAsia="Calibri" w:hAnsi="Times New Roman"/>
        </w:rPr>
        <w:t xml:space="preserve"> (779</w:t>
      </w:r>
      <w:r w:rsidR="00CB11A7">
        <w:rPr>
          <w:rFonts w:ascii="Times New Roman" w:eastAsia="Calibri" w:hAnsi="Times New Roman"/>
        </w:rPr>
        <w:t> </w:t>
      </w:r>
      <w:r w:rsidRPr="0085799C">
        <w:rPr>
          <w:rFonts w:ascii="Times New Roman" w:eastAsia="Calibri" w:hAnsi="Times New Roman"/>
        </w:rPr>
        <w:t>848</w:t>
      </w:r>
      <w:r w:rsidR="00CB11A7">
        <w:rPr>
          <w:rFonts w:ascii="Times New Roman" w:eastAsia="Calibri" w:hAnsi="Times New Roman"/>
        </w:rPr>
        <w:t> </w:t>
      </w:r>
      <w:r w:rsidRPr="0085799C">
        <w:rPr>
          <w:rFonts w:ascii="Times New Roman" w:eastAsia="Calibri" w:hAnsi="Times New Roman"/>
        </w:rPr>
        <w:t>tis.</w:t>
      </w:r>
      <w:r w:rsidR="00CB11A7">
        <w:rPr>
          <w:rFonts w:ascii="Times New Roman" w:eastAsia="Calibri" w:hAnsi="Times New Roman"/>
        </w:rPr>
        <w:t> </w:t>
      </w:r>
      <w:r w:rsidRPr="0085799C">
        <w:rPr>
          <w:rFonts w:ascii="Times New Roman" w:eastAsia="Calibri" w:hAnsi="Times New Roman"/>
        </w:rPr>
        <w:t xml:space="preserve">eur), </w:t>
      </w:r>
      <w:r w:rsidRPr="0085799C">
        <w:rPr>
          <w:rFonts w:ascii="Times New Roman" w:eastAsia="Calibri" w:hAnsi="Times New Roman"/>
          <w:u w:val="single"/>
        </w:rPr>
        <w:t>Slovenský plynárenský priemysel, a.s.</w:t>
      </w:r>
      <w:r w:rsidRPr="0085799C">
        <w:rPr>
          <w:rFonts w:ascii="Times New Roman" w:eastAsia="Calibri" w:hAnsi="Times New Roman"/>
        </w:rPr>
        <w:t xml:space="preserve"> (552 387 tis. eur), </w:t>
      </w:r>
      <w:r w:rsidRPr="0085799C">
        <w:rPr>
          <w:rFonts w:ascii="Times New Roman" w:eastAsia="Calibri" w:hAnsi="Times New Roman"/>
          <w:u w:val="single"/>
        </w:rPr>
        <w:t>Správa štátnych hmotných rezerv SR</w:t>
      </w:r>
      <w:r w:rsidRPr="0085799C">
        <w:rPr>
          <w:rFonts w:ascii="Times New Roman" w:eastAsia="Calibri" w:hAnsi="Times New Roman"/>
        </w:rPr>
        <w:t xml:space="preserve"> (109 097 tis. eur), </w:t>
      </w:r>
      <w:r w:rsidRPr="0085799C">
        <w:rPr>
          <w:rFonts w:ascii="Times New Roman" w:eastAsia="Calibri" w:hAnsi="Times New Roman"/>
          <w:u w:val="single"/>
        </w:rPr>
        <w:t>Ministerstvo vnútra SR</w:t>
      </w:r>
      <w:r w:rsidRPr="0085799C">
        <w:rPr>
          <w:rFonts w:ascii="Times New Roman" w:eastAsia="Calibri" w:hAnsi="Times New Roman"/>
        </w:rPr>
        <w:t xml:space="preserve"> (87 969 tis. eur).</w:t>
      </w:r>
    </w:p>
    <w:p w14:paraId="47FE795D" w14:textId="3A37B906" w:rsidR="03EB441B" w:rsidRPr="00F7655F" w:rsidRDefault="00647542" w:rsidP="00651F00">
      <w:pPr>
        <w:spacing w:after="120" w:line="240" w:lineRule="auto"/>
        <w:jc w:val="both"/>
        <w:rPr>
          <w:rFonts w:ascii="Times New Roman" w:hAnsi="Times New Roman"/>
          <w:szCs w:val="22"/>
          <w:lang w:eastAsia="sk-SK"/>
        </w:rPr>
      </w:pPr>
      <w:r w:rsidRPr="00F7655F">
        <w:rPr>
          <w:rFonts w:ascii="Times New Roman" w:hAnsi="Times New Roman"/>
          <w:szCs w:val="22"/>
          <w:lang w:eastAsia="sk-SK"/>
        </w:rPr>
        <w:t xml:space="preserve">Zásoby ústrednej správy </w:t>
      </w:r>
      <w:r w:rsidR="001D1BCE">
        <w:rPr>
          <w:rFonts w:ascii="Times New Roman" w:hAnsi="Times New Roman"/>
          <w:szCs w:val="22"/>
          <w:lang w:eastAsia="sk-SK"/>
        </w:rPr>
        <w:t>sú tvorené najmä z</w:t>
      </w:r>
      <w:r w:rsidRPr="00F7655F">
        <w:rPr>
          <w:rFonts w:ascii="Times New Roman" w:hAnsi="Times New Roman"/>
          <w:szCs w:val="22"/>
          <w:lang w:eastAsia="sk-SK"/>
        </w:rPr>
        <w:t xml:space="preserve"> materiál</w:t>
      </w:r>
      <w:r w:rsidR="001D1BCE">
        <w:rPr>
          <w:rFonts w:ascii="Times New Roman" w:hAnsi="Times New Roman"/>
          <w:szCs w:val="22"/>
          <w:lang w:eastAsia="sk-SK"/>
        </w:rPr>
        <w:t>u</w:t>
      </w:r>
      <w:r w:rsidRPr="00F7655F">
        <w:rPr>
          <w:rFonts w:ascii="Times New Roman" w:hAnsi="Times New Roman"/>
          <w:szCs w:val="22"/>
          <w:lang w:eastAsia="sk-SK"/>
        </w:rPr>
        <w:t xml:space="preserve"> (1 </w:t>
      </w:r>
      <w:r w:rsidR="00E149A3" w:rsidRPr="00F7655F">
        <w:rPr>
          <w:rFonts w:ascii="Times New Roman" w:hAnsi="Times New Roman"/>
          <w:szCs w:val="22"/>
          <w:lang w:eastAsia="sk-SK"/>
        </w:rPr>
        <w:t>268 526</w:t>
      </w:r>
      <w:r w:rsidRPr="00F7655F">
        <w:rPr>
          <w:rFonts w:ascii="Times New Roman" w:hAnsi="Times New Roman"/>
          <w:szCs w:val="22"/>
          <w:lang w:eastAsia="sk-SK"/>
        </w:rPr>
        <w:t> tis. eur), výrobk</w:t>
      </w:r>
      <w:r w:rsidR="001D1BCE">
        <w:rPr>
          <w:rFonts w:ascii="Times New Roman" w:hAnsi="Times New Roman"/>
          <w:szCs w:val="22"/>
          <w:lang w:eastAsia="sk-SK"/>
        </w:rPr>
        <w:t>ov</w:t>
      </w:r>
      <w:r w:rsidRPr="00F7655F">
        <w:rPr>
          <w:rFonts w:ascii="Times New Roman" w:hAnsi="Times New Roman"/>
          <w:szCs w:val="22"/>
          <w:lang w:eastAsia="sk-SK"/>
        </w:rPr>
        <w:t xml:space="preserve"> (5</w:t>
      </w:r>
      <w:r w:rsidR="007412EE" w:rsidRPr="00F7655F">
        <w:rPr>
          <w:rFonts w:ascii="Times New Roman" w:hAnsi="Times New Roman"/>
          <w:szCs w:val="22"/>
          <w:lang w:eastAsia="sk-SK"/>
        </w:rPr>
        <w:t>83</w:t>
      </w:r>
      <w:r w:rsidR="00295BEF" w:rsidRPr="00F7655F">
        <w:rPr>
          <w:rFonts w:ascii="Times New Roman" w:hAnsi="Times New Roman"/>
          <w:szCs w:val="22"/>
          <w:lang w:eastAsia="sk-SK"/>
        </w:rPr>
        <w:t xml:space="preserve"> 273</w:t>
      </w:r>
      <w:r w:rsidRPr="00F7655F">
        <w:rPr>
          <w:rFonts w:ascii="Times New Roman" w:hAnsi="Times New Roman"/>
          <w:szCs w:val="22"/>
          <w:lang w:eastAsia="sk-SK"/>
        </w:rPr>
        <w:t> tis. eur), nedokončen</w:t>
      </w:r>
      <w:r w:rsidR="001D1BCE">
        <w:rPr>
          <w:rFonts w:ascii="Times New Roman" w:hAnsi="Times New Roman"/>
          <w:szCs w:val="22"/>
          <w:lang w:eastAsia="sk-SK"/>
        </w:rPr>
        <w:t>ej</w:t>
      </w:r>
      <w:r w:rsidRPr="00F7655F">
        <w:rPr>
          <w:rFonts w:ascii="Times New Roman" w:hAnsi="Times New Roman"/>
          <w:szCs w:val="22"/>
          <w:lang w:eastAsia="sk-SK"/>
        </w:rPr>
        <w:t xml:space="preserve"> výrob</w:t>
      </w:r>
      <w:r w:rsidR="001D1BCE">
        <w:rPr>
          <w:rFonts w:ascii="Times New Roman" w:hAnsi="Times New Roman"/>
          <w:szCs w:val="22"/>
          <w:lang w:eastAsia="sk-SK"/>
        </w:rPr>
        <w:t>y</w:t>
      </w:r>
      <w:r w:rsidRPr="00F7655F">
        <w:rPr>
          <w:rFonts w:ascii="Times New Roman" w:hAnsi="Times New Roman"/>
          <w:szCs w:val="22"/>
          <w:lang w:eastAsia="sk-SK"/>
        </w:rPr>
        <w:t xml:space="preserve"> a polotovar</w:t>
      </w:r>
      <w:r w:rsidR="001D1BCE">
        <w:rPr>
          <w:rFonts w:ascii="Times New Roman" w:hAnsi="Times New Roman"/>
          <w:szCs w:val="22"/>
          <w:lang w:eastAsia="sk-SK"/>
        </w:rPr>
        <w:t>ov</w:t>
      </w:r>
      <w:r w:rsidRPr="00F7655F">
        <w:rPr>
          <w:rFonts w:ascii="Times New Roman" w:hAnsi="Times New Roman"/>
          <w:szCs w:val="22"/>
          <w:lang w:eastAsia="sk-SK"/>
        </w:rPr>
        <w:t xml:space="preserve"> (</w:t>
      </w:r>
      <w:r w:rsidR="00295BEF" w:rsidRPr="00F7655F">
        <w:rPr>
          <w:rFonts w:ascii="Times New Roman" w:hAnsi="Times New Roman"/>
          <w:szCs w:val="22"/>
          <w:lang w:eastAsia="sk-SK"/>
        </w:rPr>
        <w:t>41 726</w:t>
      </w:r>
      <w:r w:rsidRPr="00F7655F">
        <w:rPr>
          <w:rFonts w:ascii="Times New Roman" w:hAnsi="Times New Roman"/>
          <w:szCs w:val="22"/>
          <w:lang w:eastAsia="sk-SK"/>
        </w:rPr>
        <w:t> tis. eur)</w:t>
      </w:r>
      <w:r w:rsidR="001D1BCE">
        <w:rPr>
          <w:rFonts w:ascii="Times New Roman" w:hAnsi="Times New Roman"/>
          <w:szCs w:val="22"/>
          <w:lang w:eastAsia="sk-SK"/>
        </w:rPr>
        <w:t>,</w:t>
      </w:r>
      <w:r w:rsidRPr="00F7655F">
        <w:rPr>
          <w:rFonts w:ascii="Times New Roman" w:hAnsi="Times New Roman"/>
          <w:szCs w:val="22"/>
          <w:lang w:eastAsia="sk-SK"/>
        </w:rPr>
        <w:t> tovar</w:t>
      </w:r>
      <w:r w:rsidR="001D1BCE">
        <w:rPr>
          <w:rFonts w:ascii="Times New Roman" w:hAnsi="Times New Roman"/>
          <w:szCs w:val="22"/>
          <w:lang w:eastAsia="sk-SK"/>
        </w:rPr>
        <w:t>u</w:t>
      </w:r>
      <w:r w:rsidRPr="00F7655F">
        <w:rPr>
          <w:rFonts w:ascii="Times New Roman" w:hAnsi="Times New Roman"/>
          <w:szCs w:val="22"/>
          <w:lang w:eastAsia="sk-SK"/>
        </w:rPr>
        <w:t xml:space="preserve"> (</w:t>
      </w:r>
      <w:r w:rsidR="000C5A95" w:rsidRPr="00F7655F">
        <w:rPr>
          <w:rFonts w:ascii="Times New Roman" w:hAnsi="Times New Roman"/>
          <w:szCs w:val="22"/>
          <w:lang w:eastAsia="sk-SK"/>
        </w:rPr>
        <w:t>31</w:t>
      </w:r>
      <w:r w:rsidR="009943D6" w:rsidRPr="00F7655F">
        <w:rPr>
          <w:rFonts w:ascii="Times New Roman" w:hAnsi="Times New Roman"/>
          <w:szCs w:val="22"/>
          <w:lang w:eastAsia="sk-SK"/>
        </w:rPr>
        <w:t xml:space="preserve"> 565 </w:t>
      </w:r>
      <w:r w:rsidRPr="00F7655F">
        <w:rPr>
          <w:rFonts w:ascii="Times New Roman" w:hAnsi="Times New Roman"/>
          <w:szCs w:val="22"/>
          <w:lang w:eastAsia="sk-SK"/>
        </w:rPr>
        <w:t>tis. eur)</w:t>
      </w:r>
      <w:r w:rsidR="009943D6" w:rsidRPr="00F7655F">
        <w:rPr>
          <w:rFonts w:ascii="Times New Roman" w:hAnsi="Times New Roman"/>
          <w:szCs w:val="22"/>
          <w:lang w:eastAsia="sk-SK"/>
        </w:rPr>
        <w:t xml:space="preserve"> a zvierat (2</w:t>
      </w:r>
      <w:r w:rsidR="00CB11A7">
        <w:rPr>
          <w:rFonts w:ascii="Times New Roman" w:hAnsi="Times New Roman"/>
          <w:szCs w:val="22"/>
          <w:lang w:eastAsia="sk-SK"/>
        </w:rPr>
        <w:t> </w:t>
      </w:r>
      <w:r w:rsidR="009943D6" w:rsidRPr="00F7655F">
        <w:rPr>
          <w:rFonts w:ascii="Times New Roman" w:hAnsi="Times New Roman"/>
          <w:szCs w:val="22"/>
          <w:lang w:eastAsia="sk-SK"/>
        </w:rPr>
        <w:t>724</w:t>
      </w:r>
      <w:r w:rsidR="00CB11A7">
        <w:rPr>
          <w:rFonts w:ascii="Times New Roman" w:hAnsi="Times New Roman"/>
          <w:szCs w:val="22"/>
          <w:lang w:eastAsia="sk-SK"/>
        </w:rPr>
        <w:t> </w:t>
      </w:r>
      <w:r w:rsidR="009943D6" w:rsidRPr="00F7655F">
        <w:rPr>
          <w:rFonts w:ascii="Times New Roman" w:hAnsi="Times New Roman"/>
          <w:szCs w:val="22"/>
          <w:lang w:eastAsia="sk-SK"/>
        </w:rPr>
        <w:t>tis.</w:t>
      </w:r>
      <w:r w:rsidR="00CB11A7">
        <w:rPr>
          <w:rFonts w:ascii="Times New Roman" w:hAnsi="Times New Roman"/>
          <w:szCs w:val="22"/>
          <w:lang w:eastAsia="sk-SK"/>
        </w:rPr>
        <w:t> </w:t>
      </w:r>
      <w:r w:rsidRPr="00F7655F">
        <w:rPr>
          <w:rFonts w:ascii="Times New Roman" w:hAnsi="Times New Roman"/>
          <w:szCs w:val="22"/>
          <w:lang w:eastAsia="sk-SK"/>
        </w:rPr>
        <w:t xml:space="preserve">eur). </w:t>
      </w:r>
    </w:p>
    <w:p w14:paraId="5DF87AE7" w14:textId="4FDB46F8" w:rsidR="006A4767" w:rsidRDefault="006A4767" w:rsidP="00651F00">
      <w:pPr>
        <w:tabs>
          <w:tab w:val="left" w:pos="0"/>
          <w:tab w:val="left" w:pos="0"/>
        </w:tabs>
        <w:spacing w:after="120" w:line="240" w:lineRule="auto"/>
        <w:jc w:val="both"/>
        <w:rPr>
          <w:rFonts w:ascii="Times New Roman" w:eastAsia="Calibri" w:hAnsi="Times New Roman"/>
        </w:rPr>
      </w:pPr>
      <w:r w:rsidRPr="0085799C">
        <w:rPr>
          <w:rFonts w:ascii="Times New Roman" w:eastAsia="Calibri" w:hAnsi="Times New Roman"/>
          <w:u w:val="single"/>
        </w:rPr>
        <w:t>Správa štátnych hmotných rezerv SR</w:t>
      </w:r>
      <w:r w:rsidRPr="0085799C">
        <w:rPr>
          <w:rFonts w:ascii="Times New Roman" w:eastAsia="Calibri" w:hAnsi="Times New Roman"/>
          <w:b/>
          <w:i/>
        </w:rPr>
        <w:t xml:space="preserve"> </w:t>
      </w:r>
      <w:r w:rsidRPr="0085799C">
        <w:rPr>
          <w:rFonts w:ascii="Times New Roman" w:eastAsia="Calibri" w:hAnsi="Times New Roman"/>
        </w:rPr>
        <w:t>vykázala zásoby materiálu v hodnote 109 088 tis. eur s</w:t>
      </w:r>
      <w:r w:rsidRPr="00651F00">
        <w:rPr>
          <w:rFonts w:ascii="Times New Roman" w:eastAsia="Calibri" w:hAnsi="Times New Roman"/>
        </w:rPr>
        <w:t> </w:t>
      </w:r>
      <w:r w:rsidRPr="0085799C">
        <w:rPr>
          <w:rFonts w:ascii="Times New Roman" w:eastAsia="Calibri" w:hAnsi="Times New Roman"/>
        </w:rPr>
        <w:t>medziročným nárastom o 108 898 tis. eur, a to z dôvodu zmeny metodiky účtovania</w:t>
      </w:r>
      <w:r>
        <w:rPr>
          <w:rFonts w:ascii="Times New Roman" w:eastAsia="Calibri" w:hAnsi="Times New Roman"/>
        </w:rPr>
        <w:t xml:space="preserve">, kedy </w:t>
      </w:r>
      <w:r w:rsidRPr="0085799C">
        <w:rPr>
          <w:rFonts w:ascii="Times New Roman" w:eastAsia="Calibri" w:hAnsi="Times New Roman"/>
        </w:rPr>
        <w:t xml:space="preserve">boli zásoby k </w:t>
      </w:r>
      <w:r w:rsidRPr="00651F00">
        <w:rPr>
          <w:rFonts w:ascii="Times New Roman" w:eastAsia="Calibri" w:hAnsi="Times New Roman"/>
        </w:rPr>
        <w:t>31.</w:t>
      </w:r>
      <w:r>
        <w:rPr>
          <w:rFonts w:ascii="Times New Roman" w:eastAsia="Calibri" w:hAnsi="Times New Roman"/>
        </w:rPr>
        <w:t xml:space="preserve"> </w:t>
      </w:r>
      <w:r w:rsidRPr="00651F00">
        <w:rPr>
          <w:rFonts w:ascii="Times New Roman" w:eastAsia="Calibri" w:hAnsi="Times New Roman"/>
        </w:rPr>
        <w:t>12.</w:t>
      </w:r>
      <w:r>
        <w:rPr>
          <w:rFonts w:ascii="Times New Roman" w:eastAsia="Calibri" w:hAnsi="Times New Roman"/>
        </w:rPr>
        <w:t xml:space="preserve"> </w:t>
      </w:r>
      <w:r w:rsidRPr="00651F00">
        <w:rPr>
          <w:rFonts w:ascii="Times New Roman" w:eastAsia="Calibri" w:hAnsi="Times New Roman"/>
        </w:rPr>
        <w:t>2024</w:t>
      </w:r>
      <w:r w:rsidRPr="0085799C">
        <w:rPr>
          <w:rFonts w:ascii="Times New Roman" w:eastAsia="Calibri" w:hAnsi="Times New Roman"/>
        </w:rPr>
        <w:t xml:space="preserve"> preúčtované z účtu 132 na účet 112.</w:t>
      </w:r>
    </w:p>
    <w:p w14:paraId="5298EC85" w14:textId="77777777" w:rsidR="006A4767" w:rsidRPr="00A7107D" w:rsidRDefault="006A4767" w:rsidP="00651F00">
      <w:pPr>
        <w:tabs>
          <w:tab w:val="left" w:pos="0"/>
          <w:tab w:val="left" w:pos="0"/>
        </w:tabs>
        <w:spacing w:after="120" w:line="240" w:lineRule="auto"/>
        <w:jc w:val="both"/>
        <w:rPr>
          <w:rFonts w:ascii="Times New Roman" w:hAnsi="Times New Roman"/>
          <w:szCs w:val="22"/>
        </w:rPr>
      </w:pPr>
      <w:r w:rsidRPr="00A7107D">
        <w:rPr>
          <w:rFonts w:ascii="Times New Roman" w:hAnsi="Times New Roman"/>
          <w:szCs w:val="22"/>
        </w:rPr>
        <w:t xml:space="preserve">Najväčší vplyv na pokles nedokončenej výroby mala </w:t>
      </w:r>
      <w:r w:rsidRPr="00A7107D">
        <w:rPr>
          <w:rFonts w:ascii="Times New Roman" w:hAnsi="Times New Roman"/>
          <w:szCs w:val="22"/>
          <w:u w:val="single"/>
        </w:rPr>
        <w:t>Železničná spoločnosť Slovensko, a.s.</w:t>
      </w:r>
      <w:r w:rsidRPr="00A7107D">
        <w:rPr>
          <w:rFonts w:ascii="Times New Roman" w:hAnsi="Times New Roman"/>
          <w:szCs w:val="22"/>
        </w:rPr>
        <w:t xml:space="preserve"> (153 231 tis. eur), ktorá dokončila  výstavbu stredísk technicko-hygienickej údržby Nové Zámky, Humenné a Zvolen a tieto strediská boli účtované ako zásoby, keďže po ich dokončení prešli do vlastníctva Ministerstva dopravy SR.</w:t>
      </w:r>
    </w:p>
    <w:p w14:paraId="2C9845C2" w14:textId="360AACEE" w:rsidR="00647542" w:rsidRDefault="00647542" w:rsidP="00651F00">
      <w:pPr>
        <w:tabs>
          <w:tab w:val="left" w:pos="0"/>
          <w:tab w:val="left" w:pos="0"/>
        </w:tabs>
        <w:spacing w:after="120" w:line="240" w:lineRule="auto"/>
        <w:jc w:val="both"/>
        <w:rPr>
          <w:rFonts w:ascii="Times New Roman" w:hAnsi="Times New Roman"/>
          <w:szCs w:val="22"/>
          <w:lang w:eastAsia="sk-SK"/>
        </w:rPr>
      </w:pPr>
      <w:r w:rsidRPr="00907622">
        <w:rPr>
          <w:rFonts w:ascii="Times New Roman" w:hAnsi="Times New Roman"/>
          <w:bCs/>
          <w:szCs w:val="22"/>
          <w:lang w:eastAsia="sk-SK"/>
        </w:rPr>
        <w:t xml:space="preserve">Subjekty územnej samosprávy </w:t>
      </w:r>
      <w:r w:rsidR="00B226A5" w:rsidRPr="00F7655F">
        <w:rPr>
          <w:rFonts w:ascii="Times New Roman" w:hAnsi="Times New Roman"/>
          <w:szCs w:val="22"/>
          <w:lang w:eastAsia="sk-SK"/>
        </w:rPr>
        <w:t xml:space="preserve">a obce </w:t>
      </w:r>
      <w:r w:rsidRPr="00907622">
        <w:rPr>
          <w:rFonts w:ascii="Times New Roman" w:hAnsi="Times New Roman"/>
          <w:bCs/>
          <w:szCs w:val="22"/>
          <w:lang w:eastAsia="sk-SK"/>
        </w:rPr>
        <w:t xml:space="preserve">vykazujú hodnotu zásob v celkovom objeme </w:t>
      </w:r>
      <w:r w:rsidR="00A05FBA" w:rsidRPr="00F7655F">
        <w:rPr>
          <w:rFonts w:ascii="Times New Roman" w:hAnsi="Times New Roman"/>
          <w:szCs w:val="22"/>
          <w:lang w:eastAsia="sk-SK"/>
        </w:rPr>
        <w:t>87</w:t>
      </w:r>
      <w:r w:rsidR="00CB11A7">
        <w:rPr>
          <w:rFonts w:ascii="Times New Roman" w:hAnsi="Times New Roman"/>
          <w:szCs w:val="22"/>
          <w:lang w:eastAsia="sk-SK"/>
        </w:rPr>
        <w:t> </w:t>
      </w:r>
      <w:r w:rsidR="00A05FBA" w:rsidRPr="00F7655F">
        <w:rPr>
          <w:rFonts w:ascii="Times New Roman" w:hAnsi="Times New Roman"/>
          <w:szCs w:val="22"/>
          <w:lang w:eastAsia="sk-SK"/>
        </w:rPr>
        <w:t>102</w:t>
      </w:r>
      <w:r w:rsidRPr="00907622">
        <w:rPr>
          <w:rFonts w:ascii="Times New Roman" w:hAnsi="Times New Roman"/>
          <w:bCs/>
          <w:szCs w:val="22"/>
          <w:lang w:eastAsia="sk-SK"/>
        </w:rPr>
        <w:t xml:space="preserve"> tis. eur a medziročne boli </w:t>
      </w:r>
      <w:r w:rsidR="007B66B5" w:rsidRPr="00F7655F">
        <w:rPr>
          <w:rFonts w:ascii="Times New Roman" w:hAnsi="Times New Roman"/>
          <w:szCs w:val="22"/>
          <w:lang w:eastAsia="sk-SK"/>
        </w:rPr>
        <w:t xml:space="preserve">vyššie </w:t>
      </w:r>
      <w:r w:rsidRPr="00907622">
        <w:rPr>
          <w:rFonts w:ascii="Times New Roman" w:hAnsi="Times New Roman"/>
          <w:bCs/>
          <w:szCs w:val="22"/>
          <w:lang w:eastAsia="sk-SK"/>
        </w:rPr>
        <w:t>o </w:t>
      </w:r>
      <w:r w:rsidR="007B66B5" w:rsidRPr="00F7655F">
        <w:rPr>
          <w:rFonts w:ascii="Times New Roman" w:hAnsi="Times New Roman"/>
          <w:szCs w:val="22"/>
          <w:lang w:eastAsia="sk-SK"/>
        </w:rPr>
        <w:t>3 284 </w:t>
      </w:r>
      <w:r w:rsidRPr="00907622">
        <w:rPr>
          <w:rFonts w:ascii="Times New Roman" w:hAnsi="Times New Roman"/>
          <w:bCs/>
          <w:szCs w:val="22"/>
          <w:lang w:eastAsia="sk-SK"/>
        </w:rPr>
        <w:t xml:space="preserve">tis. eur. Územná samospráva vykázala v rámci zásob materiál v hodnote </w:t>
      </w:r>
      <w:r w:rsidR="00C00301" w:rsidRPr="00F7655F">
        <w:rPr>
          <w:rFonts w:ascii="Times New Roman" w:hAnsi="Times New Roman"/>
          <w:szCs w:val="22"/>
          <w:lang w:eastAsia="sk-SK"/>
        </w:rPr>
        <w:t>77 263</w:t>
      </w:r>
      <w:r w:rsidRPr="00907622">
        <w:rPr>
          <w:rFonts w:ascii="Times New Roman" w:hAnsi="Times New Roman"/>
          <w:bCs/>
          <w:szCs w:val="22"/>
          <w:lang w:eastAsia="sk-SK"/>
        </w:rPr>
        <w:t xml:space="preserve"> tis. eur, tovar </w:t>
      </w:r>
      <w:r w:rsidR="00C86AB0" w:rsidRPr="00F7655F">
        <w:rPr>
          <w:rFonts w:ascii="Times New Roman" w:hAnsi="Times New Roman"/>
          <w:szCs w:val="22"/>
          <w:lang w:eastAsia="sk-SK"/>
        </w:rPr>
        <w:t>6 065</w:t>
      </w:r>
      <w:r w:rsidRPr="00907622">
        <w:rPr>
          <w:rFonts w:ascii="Times New Roman" w:hAnsi="Times New Roman"/>
          <w:bCs/>
          <w:szCs w:val="22"/>
          <w:lang w:eastAsia="sk-SK"/>
        </w:rPr>
        <w:t> tis. </w:t>
      </w:r>
      <w:r w:rsidRPr="00F7655F">
        <w:rPr>
          <w:rFonts w:ascii="Times New Roman" w:hAnsi="Times New Roman"/>
          <w:szCs w:val="22"/>
          <w:lang w:eastAsia="sk-SK"/>
        </w:rPr>
        <w:t>eur</w:t>
      </w:r>
      <w:r w:rsidR="007253B7" w:rsidRPr="00F7655F">
        <w:rPr>
          <w:rFonts w:ascii="Times New Roman" w:hAnsi="Times New Roman"/>
          <w:szCs w:val="22"/>
          <w:lang w:eastAsia="sk-SK"/>
        </w:rPr>
        <w:t>, výrobky v sume 2</w:t>
      </w:r>
      <w:r w:rsidR="00CB11A7">
        <w:rPr>
          <w:rFonts w:ascii="Times New Roman" w:hAnsi="Times New Roman"/>
          <w:szCs w:val="22"/>
          <w:lang w:eastAsia="sk-SK"/>
        </w:rPr>
        <w:t> </w:t>
      </w:r>
      <w:r w:rsidR="007253B7" w:rsidRPr="00F7655F">
        <w:rPr>
          <w:rFonts w:ascii="Times New Roman" w:hAnsi="Times New Roman"/>
          <w:szCs w:val="22"/>
          <w:lang w:eastAsia="sk-SK"/>
        </w:rPr>
        <w:t>049 tis. eur a nedokončená výroba a polotovary v sume 1</w:t>
      </w:r>
      <w:r w:rsidR="00CB11A7">
        <w:rPr>
          <w:rFonts w:ascii="Times New Roman" w:hAnsi="Times New Roman"/>
          <w:szCs w:val="22"/>
          <w:lang w:eastAsia="sk-SK"/>
        </w:rPr>
        <w:t> </w:t>
      </w:r>
      <w:r w:rsidR="007253B7" w:rsidRPr="00F7655F">
        <w:rPr>
          <w:rFonts w:ascii="Times New Roman" w:hAnsi="Times New Roman"/>
          <w:szCs w:val="22"/>
          <w:lang w:eastAsia="sk-SK"/>
        </w:rPr>
        <w:t>135</w:t>
      </w:r>
      <w:r w:rsidR="00CB11A7">
        <w:rPr>
          <w:rFonts w:ascii="Times New Roman" w:hAnsi="Times New Roman"/>
          <w:szCs w:val="22"/>
          <w:lang w:eastAsia="sk-SK"/>
        </w:rPr>
        <w:t> </w:t>
      </w:r>
      <w:r w:rsidR="007253B7" w:rsidRPr="00F7655F">
        <w:rPr>
          <w:rFonts w:ascii="Times New Roman" w:hAnsi="Times New Roman"/>
          <w:szCs w:val="22"/>
          <w:lang w:eastAsia="sk-SK"/>
        </w:rPr>
        <w:t>tis.</w:t>
      </w:r>
      <w:r w:rsidR="00CB11A7">
        <w:rPr>
          <w:rFonts w:ascii="Times New Roman" w:hAnsi="Times New Roman"/>
          <w:szCs w:val="22"/>
          <w:lang w:eastAsia="sk-SK"/>
        </w:rPr>
        <w:t> </w:t>
      </w:r>
      <w:r w:rsidRPr="00907622">
        <w:rPr>
          <w:rFonts w:ascii="Times New Roman" w:hAnsi="Times New Roman"/>
          <w:bCs/>
          <w:szCs w:val="22"/>
          <w:lang w:eastAsia="sk-SK"/>
        </w:rPr>
        <w:t>eur.</w:t>
      </w:r>
    </w:p>
    <w:p w14:paraId="20656588" w14:textId="77777777" w:rsidR="000168B0" w:rsidRDefault="000168B0" w:rsidP="00651F00">
      <w:pPr>
        <w:tabs>
          <w:tab w:val="left" w:pos="0"/>
          <w:tab w:val="left" w:pos="0"/>
        </w:tabs>
        <w:spacing w:after="120" w:line="240" w:lineRule="auto"/>
        <w:jc w:val="both"/>
        <w:rPr>
          <w:rFonts w:ascii="Times New Roman" w:hAnsi="Times New Roman"/>
          <w:szCs w:val="22"/>
          <w:lang w:eastAsia="sk-SK"/>
        </w:rPr>
      </w:pPr>
    </w:p>
    <w:p w14:paraId="3D2F4FA3" w14:textId="6E82E199" w:rsidR="000168B0" w:rsidRDefault="000168B0" w:rsidP="0085799C">
      <w:pPr>
        <w:pStyle w:val="Nadpis4"/>
        <w:numPr>
          <w:ilvl w:val="0"/>
          <w:numId w:val="54"/>
        </w:numPr>
        <w:ind w:left="426" w:hanging="426"/>
        <w:rPr>
          <w:lang w:eastAsia="sk-SK"/>
        </w:rPr>
      </w:pPr>
      <w:bookmarkStart w:id="22" w:name="_Materiál"/>
      <w:bookmarkEnd w:id="22"/>
      <w:r>
        <w:rPr>
          <w:lang w:eastAsia="sk-SK"/>
        </w:rPr>
        <w:lastRenderedPageBreak/>
        <w:t>Materiál</w:t>
      </w:r>
    </w:p>
    <w:p w14:paraId="7CA4AB1D" w14:textId="551AA9DA" w:rsidR="00AA66DB" w:rsidRPr="0085799C" w:rsidRDefault="712C003A" w:rsidP="0085799C">
      <w:pPr>
        <w:tabs>
          <w:tab w:val="left" w:pos="0"/>
          <w:tab w:val="left" w:pos="0"/>
        </w:tabs>
        <w:spacing w:after="120" w:line="240" w:lineRule="auto"/>
        <w:jc w:val="both"/>
        <w:rPr>
          <w:rFonts w:ascii="Times New Roman" w:eastAsia="Calibri" w:hAnsi="Times New Roman"/>
          <w:color w:val="C00000"/>
          <w:szCs w:val="22"/>
        </w:rPr>
      </w:pPr>
      <w:r w:rsidRPr="0085799C">
        <w:rPr>
          <w:rFonts w:ascii="Times New Roman" w:eastAsia="Calibri" w:hAnsi="Times New Roman"/>
          <w:szCs w:val="22"/>
        </w:rPr>
        <w:t xml:space="preserve">Najvyššiu hodnotu zásob tvoril </w:t>
      </w:r>
      <w:r w:rsidRPr="0085799C">
        <w:rPr>
          <w:rFonts w:ascii="Times New Roman" w:eastAsia="Calibri" w:hAnsi="Times New Roman"/>
          <w:szCs w:val="22"/>
          <w:u w:val="single"/>
        </w:rPr>
        <w:t>materiál</w:t>
      </w:r>
      <w:r w:rsidRPr="0085799C">
        <w:rPr>
          <w:rFonts w:ascii="Times New Roman" w:eastAsia="Calibri" w:hAnsi="Times New Roman"/>
          <w:szCs w:val="22"/>
        </w:rPr>
        <w:t xml:space="preserve"> v hodnote 1</w:t>
      </w:r>
      <w:r w:rsidR="00DE718B" w:rsidRPr="0085799C">
        <w:rPr>
          <w:rFonts w:ascii="Times New Roman" w:eastAsia="Calibri" w:hAnsi="Times New Roman"/>
          <w:szCs w:val="22"/>
        </w:rPr>
        <w:t> 352 671 tis.</w:t>
      </w:r>
      <w:r w:rsidRPr="0085799C">
        <w:rPr>
          <w:rFonts w:ascii="Times New Roman" w:eastAsia="Calibri" w:hAnsi="Times New Roman"/>
          <w:szCs w:val="22"/>
        </w:rPr>
        <w:t xml:space="preserve"> eur</w:t>
      </w:r>
      <w:r w:rsidR="00D92B15" w:rsidRPr="0085799C">
        <w:rPr>
          <w:rFonts w:ascii="Times New Roman" w:eastAsia="Calibri" w:hAnsi="Times New Roman"/>
          <w:szCs w:val="22"/>
        </w:rPr>
        <w:t xml:space="preserve"> (66,8 % hodnoty celkových zásob)</w:t>
      </w:r>
      <w:r w:rsidRPr="0085799C">
        <w:rPr>
          <w:rFonts w:ascii="Times New Roman" w:eastAsia="Calibri" w:hAnsi="Times New Roman"/>
          <w:szCs w:val="22"/>
        </w:rPr>
        <w:t xml:space="preserve">, </w:t>
      </w:r>
      <w:r w:rsidR="00D92B15" w:rsidRPr="0085799C">
        <w:rPr>
          <w:rFonts w:ascii="Times New Roman" w:eastAsia="Calibri" w:hAnsi="Times New Roman"/>
          <w:szCs w:val="22"/>
        </w:rPr>
        <w:t>ktoré zaznamenali</w:t>
      </w:r>
      <w:r w:rsidRPr="0085799C">
        <w:rPr>
          <w:rFonts w:ascii="Times New Roman" w:eastAsia="Calibri" w:hAnsi="Times New Roman"/>
          <w:szCs w:val="22"/>
        </w:rPr>
        <w:t xml:space="preserve"> v rámci </w:t>
      </w:r>
      <w:r w:rsidR="00DE718B" w:rsidRPr="0085799C">
        <w:rPr>
          <w:rFonts w:ascii="Times New Roman" w:eastAsia="Calibri" w:hAnsi="Times New Roman"/>
          <w:szCs w:val="22"/>
        </w:rPr>
        <w:t>súhrnného</w:t>
      </w:r>
      <w:r w:rsidRPr="0085799C">
        <w:rPr>
          <w:rFonts w:ascii="Times New Roman" w:eastAsia="Calibri" w:hAnsi="Times New Roman"/>
          <w:szCs w:val="22"/>
        </w:rPr>
        <w:t xml:space="preserve"> ce</w:t>
      </w:r>
      <w:r w:rsidRPr="0085799C">
        <w:rPr>
          <w:rFonts w:ascii="Times New Roman" w:eastAsia="Calibri" w:hAnsi="Times New Roman"/>
          <w:color w:val="000000" w:themeColor="text1"/>
          <w:szCs w:val="22"/>
        </w:rPr>
        <w:t>lku medziročný nárast o</w:t>
      </w:r>
      <w:r w:rsidR="00DE718B" w:rsidRPr="0085799C">
        <w:rPr>
          <w:rFonts w:ascii="Times New Roman" w:eastAsia="Calibri" w:hAnsi="Times New Roman"/>
          <w:color w:val="000000" w:themeColor="text1"/>
          <w:szCs w:val="22"/>
        </w:rPr>
        <w:t> 131 907 tis.</w:t>
      </w:r>
      <w:r w:rsidRPr="0085799C">
        <w:rPr>
          <w:rFonts w:ascii="Times New Roman" w:eastAsia="Calibri" w:hAnsi="Times New Roman"/>
          <w:color w:val="000000" w:themeColor="text1"/>
          <w:szCs w:val="22"/>
        </w:rPr>
        <w:t xml:space="preserve"> eur. </w:t>
      </w:r>
      <w:r w:rsidR="00D92B15" w:rsidRPr="0085799C">
        <w:rPr>
          <w:rFonts w:ascii="Times New Roman" w:eastAsia="Calibri" w:hAnsi="Times New Roman"/>
          <w:color w:val="000000" w:themeColor="text1"/>
          <w:szCs w:val="22"/>
        </w:rPr>
        <w:t xml:space="preserve">Až 93,8 % </w:t>
      </w:r>
      <w:r w:rsidR="008728E0" w:rsidRPr="0085799C">
        <w:rPr>
          <w:rFonts w:ascii="Times New Roman" w:eastAsia="Calibri" w:hAnsi="Times New Roman"/>
          <w:color w:val="000000" w:themeColor="text1"/>
          <w:szCs w:val="22"/>
        </w:rPr>
        <w:t xml:space="preserve">zásob materiálu sústreďujú subjekty ústrednej správy, čo je v hodnotovom vyjadrení </w:t>
      </w:r>
      <w:r w:rsidR="008728E0" w:rsidRPr="00651F00">
        <w:rPr>
          <w:rFonts w:ascii="Times New Roman" w:eastAsia="Calibri" w:hAnsi="Times New Roman"/>
          <w:color w:val="000000" w:themeColor="text1"/>
          <w:szCs w:val="22"/>
        </w:rPr>
        <w:t>1 </w:t>
      </w:r>
      <w:r w:rsidR="004762EC" w:rsidRPr="00651F00">
        <w:rPr>
          <w:rFonts w:ascii="Times New Roman" w:eastAsia="Calibri" w:hAnsi="Times New Roman"/>
          <w:color w:val="000000" w:themeColor="text1"/>
          <w:szCs w:val="22"/>
        </w:rPr>
        <w:t>268 526</w:t>
      </w:r>
      <w:r w:rsidR="008728E0" w:rsidRPr="0085799C">
        <w:rPr>
          <w:rFonts w:ascii="Times New Roman" w:eastAsia="Calibri" w:hAnsi="Times New Roman"/>
          <w:color w:val="000000" w:themeColor="text1"/>
          <w:szCs w:val="22"/>
        </w:rPr>
        <w:t xml:space="preserve"> tis. eur. Na subjekty územnej samosprávy pripadá </w:t>
      </w:r>
      <w:r w:rsidR="006516EE" w:rsidRPr="00651F00">
        <w:rPr>
          <w:rFonts w:ascii="Times New Roman" w:eastAsia="Calibri" w:hAnsi="Times New Roman"/>
          <w:color w:val="000000" w:themeColor="text1"/>
          <w:szCs w:val="22"/>
        </w:rPr>
        <w:t>77 263</w:t>
      </w:r>
      <w:r w:rsidR="008728E0" w:rsidRPr="0085799C">
        <w:rPr>
          <w:rFonts w:ascii="Times New Roman" w:eastAsia="Calibri" w:hAnsi="Times New Roman"/>
          <w:color w:val="000000" w:themeColor="text1"/>
          <w:szCs w:val="22"/>
        </w:rPr>
        <w:t xml:space="preserve"> tis. eur a na ostatné subjekty verejnej správy </w:t>
      </w:r>
      <w:r w:rsidR="0039337F" w:rsidRPr="00651F00">
        <w:rPr>
          <w:rFonts w:ascii="Times New Roman" w:eastAsia="Calibri" w:hAnsi="Times New Roman"/>
          <w:color w:val="000000" w:themeColor="text1"/>
          <w:szCs w:val="22"/>
        </w:rPr>
        <w:t>6</w:t>
      </w:r>
      <w:r w:rsidR="00CB11A7">
        <w:rPr>
          <w:rFonts w:ascii="Times New Roman" w:eastAsia="Calibri" w:hAnsi="Times New Roman"/>
          <w:color w:val="000000" w:themeColor="text1"/>
          <w:szCs w:val="22"/>
        </w:rPr>
        <w:t> </w:t>
      </w:r>
      <w:r w:rsidR="0039337F" w:rsidRPr="00651F00">
        <w:rPr>
          <w:rFonts w:ascii="Times New Roman" w:eastAsia="Calibri" w:hAnsi="Times New Roman"/>
          <w:color w:val="000000" w:themeColor="text1"/>
          <w:szCs w:val="22"/>
        </w:rPr>
        <w:t>882</w:t>
      </w:r>
      <w:r w:rsidR="00CB11A7">
        <w:rPr>
          <w:rFonts w:ascii="Times New Roman" w:eastAsia="Calibri" w:hAnsi="Times New Roman"/>
          <w:color w:val="000000" w:themeColor="text1"/>
          <w:szCs w:val="22"/>
        </w:rPr>
        <w:t> </w:t>
      </w:r>
      <w:r w:rsidR="008728E0" w:rsidRPr="0085799C">
        <w:rPr>
          <w:rFonts w:ascii="Times New Roman" w:eastAsia="Calibri" w:hAnsi="Times New Roman"/>
          <w:color w:val="000000" w:themeColor="text1"/>
          <w:szCs w:val="22"/>
        </w:rPr>
        <w:t>tis. eur.</w:t>
      </w:r>
    </w:p>
    <w:p w14:paraId="18FB181D" w14:textId="26145081" w:rsidR="00647542" w:rsidRPr="0085799C" w:rsidRDefault="712C003A" w:rsidP="0085799C">
      <w:pPr>
        <w:spacing w:after="120" w:line="240" w:lineRule="auto"/>
        <w:jc w:val="both"/>
        <w:rPr>
          <w:rFonts w:ascii="Times New Roman" w:eastAsia="Calibri" w:hAnsi="Times New Roman"/>
        </w:rPr>
      </w:pPr>
      <w:r w:rsidRPr="0085799C">
        <w:rPr>
          <w:rFonts w:ascii="Times New Roman" w:eastAsia="Calibri" w:hAnsi="Times New Roman"/>
        </w:rPr>
        <w:t>Na zásobách materiálu sa v</w:t>
      </w:r>
      <w:r w:rsidR="00CA0897" w:rsidRPr="0085799C">
        <w:rPr>
          <w:rFonts w:ascii="Times New Roman" w:eastAsia="Calibri" w:hAnsi="Times New Roman"/>
        </w:rPr>
        <w:t> rámci ústrednej správy</w:t>
      </w:r>
      <w:r w:rsidR="00C914BE" w:rsidRPr="0085799C">
        <w:rPr>
          <w:rFonts w:ascii="Times New Roman" w:eastAsia="Calibri" w:hAnsi="Times New Roman"/>
        </w:rPr>
        <w:t xml:space="preserve"> v</w:t>
      </w:r>
      <w:r w:rsidRPr="0085799C">
        <w:rPr>
          <w:rFonts w:ascii="Times New Roman" w:eastAsia="Calibri" w:hAnsi="Times New Roman"/>
        </w:rPr>
        <w:t xml:space="preserve"> najvyššej miere podieľa </w:t>
      </w:r>
      <w:r w:rsidRPr="00A7107D">
        <w:rPr>
          <w:rFonts w:ascii="Times New Roman" w:eastAsia="Calibri" w:hAnsi="Times New Roman"/>
          <w:iCs/>
          <w:u w:val="single"/>
        </w:rPr>
        <w:t>Ministerstvo obrany SR</w:t>
      </w:r>
      <w:r w:rsidRPr="0085799C">
        <w:rPr>
          <w:rFonts w:ascii="Times New Roman" w:eastAsia="Calibri" w:hAnsi="Times New Roman"/>
        </w:rPr>
        <w:t xml:space="preserve"> v</w:t>
      </w:r>
      <w:r w:rsidR="0039337F" w:rsidRPr="00651F00">
        <w:rPr>
          <w:rFonts w:ascii="Times New Roman" w:eastAsia="Calibri" w:hAnsi="Times New Roman"/>
        </w:rPr>
        <w:t> </w:t>
      </w:r>
      <w:r w:rsidRPr="0085799C">
        <w:rPr>
          <w:rFonts w:ascii="Times New Roman" w:eastAsia="Calibri" w:hAnsi="Times New Roman"/>
        </w:rPr>
        <w:t xml:space="preserve">hodnote 779 548 </w:t>
      </w:r>
      <w:r w:rsidR="00C914BE" w:rsidRPr="0085799C">
        <w:rPr>
          <w:rFonts w:ascii="Times New Roman" w:eastAsia="Calibri" w:hAnsi="Times New Roman"/>
        </w:rPr>
        <w:t>tis.</w:t>
      </w:r>
      <w:r w:rsidRPr="0085799C">
        <w:rPr>
          <w:rFonts w:ascii="Times New Roman" w:eastAsia="Calibri" w:hAnsi="Times New Roman"/>
        </w:rPr>
        <w:t xml:space="preserve"> eur, kde ministerstvo vytvára a udržuje konkrétne druhy zásob v požadovanej výške a štruktúre, ktorá zodpovedá predovšetkým potrebám zabezpečenia bojovej činnosti. Najvyššiu hodnotu majú zásoby munície, výbušnín, riadené strely, zásoby výzbroje, výstroje, techniky a náhradné dielce. </w:t>
      </w:r>
    </w:p>
    <w:p w14:paraId="44869385" w14:textId="51E94D36" w:rsidR="00647542" w:rsidRPr="0085799C" w:rsidRDefault="712C003A" w:rsidP="0085799C">
      <w:pPr>
        <w:spacing w:after="120" w:line="240" w:lineRule="auto"/>
        <w:jc w:val="both"/>
        <w:rPr>
          <w:rFonts w:ascii="Times New Roman" w:eastAsia="Calibri" w:hAnsi="Times New Roman"/>
        </w:rPr>
      </w:pPr>
      <w:r w:rsidRPr="0085799C">
        <w:rPr>
          <w:rFonts w:ascii="Times New Roman" w:eastAsia="Calibri" w:hAnsi="Times New Roman"/>
          <w:u w:val="single"/>
        </w:rPr>
        <w:t>Ministerstvo vnútra SR</w:t>
      </w:r>
      <w:r w:rsidRPr="0085799C">
        <w:rPr>
          <w:rFonts w:ascii="Times New Roman" w:eastAsia="Calibri" w:hAnsi="Times New Roman"/>
        </w:rPr>
        <w:t xml:space="preserve"> vykázalo zásoby materiálu v hodnote 87</w:t>
      </w:r>
      <w:r w:rsidR="00170D27" w:rsidRPr="0085799C">
        <w:rPr>
          <w:rFonts w:ascii="Times New Roman" w:eastAsia="Calibri" w:hAnsi="Times New Roman"/>
        </w:rPr>
        <w:t> </w:t>
      </w:r>
      <w:r w:rsidRPr="0085799C">
        <w:rPr>
          <w:rFonts w:ascii="Times New Roman" w:eastAsia="Calibri" w:hAnsi="Times New Roman"/>
        </w:rPr>
        <w:t>80</w:t>
      </w:r>
      <w:r w:rsidR="00170D27" w:rsidRPr="0085799C">
        <w:rPr>
          <w:rFonts w:ascii="Times New Roman" w:eastAsia="Calibri" w:hAnsi="Times New Roman"/>
        </w:rPr>
        <w:t>4 tis.</w:t>
      </w:r>
      <w:r w:rsidRPr="0085799C">
        <w:rPr>
          <w:rFonts w:ascii="Times New Roman" w:eastAsia="Calibri" w:hAnsi="Times New Roman"/>
        </w:rPr>
        <w:t xml:space="preserve"> eur, najmä v podobe interiérového vybavenia, stavebno-inštalačného materiálu, automobilovej a člnovej techniky, PHM, výzbroje a munície, kancelárskych potrieb, kancelárskej techniky, výpočtovej a telekomunikačnej techniky, materiálu civilnej ochrany, humanitného materiálu, hasičskej, záchranárskej a povodňovej techniky a materiálu, osobných dokladov, tabuliek s evidenčným číslom, zdravotníckej a veterinárnej techniky.</w:t>
      </w:r>
    </w:p>
    <w:p w14:paraId="1141C942" w14:textId="38C253A3" w:rsidR="00647542" w:rsidRPr="0085799C" w:rsidRDefault="712C003A" w:rsidP="0085799C">
      <w:pPr>
        <w:spacing w:after="120" w:line="240" w:lineRule="auto"/>
        <w:jc w:val="both"/>
        <w:rPr>
          <w:rFonts w:ascii="Times New Roman" w:eastAsia="Calibri" w:hAnsi="Times New Roman"/>
        </w:rPr>
      </w:pPr>
      <w:r w:rsidRPr="0085799C">
        <w:rPr>
          <w:rFonts w:ascii="Times New Roman" w:eastAsia="Calibri" w:hAnsi="Times New Roman"/>
          <w:u w:val="single"/>
        </w:rPr>
        <w:t>Kapitola Ministerstvo zdravotníctva SR</w:t>
      </w:r>
      <w:r w:rsidRPr="0085799C">
        <w:rPr>
          <w:rFonts w:ascii="Times New Roman" w:eastAsia="Calibri" w:hAnsi="Times New Roman"/>
        </w:rPr>
        <w:t xml:space="preserve"> vykázala zásoby materiálu v hodnote </w:t>
      </w:r>
      <w:r w:rsidRPr="0085799C">
        <w:rPr>
          <w:rFonts w:ascii="Times New Roman" w:eastAsia="Calibri" w:hAnsi="Times New Roman"/>
          <w:color w:val="000000" w:themeColor="text1"/>
        </w:rPr>
        <w:t>84</w:t>
      </w:r>
      <w:r w:rsidR="00CB11A7">
        <w:rPr>
          <w:rFonts w:ascii="Times New Roman" w:eastAsia="Calibri" w:hAnsi="Times New Roman"/>
          <w:color w:val="000000" w:themeColor="text1"/>
        </w:rPr>
        <w:t> </w:t>
      </w:r>
      <w:r w:rsidRPr="0085799C">
        <w:rPr>
          <w:rFonts w:ascii="Times New Roman" w:eastAsia="Calibri" w:hAnsi="Times New Roman"/>
          <w:color w:val="000000" w:themeColor="text1"/>
        </w:rPr>
        <w:t>412</w:t>
      </w:r>
      <w:r w:rsidR="00CB11A7">
        <w:rPr>
          <w:rFonts w:ascii="Times New Roman" w:eastAsia="Calibri" w:hAnsi="Times New Roman"/>
          <w:color w:val="000000" w:themeColor="text1"/>
        </w:rPr>
        <w:t> </w:t>
      </w:r>
      <w:r w:rsidR="00170D27" w:rsidRPr="0085799C">
        <w:rPr>
          <w:rFonts w:ascii="Times New Roman" w:eastAsia="Calibri" w:hAnsi="Times New Roman"/>
          <w:color w:val="000000" w:themeColor="text1"/>
        </w:rPr>
        <w:t>tis.</w:t>
      </w:r>
      <w:r w:rsidR="00CB11A7">
        <w:rPr>
          <w:rFonts w:ascii="Times New Roman" w:eastAsia="Calibri" w:hAnsi="Times New Roman"/>
          <w:color w:val="000000" w:themeColor="text1"/>
        </w:rPr>
        <w:t> </w:t>
      </w:r>
      <w:r w:rsidRPr="0085799C">
        <w:rPr>
          <w:rFonts w:ascii="Times New Roman" w:eastAsia="Calibri" w:hAnsi="Times New Roman"/>
        </w:rPr>
        <w:t>eur, čo predstavovalo pokles o 31</w:t>
      </w:r>
      <w:r w:rsidR="00170D27" w:rsidRPr="0085799C">
        <w:rPr>
          <w:rFonts w:ascii="Times New Roman" w:eastAsia="Calibri" w:hAnsi="Times New Roman"/>
        </w:rPr>
        <w:t> </w:t>
      </w:r>
      <w:r w:rsidRPr="0085799C">
        <w:rPr>
          <w:rFonts w:ascii="Times New Roman" w:eastAsia="Calibri" w:hAnsi="Times New Roman"/>
        </w:rPr>
        <w:t>31</w:t>
      </w:r>
      <w:r w:rsidR="00170D27" w:rsidRPr="0085799C">
        <w:rPr>
          <w:rFonts w:ascii="Times New Roman" w:eastAsia="Calibri" w:hAnsi="Times New Roman"/>
        </w:rPr>
        <w:t>5 tis.</w:t>
      </w:r>
      <w:r w:rsidRPr="0085799C">
        <w:rPr>
          <w:rFonts w:ascii="Times New Roman" w:eastAsia="Calibri" w:hAnsi="Times New Roman"/>
        </w:rPr>
        <w:t xml:space="preserve"> eur oproti minulému roku. Pokles bol spôsobený exspiráciou a likvidáciou vakcín a liekov.</w:t>
      </w:r>
    </w:p>
    <w:p w14:paraId="1A516A32" w14:textId="120F7566" w:rsidR="00647542" w:rsidRPr="0085799C" w:rsidRDefault="712C003A" w:rsidP="0085799C">
      <w:pPr>
        <w:spacing w:after="120" w:line="240" w:lineRule="auto"/>
        <w:jc w:val="both"/>
        <w:rPr>
          <w:rFonts w:ascii="Times New Roman" w:eastAsia="Calibri" w:hAnsi="Times New Roman"/>
        </w:rPr>
      </w:pPr>
      <w:r w:rsidRPr="0085799C">
        <w:rPr>
          <w:rFonts w:ascii="Times New Roman" w:eastAsia="Calibri" w:hAnsi="Times New Roman"/>
        </w:rPr>
        <w:t xml:space="preserve">Na položke materiál sa významne podieľala aj </w:t>
      </w:r>
      <w:r w:rsidRPr="0085799C">
        <w:rPr>
          <w:rFonts w:ascii="Times New Roman" w:eastAsia="Calibri" w:hAnsi="Times New Roman"/>
          <w:u w:val="single"/>
        </w:rPr>
        <w:t>kapitola Ministerstva dopravy SR</w:t>
      </w:r>
      <w:r w:rsidRPr="0085799C">
        <w:rPr>
          <w:rFonts w:ascii="Times New Roman" w:eastAsia="Calibri" w:hAnsi="Times New Roman"/>
        </w:rPr>
        <w:t xml:space="preserve"> sumou 83</w:t>
      </w:r>
      <w:r w:rsidR="00170D27" w:rsidRPr="0085799C">
        <w:rPr>
          <w:rFonts w:ascii="Times New Roman" w:eastAsia="Calibri" w:hAnsi="Times New Roman"/>
        </w:rPr>
        <w:t> </w:t>
      </w:r>
      <w:r w:rsidRPr="0085799C">
        <w:rPr>
          <w:rFonts w:ascii="Times New Roman" w:eastAsia="Calibri" w:hAnsi="Times New Roman"/>
        </w:rPr>
        <w:t>59</w:t>
      </w:r>
      <w:r w:rsidR="00170D27" w:rsidRPr="0085799C">
        <w:rPr>
          <w:rFonts w:ascii="Times New Roman" w:eastAsia="Calibri" w:hAnsi="Times New Roman"/>
        </w:rPr>
        <w:t>5 tis.</w:t>
      </w:r>
      <w:r w:rsidRPr="0085799C">
        <w:rPr>
          <w:rFonts w:ascii="Times New Roman" w:eastAsia="Calibri" w:hAnsi="Times New Roman"/>
        </w:rPr>
        <w:t xml:space="preserve"> eur, najmä prostredníctvom</w:t>
      </w:r>
      <w:r w:rsidRPr="0085799C">
        <w:rPr>
          <w:rFonts w:ascii="Times New Roman" w:eastAsia="Calibri" w:hAnsi="Times New Roman"/>
          <w:color w:val="C00000"/>
        </w:rPr>
        <w:t xml:space="preserve"> </w:t>
      </w:r>
      <w:r w:rsidRPr="0085799C">
        <w:rPr>
          <w:rFonts w:ascii="Times New Roman" w:eastAsia="Calibri" w:hAnsi="Times New Roman"/>
          <w:u w:val="single"/>
        </w:rPr>
        <w:t>Železničnej spoločnosti Slovensko, a.s.</w:t>
      </w:r>
      <w:r w:rsidRPr="0085799C">
        <w:rPr>
          <w:rFonts w:ascii="Times New Roman" w:eastAsia="Calibri" w:hAnsi="Times New Roman"/>
        </w:rPr>
        <w:t xml:space="preserve"> (34</w:t>
      </w:r>
      <w:r w:rsidR="00170D27" w:rsidRPr="0085799C">
        <w:rPr>
          <w:rFonts w:ascii="Times New Roman" w:eastAsia="Calibri" w:hAnsi="Times New Roman"/>
        </w:rPr>
        <w:t> </w:t>
      </w:r>
      <w:r w:rsidRPr="0085799C">
        <w:rPr>
          <w:rFonts w:ascii="Times New Roman" w:eastAsia="Calibri" w:hAnsi="Times New Roman"/>
        </w:rPr>
        <w:t>11</w:t>
      </w:r>
      <w:r w:rsidR="00170D27" w:rsidRPr="0085799C">
        <w:rPr>
          <w:rFonts w:ascii="Times New Roman" w:eastAsia="Calibri" w:hAnsi="Times New Roman"/>
        </w:rPr>
        <w:t>6 tis.</w:t>
      </w:r>
      <w:r w:rsidRPr="0085799C">
        <w:rPr>
          <w:rFonts w:ascii="Times New Roman" w:eastAsia="Calibri" w:hAnsi="Times New Roman"/>
        </w:rPr>
        <w:t xml:space="preserve"> eur), </w:t>
      </w:r>
      <w:r w:rsidRPr="0085799C">
        <w:rPr>
          <w:rFonts w:ascii="Times New Roman" w:eastAsia="Calibri" w:hAnsi="Times New Roman"/>
          <w:u w:val="single"/>
        </w:rPr>
        <w:t>Železníc Slovenskej republiky</w:t>
      </w:r>
      <w:r w:rsidRPr="0085799C">
        <w:rPr>
          <w:rFonts w:ascii="Times New Roman" w:eastAsia="Calibri" w:hAnsi="Times New Roman"/>
        </w:rPr>
        <w:t xml:space="preserve"> (18</w:t>
      </w:r>
      <w:r w:rsidR="00170D27" w:rsidRPr="0085799C">
        <w:rPr>
          <w:rFonts w:ascii="Times New Roman" w:eastAsia="Calibri" w:hAnsi="Times New Roman"/>
        </w:rPr>
        <w:t> </w:t>
      </w:r>
      <w:r w:rsidRPr="0085799C">
        <w:rPr>
          <w:rFonts w:ascii="Times New Roman" w:eastAsia="Calibri" w:hAnsi="Times New Roman"/>
        </w:rPr>
        <w:t>14</w:t>
      </w:r>
      <w:r w:rsidR="00170D27" w:rsidRPr="0085799C">
        <w:rPr>
          <w:rFonts w:ascii="Times New Roman" w:eastAsia="Calibri" w:hAnsi="Times New Roman"/>
        </w:rPr>
        <w:t>4 tis.</w:t>
      </w:r>
      <w:r w:rsidRPr="0085799C">
        <w:rPr>
          <w:rFonts w:ascii="Times New Roman" w:eastAsia="Calibri" w:hAnsi="Times New Roman"/>
        </w:rPr>
        <w:t xml:space="preserve"> eur), </w:t>
      </w:r>
      <w:r w:rsidRPr="0085799C">
        <w:rPr>
          <w:rFonts w:ascii="Times New Roman" w:eastAsia="Calibri" w:hAnsi="Times New Roman"/>
          <w:u w:val="single"/>
        </w:rPr>
        <w:t>Železničnej spoločnosti Cargo Slovakia, a.s.</w:t>
      </w:r>
      <w:r w:rsidRPr="0085799C">
        <w:rPr>
          <w:rFonts w:ascii="Times New Roman" w:eastAsia="Calibri" w:hAnsi="Times New Roman"/>
        </w:rPr>
        <w:t xml:space="preserve"> (13 487 </w:t>
      </w:r>
      <w:r w:rsidR="00170D27" w:rsidRPr="0085799C">
        <w:rPr>
          <w:rFonts w:ascii="Times New Roman" w:eastAsia="Calibri" w:hAnsi="Times New Roman"/>
        </w:rPr>
        <w:t>tis.</w:t>
      </w:r>
      <w:r w:rsidRPr="0085799C">
        <w:rPr>
          <w:rFonts w:ascii="Times New Roman" w:eastAsia="Calibri" w:hAnsi="Times New Roman"/>
        </w:rPr>
        <w:t xml:space="preserve"> eur) a </w:t>
      </w:r>
      <w:r w:rsidRPr="0085799C">
        <w:rPr>
          <w:rFonts w:ascii="Times New Roman" w:eastAsia="Calibri" w:hAnsi="Times New Roman"/>
          <w:u w:val="single"/>
        </w:rPr>
        <w:t>Národnej diaľničnej spoločnosti, a.s.</w:t>
      </w:r>
      <w:r w:rsidRPr="0085799C">
        <w:rPr>
          <w:rFonts w:ascii="Times New Roman" w:eastAsia="Calibri" w:hAnsi="Times New Roman"/>
        </w:rPr>
        <w:t xml:space="preserve"> (10</w:t>
      </w:r>
      <w:r w:rsidR="00170D27" w:rsidRPr="0085799C">
        <w:rPr>
          <w:rFonts w:ascii="Times New Roman" w:eastAsia="Calibri" w:hAnsi="Times New Roman"/>
        </w:rPr>
        <w:t> </w:t>
      </w:r>
      <w:r w:rsidRPr="0085799C">
        <w:rPr>
          <w:rFonts w:ascii="Times New Roman" w:eastAsia="Calibri" w:hAnsi="Times New Roman"/>
        </w:rPr>
        <w:t>7</w:t>
      </w:r>
      <w:r w:rsidR="00170D27" w:rsidRPr="0085799C">
        <w:rPr>
          <w:rFonts w:ascii="Times New Roman" w:eastAsia="Calibri" w:hAnsi="Times New Roman"/>
        </w:rPr>
        <w:t>90 tis.</w:t>
      </w:r>
      <w:r w:rsidRPr="0085799C">
        <w:rPr>
          <w:rFonts w:ascii="Times New Roman" w:eastAsia="Calibri" w:hAnsi="Times New Roman"/>
        </w:rPr>
        <w:t xml:space="preserve"> eur).</w:t>
      </w:r>
    </w:p>
    <w:p w14:paraId="6B6C2D53" w14:textId="77777777" w:rsidR="000168B0" w:rsidRPr="00651F00" w:rsidRDefault="000168B0" w:rsidP="007814C9">
      <w:pPr>
        <w:pStyle w:val="Pismenka"/>
        <w:tabs>
          <w:tab w:val="clear" w:pos="426"/>
        </w:tabs>
        <w:spacing w:after="120"/>
        <w:ind w:left="0" w:firstLine="0"/>
        <w:rPr>
          <w:b w:val="0"/>
          <w:sz w:val="22"/>
          <w:szCs w:val="22"/>
        </w:rPr>
      </w:pPr>
    </w:p>
    <w:p w14:paraId="1B1D26A3" w14:textId="5F3605D1" w:rsidR="00647542" w:rsidRPr="00907622" w:rsidRDefault="000168B0" w:rsidP="0085799C">
      <w:pPr>
        <w:pStyle w:val="Nadpis4"/>
        <w:numPr>
          <w:ilvl w:val="0"/>
          <w:numId w:val="54"/>
        </w:numPr>
        <w:ind w:left="426" w:hanging="426"/>
        <w:rPr>
          <w:b w:val="0"/>
          <w:szCs w:val="22"/>
        </w:rPr>
      </w:pPr>
      <w:bookmarkStart w:id="23" w:name="_Tovar"/>
      <w:bookmarkEnd w:id="23"/>
      <w:r>
        <w:t>Tovar</w:t>
      </w:r>
    </w:p>
    <w:p w14:paraId="35762676" w14:textId="676B1826" w:rsidR="00647542" w:rsidRPr="00BC4ABD" w:rsidRDefault="4DF84CEB" w:rsidP="0D1EEFC8">
      <w:pPr>
        <w:pStyle w:val="Pismenka"/>
        <w:tabs>
          <w:tab w:val="clear" w:pos="426"/>
        </w:tabs>
        <w:spacing w:after="120"/>
        <w:ind w:left="0" w:firstLine="0"/>
        <w:rPr>
          <w:rFonts w:eastAsia="Calibri"/>
        </w:rPr>
      </w:pPr>
      <w:r w:rsidRPr="0085799C">
        <w:rPr>
          <w:rFonts w:eastAsia="Calibri"/>
          <w:b w:val="0"/>
          <w:sz w:val="22"/>
          <w:szCs w:val="22"/>
        </w:rPr>
        <w:t xml:space="preserve">Ďalšou najvýznamnejšou položkou zásob je tovar, ktorý dosiahol v rámci </w:t>
      </w:r>
      <w:r w:rsidR="00006714" w:rsidRPr="0085799C">
        <w:rPr>
          <w:rFonts w:eastAsia="Calibri"/>
          <w:b w:val="0"/>
          <w:sz w:val="22"/>
          <w:szCs w:val="22"/>
        </w:rPr>
        <w:t>súhrnného celku</w:t>
      </w:r>
      <w:r w:rsidRPr="0085799C">
        <w:rPr>
          <w:rFonts w:eastAsia="Calibri"/>
          <w:b w:val="0"/>
          <w:sz w:val="22"/>
          <w:szCs w:val="22"/>
        </w:rPr>
        <w:t xml:space="preserve"> hodnotu </w:t>
      </w:r>
      <w:r w:rsidR="00094CAD" w:rsidRPr="0085799C">
        <w:rPr>
          <w:rFonts w:eastAsia="Calibri"/>
          <w:b w:val="0"/>
          <w:sz w:val="22"/>
          <w:szCs w:val="22"/>
        </w:rPr>
        <w:t>40</w:t>
      </w:r>
      <w:r w:rsidR="004324EC" w:rsidRPr="0085799C">
        <w:rPr>
          <w:rFonts w:eastAsia="Calibri"/>
          <w:b w:val="0"/>
          <w:sz w:val="22"/>
          <w:szCs w:val="22"/>
        </w:rPr>
        <w:t xml:space="preserve"> 062 </w:t>
      </w:r>
      <w:r w:rsidR="00551A29" w:rsidRPr="0085799C">
        <w:rPr>
          <w:rFonts w:eastAsia="Calibri"/>
          <w:b w:val="0"/>
          <w:sz w:val="22"/>
          <w:szCs w:val="22"/>
        </w:rPr>
        <w:t>tis.</w:t>
      </w:r>
      <w:r w:rsidR="002601F8" w:rsidRPr="0085799C">
        <w:rPr>
          <w:rFonts w:eastAsia="Calibri"/>
          <w:b w:val="0"/>
          <w:sz w:val="22"/>
          <w:szCs w:val="22"/>
        </w:rPr>
        <w:t xml:space="preserve"> s medziročným poklesom o</w:t>
      </w:r>
      <w:r w:rsidR="00E01A2D" w:rsidRPr="0085799C">
        <w:rPr>
          <w:rFonts w:eastAsia="Calibri"/>
          <w:b w:val="0"/>
          <w:sz w:val="22"/>
          <w:szCs w:val="22"/>
        </w:rPr>
        <w:t xml:space="preserve"> 107 </w:t>
      </w:r>
      <w:r w:rsidR="006D0E60" w:rsidRPr="0085799C">
        <w:rPr>
          <w:rFonts w:eastAsia="Calibri"/>
          <w:b w:val="0"/>
          <w:sz w:val="22"/>
          <w:szCs w:val="22"/>
        </w:rPr>
        <w:t>572</w:t>
      </w:r>
      <w:r w:rsidR="002601F8" w:rsidRPr="0085799C">
        <w:rPr>
          <w:rFonts w:eastAsia="Calibri"/>
          <w:b w:val="0"/>
          <w:sz w:val="22"/>
          <w:szCs w:val="22"/>
        </w:rPr>
        <w:t xml:space="preserve"> tis. </w:t>
      </w:r>
      <w:r w:rsidRPr="0085799C">
        <w:rPr>
          <w:rFonts w:eastAsia="Calibri"/>
          <w:b w:val="0"/>
          <w:sz w:val="22"/>
          <w:szCs w:val="22"/>
        </w:rPr>
        <w:t>eur</w:t>
      </w:r>
      <w:r w:rsidR="002601F8" w:rsidRPr="0085799C">
        <w:rPr>
          <w:rFonts w:eastAsia="Calibri"/>
          <w:b w:val="0"/>
          <w:sz w:val="22"/>
          <w:szCs w:val="22"/>
        </w:rPr>
        <w:t>.</w:t>
      </w:r>
      <w:r w:rsidR="00A95619" w:rsidRPr="0085799C">
        <w:rPr>
          <w:rFonts w:eastAsia="Calibri"/>
          <w:b w:val="0"/>
          <w:sz w:val="22"/>
          <w:szCs w:val="22"/>
        </w:rPr>
        <w:t xml:space="preserve"> Takmer </w:t>
      </w:r>
      <w:r w:rsidR="001C2CED" w:rsidRPr="0085799C">
        <w:rPr>
          <w:rFonts w:eastAsia="Calibri"/>
          <w:b w:val="0"/>
          <w:sz w:val="22"/>
          <w:szCs w:val="22"/>
        </w:rPr>
        <w:t>78,8</w:t>
      </w:r>
      <w:r w:rsidR="00B8273D" w:rsidRPr="0085799C">
        <w:rPr>
          <w:rFonts w:eastAsia="Calibri"/>
          <w:b w:val="0"/>
          <w:sz w:val="22"/>
          <w:szCs w:val="22"/>
        </w:rPr>
        <w:t xml:space="preserve"> % </w:t>
      </w:r>
      <w:r w:rsidR="0097212E" w:rsidRPr="0085799C">
        <w:rPr>
          <w:rFonts w:eastAsia="Calibri"/>
          <w:b w:val="0"/>
          <w:sz w:val="22"/>
          <w:szCs w:val="22"/>
        </w:rPr>
        <w:t xml:space="preserve">zásob tovaru je </w:t>
      </w:r>
      <w:r w:rsidR="00E9236A" w:rsidRPr="0085799C">
        <w:rPr>
          <w:rFonts w:eastAsia="Calibri"/>
          <w:b w:val="0"/>
          <w:sz w:val="22"/>
          <w:szCs w:val="22"/>
        </w:rPr>
        <w:t xml:space="preserve">vykazované subjektami </w:t>
      </w:r>
      <w:r w:rsidRPr="0085799C">
        <w:rPr>
          <w:rFonts w:eastAsia="Calibri"/>
          <w:b w:val="0"/>
          <w:sz w:val="22"/>
          <w:szCs w:val="22"/>
        </w:rPr>
        <w:t xml:space="preserve">ústrednej správy </w:t>
      </w:r>
      <w:r w:rsidR="00E9236A" w:rsidRPr="0085799C">
        <w:rPr>
          <w:rFonts w:eastAsia="Calibri"/>
          <w:b w:val="0"/>
          <w:sz w:val="22"/>
          <w:szCs w:val="22"/>
        </w:rPr>
        <w:t>(</w:t>
      </w:r>
      <w:r w:rsidRPr="0085799C">
        <w:rPr>
          <w:rFonts w:eastAsia="Calibri"/>
          <w:b w:val="0"/>
          <w:sz w:val="22"/>
          <w:szCs w:val="22"/>
        </w:rPr>
        <w:t xml:space="preserve">31 565 </w:t>
      </w:r>
      <w:r w:rsidR="00E9236A" w:rsidRPr="0085799C">
        <w:rPr>
          <w:rFonts w:eastAsia="Calibri"/>
          <w:b w:val="0"/>
          <w:sz w:val="22"/>
          <w:szCs w:val="22"/>
        </w:rPr>
        <w:t>tis.</w:t>
      </w:r>
      <w:r w:rsidRPr="0085799C">
        <w:rPr>
          <w:rFonts w:eastAsia="Calibri"/>
          <w:b w:val="0"/>
          <w:sz w:val="22"/>
          <w:szCs w:val="22"/>
        </w:rPr>
        <w:t xml:space="preserve"> eur</w:t>
      </w:r>
      <w:r w:rsidR="00E9236A" w:rsidRPr="0085799C">
        <w:rPr>
          <w:rFonts w:eastAsia="Calibri"/>
          <w:b w:val="0"/>
          <w:sz w:val="22"/>
          <w:szCs w:val="22"/>
        </w:rPr>
        <w:t>)</w:t>
      </w:r>
      <w:r w:rsidRPr="0085799C">
        <w:rPr>
          <w:rFonts w:eastAsia="Calibri"/>
          <w:b w:val="0"/>
          <w:sz w:val="22"/>
          <w:szCs w:val="22"/>
        </w:rPr>
        <w:t xml:space="preserve">, na ktorých sa podieľala prevažne </w:t>
      </w:r>
      <w:r w:rsidRPr="0085799C">
        <w:rPr>
          <w:rFonts w:eastAsia="Calibri"/>
          <w:b w:val="0"/>
          <w:sz w:val="22"/>
          <w:szCs w:val="22"/>
          <w:u w:val="single"/>
        </w:rPr>
        <w:t xml:space="preserve">MH </w:t>
      </w:r>
      <w:proofErr w:type="spellStart"/>
      <w:r w:rsidRPr="0085799C">
        <w:rPr>
          <w:rFonts w:eastAsia="Calibri"/>
          <w:b w:val="0"/>
          <w:sz w:val="22"/>
          <w:szCs w:val="22"/>
          <w:u w:val="single"/>
        </w:rPr>
        <w:t>Invest</w:t>
      </w:r>
      <w:proofErr w:type="spellEnd"/>
      <w:r w:rsidRPr="0085799C">
        <w:rPr>
          <w:rFonts w:eastAsia="Calibri"/>
          <w:b w:val="0"/>
          <w:sz w:val="22"/>
          <w:szCs w:val="22"/>
          <w:u w:val="single"/>
        </w:rPr>
        <w:t xml:space="preserve">, </w:t>
      </w:r>
      <w:proofErr w:type="spellStart"/>
      <w:r w:rsidRPr="0085799C">
        <w:rPr>
          <w:rFonts w:eastAsia="Calibri"/>
          <w:b w:val="0"/>
          <w:sz w:val="22"/>
          <w:szCs w:val="22"/>
          <w:u w:val="single"/>
        </w:rPr>
        <w:t>s.r.o</w:t>
      </w:r>
      <w:proofErr w:type="spellEnd"/>
      <w:r w:rsidRPr="0085799C">
        <w:rPr>
          <w:rFonts w:eastAsia="Calibri"/>
          <w:b w:val="0"/>
          <w:sz w:val="22"/>
          <w:szCs w:val="22"/>
          <w:u w:val="single"/>
        </w:rPr>
        <w:t xml:space="preserve">. </w:t>
      </w:r>
      <w:r w:rsidRPr="0085799C">
        <w:rPr>
          <w:rFonts w:eastAsia="Calibri"/>
          <w:b w:val="0"/>
          <w:sz w:val="22"/>
          <w:szCs w:val="22"/>
        </w:rPr>
        <w:t xml:space="preserve"> (10</w:t>
      </w:r>
      <w:r w:rsidR="00A55D69" w:rsidRPr="0085799C">
        <w:rPr>
          <w:rFonts w:eastAsia="Calibri"/>
          <w:b w:val="0"/>
          <w:sz w:val="22"/>
          <w:szCs w:val="22"/>
        </w:rPr>
        <w:t> </w:t>
      </w:r>
      <w:r w:rsidRPr="0085799C">
        <w:rPr>
          <w:rFonts w:eastAsia="Calibri"/>
          <w:b w:val="0"/>
          <w:sz w:val="22"/>
          <w:szCs w:val="22"/>
        </w:rPr>
        <w:t>87</w:t>
      </w:r>
      <w:r w:rsidR="00A55D69" w:rsidRPr="0085799C">
        <w:rPr>
          <w:rFonts w:eastAsia="Calibri"/>
          <w:b w:val="0"/>
          <w:sz w:val="22"/>
          <w:szCs w:val="22"/>
        </w:rPr>
        <w:t>3</w:t>
      </w:r>
      <w:r w:rsidR="00CB11A7">
        <w:rPr>
          <w:rFonts w:eastAsia="Calibri"/>
          <w:b w:val="0"/>
          <w:sz w:val="22"/>
          <w:szCs w:val="22"/>
        </w:rPr>
        <w:t> </w:t>
      </w:r>
      <w:r w:rsidR="00A55D69" w:rsidRPr="0085799C">
        <w:rPr>
          <w:rFonts w:eastAsia="Calibri"/>
          <w:b w:val="0"/>
          <w:sz w:val="22"/>
          <w:szCs w:val="22"/>
        </w:rPr>
        <w:t>tis</w:t>
      </w:r>
      <w:r w:rsidR="003F6B52" w:rsidRPr="0085799C">
        <w:rPr>
          <w:rFonts w:eastAsia="Calibri"/>
          <w:b w:val="0"/>
          <w:sz w:val="22"/>
          <w:szCs w:val="22"/>
        </w:rPr>
        <w:t>.</w:t>
      </w:r>
      <w:r w:rsidR="00CB11A7">
        <w:rPr>
          <w:rFonts w:eastAsia="Calibri"/>
          <w:b w:val="0"/>
          <w:sz w:val="22"/>
          <w:szCs w:val="22"/>
        </w:rPr>
        <w:t> </w:t>
      </w:r>
      <w:r w:rsidRPr="0085799C">
        <w:rPr>
          <w:rFonts w:eastAsia="Calibri"/>
          <w:b w:val="0"/>
          <w:sz w:val="22"/>
          <w:szCs w:val="22"/>
        </w:rPr>
        <w:t>eur), čo predstavovalo 79,3 % z celkového objemu a predstavuje nehnuteľnosti na predaj investorom v strategickom priemyselnom parku Nitra</w:t>
      </w:r>
      <w:r w:rsidR="006A4767">
        <w:rPr>
          <w:rFonts w:eastAsia="Calibri"/>
          <w:b w:val="0"/>
          <w:sz w:val="22"/>
          <w:szCs w:val="22"/>
        </w:rPr>
        <w:t>.</w:t>
      </w:r>
    </w:p>
    <w:p w14:paraId="1E33BCE7" w14:textId="77777777" w:rsidR="000168B0" w:rsidRPr="0020159B" w:rsidRDefault="000168B0" w:rsidP="000168B0">
      <w:pPr>
        <w:pStyle w:val="Pismenka"/>
        <w:tabs>
          <w:tab w:val="clear" w:pos="426"/>
        </w:tabs>
        <w:spacing w:after="120"/>
        <w:ind w:left="0" w:firstLine="0"/>
        <w:rPr>
          <w:rFonts w:eastAsia="Calibri"/>
          <w:b w:val="0"/>
          <w:sz w:val="22"/>
          <w:szCs w:val="22"/>
        </w:rPr>
      </w:pPr>
    </w:p>
    <w:p w14:paraId="760E9DD7" w14:textId="6DA46B89" w:rsidR="00CB75C8" w:rsidRPr="000A0BB7" w:rsidRDefault="00CB75C8" w:rsidP="0085799C">
      <w:pPr>
        <w:pStyle w:val="Nadpis4"/>
        <w:numPr>
          <w:ilvl w:val="0"/>
          <w:numId w:val="54"/>
        </w:numPr>
        <w:ind w:left="426" w:hanging="426"/>
      </w:pPr>
      <w:bookmarkStart w:id="24" w:name="_Výrobky"/>
      <w:bookmarkEnd w:id="24"/>
      <w:r>
        <w:t>Výrobky</w:t>
      </w:r>
    </w:p>
    <w:p w14:paraId="4C69C4FF" w14:textId="328DAF19" w:rsidR="00647542" w:rsidRPr="0085799C" w:rsidRDefault="00647542" w:rsidP="00651F00">
      <w:pPr>
        <w:pStyle w:val="Pismenka"/>
        <w:tabs>
          <w:tab w:val="clear" w:pos="426"/>
        </w:tabs>
        <w:spacing w:after="120"/>
        <w:ind w:left="0" w:firstLine="0"/>
        <w:rPr>
          <w:rFonts w:eastAsia="Calibri"/>
          <w:sz w:val="20"/>
          <w:szCs w:val="20"/>
        </w:rPr>
      </w:pPr>
      <w:r w:rsidRPr="00907622">
        <w:rPr>
          <w:b w:val="0"/>
          <w:bCs w:val="0"/>
          <w:sz w:val="22"/>
          <w:szCs w:val="22"/>
        </w:rPr>
        <w:t xml:space="preserve">Hodnota výrobkov </w:t>
      </w:r>
      <w:r w:rsidR="00873261" w:rsidRPr="0085799C">
        <w:rPr>
          <w:rFonts w:eastAsia="Calibri"/>
          <w:b w:val="0"/>
          <w:sz w:val="22"/>
          <w:szCs w:val="22"/>
        </w:rPr>
        <w:t xml:space="preserve">súhrnného celku </w:t>
      </w:r>
      <w:r w:rsidRPr="00907622">
        <w:rPr>
          <w:b w:val="0"/>
          <w:bCs w:val="0"/>
          <w:sz w:val="22"/>
          <w:szCs w:val="22"/>
        </w:rPr>
        <w:t>za rok 202</w:t>
      </w:r>
      <w:r w:rsidR="009B2699" w:rsidRPr="00BC4ABD">
        <w:rPr>
          <w:b w:val="0"/>
          <w:sz w:val="22"/>
          <w:szCs w:val="22"/>
        </w:rPr>
        <w:t>4</w:t>
      </w:r>
      <w:r w:rsidRPr="00907622">
        <w:rPr>
          <w:b w:val="0"/>
          <w:bCs w:val="0"/>
          <w:sz w:val="22"/>
          <w:szCs w:val="22"/>
        </w:rPr>
        <w:t xml:space="preserve"> dosiahla </w:t>
      </w:r>
      <w:r w:rsidR="00873261" w:rsidRPr="0085799C">
        <w:rPr>
          <w:rFonts w:eastAsia="Calibri"/>
          <w:b w:val="0"/>
          <w:sz w:val="22"/>
          <w:szCs w:val="22"/>
        </w:rPr>
        <w:t>587 086 tis. s medziročným poklesom o 16 176 tis. eur. Takmer 99,4 %</w:t>
      </w:r>
      <w:r w:rsidR="37FA18F4" w:rsidRPr="0085799C">
        <w:rPr>
          <w:rFonts w:eastAsia="Calibri"/>
          <w:b w:val="0"/>
          <w:sz w:val="22"/>
          <w:szCs w:val="22"/>
        </w:rPr>
        <w:t xml:space="preserve"> výrobkov </w:t>
      </w:r>
      <w:r w:rsidR="00873261" w:rsidRPr="0085799C">
        <w:rPr>
          <w:rFonts w:eastAsia="Calibri"/>
          <w:b w:val="0"/>
          <w:sz w:val="22"/>
          <w:szCs w:val="22"/>
        </w:rPr>
        <w:t>je vykazované subjektami ústrednej správy (</w:t>
      </w:r>
      <w:r w:rsidR="37FA18F4" w:rsidRPr="0085799C">
        <w:rPr>
          <w:rFonts w:eastAsia="Calibri"/>
          <w:b w:val="0"/>
          <w:sz w:val="22"/>
          <w:szCs w:val="22"/>
        </w:rPr>
        <w:t>583</w:t>
      </w:r>
      <w:r w:rsidR="003F41FA" w:rsidRPr="0085799C">
        <w:rPr>
          <w:rFonts w:eastAsia="Calibri"/>
          <w:b w:val="0"/>
          <w:sz w:val="22"/>
          <w:szCs w:val="22"/>
        </w:rPr>
        <w:t> </w:t>
      </w:r>
      <w:r w:rsidR="37FA18F4" w:rsidRPr="0085799C">
        <w:rPr>
          <w:rFonts w:eastAsia="Calibri"/>
          <w:b w:val="0"/>
          <w:sz w:val="22"/>
          <w:szCs w:val="22"/>
        </w:rPr>
        <w:t xml:space="preserve">273 </w:t>
      </w:r>
      <w:r w:rsidR="00873261" w:rsidRPr="0085799C">
        <w:rPr>
          <w:rFonts w:eastAsia="Calibri"/>
          <w:b w:val="0"/>
          <w:sz w:val="22"/>
          <w:szCs w:val="22"/>
        </w:rPr>
        <w:t>tis.</w:t>
      </w:r>
      <w:r w:rsidR="37FA18F4" w:rsidRPr="0085799C">
        <w:rPr>
          <w:rFonts w:eastAsia="Calibri"/>
          <w:b w:val="0"/>
          <w:sz w:val="22"/>
          <w:szCs w:val="22"/>
        </w:rPr>
        <w:t xml:space="preserve"> eur</w:t>
      </w:r>
      <w:r w:rsidR="0011137D" w:rsidRPr="0085799C">
        <w:rPr>
          <w:rFonts w:eastAsia="Calibri"/>
          <w:b w:val="0"/>
          <w:sz w:val="22"/>
          <w:szCs w:val="22"/>
        </w:rPr>
        <w:t>)</w:t>
      </w:r>
      <w:r w:rsidR="003F41FA" w:rsidRPr="0085799C">
        <w:rPr>
          <w:rFonts w:eastAsia="Calibri"/>
          <w:b w:val="0"/>
          <w:sz w:val="22"/>
          <w:szCs w:val="22"/>
        </w:rPr>
        <w:t>,</w:t>
      </w:r>
      <w:r w:rsidR="37FA18F4" w:rsidRPr="0085799C">
        <w:rPr>
          <w:rFonts w:eastAsia="Calibri"/>
          <w:b w:val="0"/>
          <w:sz w:val="22"/>
          <w:szCs w:val="22"/>
        </w:rPr>
        <w:t xml:space="preserve"> najmä prostredníctvom </w:t>
      </w:r>
      <w:r w:rsidR="37FA18F4" w:rsidRPr="0085799C">
        <w:rPr>
          <w:rFonts w:eastAsia="Calibri"/>
          <w:b w:val="0"/>
          <w:sz w:val="22"/>
          <w:szCs w:val="22"/>
          <w:u w:val="single"/>
        </w:rPr>
        <w:t>Slovenského plynárenského priemyslu, a.s.,</w:t>
      </w:r>
      <w:r w:rsidR="37FA18F4" w:rsidRPr="0085799C">
        <w:rPr>
          <w:rFonts w:eastAsia="Calibri"/>
          <w:b w:val="0"/>
          <w:sz w:val="22"/>
          <w:szCs w:val="22"/>
        </w:rPr>
        <w:t xml:space="preserve"> ktorý vykázal hodnotu výrobkov vo výške 552 375 </w:t>
      </w:r>
      <w:r w:rsidR="00FA5590" w:rsidRPr="0085799C">
        <w:rPr>
          <w:rFonts w:eastAsia="Calibri"/>
          <w:b w:val="0"/>
          <w:sz w:val="22"/>
          <w:szCs w:val="22"/>
        </w:rPr>
        <w:t>tis.</w:t>
      </w:r>
      <w:r w:rsidR="37FA18F4" w:rsidRPr="0085799C">
        <w:rPr>
          <w:rFonts w:eastAsia="Calibri"/>
          <w:b w:val="0"/>
          <w:sz w:val="22"/>
          <w:szCs w:val="22"/>
        </w:rPr>
        <w:t xml:space="preserve"> eur. Medziročný pokles hodnoty tejto položky u Slovenského plynárenského priemyslu, a.s. bol v hodnote 23 551 </w:t>
      </w:r>
      <w:r w:rsidR="00FA5590" w:rsidRPr="0085799C">
        <w:rPr>
          <w:rFonts w:eastAsia="Calibri"/>
          <w:b w:val="0"/>
          <w:sz w:val="22"/>
          <w:szCs w:val="22"/>
        </w:rPr>
        <w:t>tis.</w:t>
      </w:r>
      <w:r w:rsidR="37FA18F4" w:rsidRPr="0085799C">
        <w:rPr>
          <w:rFonts w:eastAsia="Calibri"/>
          <w:b w:val="0"/>
          <w:sz w:val="22"/>
          <w:szCs w:val="22"/>
        </w:rPr>
        <w:t xml:space="preserve"> eur, čo bolo spôsobené znížením hodnoty zemného plynu uskladneného v podzemných zásobníkoch z dôvodu výrazného medziročného poklesu cien napriek zvýšenému objemu uskladneného zemného plynu.</w:t>
      </w:r>
    </w:p>
    <w:p w14:paraId="0C18A085" w14:textId="77777777" w:rsidR="004371AF" w:rsidRDefault="004371AF" w:rsidP="00651F00">
      <w:pPr>
        <w:pStyle w:val="Pismenka"/>
        <w:tabs>
          <w:tab w:val="clear" w:pos="426"/>
        </w:tabs>
        <w:spacing w:after="120"/>
        <w:ind w:left="0" w:firstLine="0"/>
        <w:rPr>
          <w:rFonts w:eastAsia="Calibri"/>
          <w:b w:val="0"/>
          <w:bCs w:val="0"/>
          <w:sz w:val="22"/>
          <w:szCs w:val="22"/>
        </w:rPr>
      </w:pPr>
    </w:p>
    <w:p w14:paraId="59A0EE97" w14:textId="3863AF1B" w:rsidR="004371AF" w:rsidRDefault="004371AF" w:rsidP="0085799C">
      <w:pPr>
        <w:pStyle w:val="Nadpis4"/>
        <w:numPr>
          <w:ilvl w:val="0"/>
          <w:numId w:val="54"/>
        </w:numPr>
        <w:ind w:left="426" w:hanging="426"/>
      </w:pPr>
      <w:bookmarkStart w:id="25" w:name="_Ostatné_zásoby"/>
      <w:bookmarkEnd w:id="25"/>
      <w:r>
        <w:t>Ostatné zásoby</w:t>
      </w:r>
    </w:p>
    <w:p w14:paraId="4461EC1E" w14:textId="03292588" w:rsidR="00647542" w:rsidRPr="001A67CA" w:rsidRDefault="00647542" w:rsidP="007814C9">
      <w:pPr>
        <w:pStyle w:val="Pismenka"/>
        <w:tabs>
          <w:tab w:val="clear" w:pos="426"/>
        </w:tabs>
        <w:spacing w:after="120"/>
        <w:ind w:left="0" w:firstLine="0"/>
        <w:rPr>
          <w:b w:val="0"/>
          <w:bCs w:val="0"/>
          <w:sz w:val="22"/>
          <w:szCs w:val="22"/>
        </w:rPr>
      </w:pPr>
      <w:r w:rsidRPr="001A67CA">
        <w:rPr>
          <w:b w:val="0"/>
          <w:bCs w:val="0"/>
          <w:sz w:val="22"/>
          <w:szCs w:val="22"/>
        </w:rPr>
        <w:t xml:space="preserve">V rámci ostatných zásob sa vykazuje nedokončená výroba </w:t>
      </w:r>
      <w:r w:rsidRPr="00A7107D">
        <w:rPr>
          <w:b w:val="0"/>
          <w:bCs w:val="0"/>
          <w:sz w:val="24"/>
          <w:szCs w:val="24"/>
        </w:rPr>
        <w:t>a</w:t>
      </w:r>
      <w:r w:rsidR="00986521" w:rsidRPr="00A7107D">
        <w:rPr>
          <w:b w:val="0"/>
          <w:bCs w:val="0"/>
          <w:sz w:val="24"/>
          <w:szCs w:val="24"/>
        </w:rPr>
        <w:t> </w:t>
      </w:r>
      <w:r w:rsidRPr="00A7107D">
        <w:rPr>
          <w:b w:val="0"/>
          <w:bCs w:val="0"/>
          <w:sz w:val="24"/>
          <w:szCs w:val="24"/>
        </w:rPr>
        <w:t>polotovary</w:t>
      </w:r>
      <w:r w:rsidR="00986521" w:rsidRPr="00A7107D">
        <w:rPr>
          <w:b w:val="0"/>
          <w:bCs w:val="0"/>
          <w:sz w:val="24"/>
          <w:szCs w:val="24"/>
        </w:rPr>
        <w:t xml:space="preserve">, ktoré </w:t>
      </w:r>
      <w:r w:rsidR="5A2369E3" w:rsidRPr="00A7107D">
        <w:rPr>
          <w:rFonts w:eastAsia="Calibri"/>
          <w:b w:val="0"/>
          <w:bCs w:val="0"/>
          <w:sz w:val="24"/>
          <w:szCs w:val="24"/>
        </w:rPr>
        <w:t xml:space="preserve">tvorili tretiu najvyššiu hodnotu zásob a dosiahli sumu </w:t>
      </w:r>
      <w:r w:rsidR="008F4766" w:rsidRPr="00A7107D">
        <w:rPr>
          <w:rFonts w:eastAsia="Calibri"/>
          <w:b w:val="0"/>
          <w:bCs w:val="0"/>
          <w:sz w:val="24"/>
          <w:szCs w:val="24"/>
        </w:rPr>
        <w:t>46 198 tis.</w:t>
      </w:r>
      <w:r w:rsidR="5A2369E3" w:rsidRPr="00A7107D">
        <w:rPr>
          <w:rFonts w:eastAsia="Calibri"/>
          <w:b w:val="0"/>
          <w:bCs w:val="0"/>
          <w:sz w:val="24"/>
          <w:szCs w:val="24"/>
        </w:rPr>
        <w:t xml:space="preserve"> eur a medziročný pokles o</w:t>
      </w:r>
      <w:r w:rsidR="008F4766" w:rsidRPr="00A7107D">
        <w:rPr>
          <w:rFonts w:eastAsia="Calibri"/>
          <w:b w:val="0"/>
          <w:bCs w:val="0"/>
          <w:sz w:val="24"/>
          <w:szCs w:val="24"/>
        </w:rPr>
        <w:t> 144 957 tis.</w:t>
      </w:r>
      <w:r w:rsidR="5A2369E3" w:rsidRPr="00A7107D">
        <w:rPr>
          <w:rFonts w:eastAsia="Calibri"/>
          <w:b w:val="0"/>
          <w:bCs w:val="0"/>
          <w:sz w:val="24"/>
          <w:szCs w:val="24"/>
        </w:rPr>
        <w:t xml:space="preserve"> eur. Najvyššiu hodnotu dosiahla </w:t>
      </w:r>
      <w:r w:rsidR="5A2369E3" w:rsidRPr="00A7107D">
        <w:rPr>
          <w:rFonts w:eastAsia="Calibri"/>
          <w:b w:val="0"/>
          <w:bCs w:val="0"/>
          <w:sz w:val="24"/>
          <w:szCs w:val="24"/>
          <w:u w:val="single"/>
        </w:rPr>
        <w:t xml:space="preserve">KONŠTRUKTA – </w:t>
      </w:r>
      <w:proofErr w:type="spellStart"/>
      <w:r w:rsidR="5A2369E3" w:rsidRPr="00A7107D">
        <w:rPr>
          <w:rFonts w:eastAsia="Calibri"/>
          <w:b w:val="0"/>
          <w:bCs w:val="0"/>
          <w:sz w:val="24"/>
          <w:szCs w:val="24"/>
          <w:u w:val="single"/>
        </w:rPr>
        <w:t>Defence</w:t>
      </w:r>
      <w:proofErr w:type="spellEnd"/>
      <w:r w:rsidR="5A2369E3" w:rsidRPr="00A7107D">
        <w:rPr>
          <w:rFonts w:eastAsia="Calibri"/>
          <w:b w:val="0"/>
          <w:bCs w:val="0"/>
          <w:sz w:val="24"/>
          <w:szCs w:val="24"/>
          <w:u w:val="single"/>
        </w:rPr>
        <w:t xml:space="preserve">, </w:t>
      </w:r>
      <w:proofErr w:type="spellStart"/>
      <w:r w:rsidR="5A2369E3" w:rsidRPr="00A7107D">
        <w:rPr>
          <w:rFonts w:eastAsia="Calibri"/>
          <w:b w:val="0"/>
          <w:bCs w:val="0"/>
          <w:sz w:val="24"/>
          <w:szCs w:val="24"/>
          <w:u w:val="single"/>
        </w:rPr>
        <w:t>a.s</w:t>
      </w:r>
      <w:proofErr w:type="spellEnd"/>
      <w:r w:rsidR="5A2369E3" w:rsidRPr="00A7107D">
        <w:rPr>
          <w:rFonts w:eastAsia="Calibri"/>
          <w:b w:val="0"/>
          <w:bCs w:val="0"/>
          <w:sz w:val="24"/>
          <w:szCs w:val="24"/>
          <w:u w:val="single"/>
        </w:rPr>
        <w:t>.</w:t>
      </w:r>
      <w:r w:rsidR="5A2369E3" w:rsidRPr="00A7107D">
        <w:rPr>
          <w:rFonts w:eastAsia="Calibri"/>
          <w:b w:val="0"/>
          <w:bCs w:val="0"/>
          <w:i/>
          <w:sz w:val="24"/>
          <w:szCs w:val="24"/>
        </w:rPr>
        <w:t xml:space="preserve"> </w:t>
      </w:r>
      <w:r w:rsidR="5A2369E3" w:rsidRPr="00A7107D">
        <w:rPr>
          <w:rFonts w:eastAsia="Calibri"/>
          <w:b w:val="0"/>
          <w:bCs w:val="0"/>
          <w:sz w:val="24"/>
          <w:szCs w:val="24"/>
        </w:rPr>
        <w:t xml:space="preserve">(16 146 </w:t>
      </w:r>
      <w:r w:rsidR="008F4766" w:rsidRPr="00A7107D">
        <w:rPr>
          <w:rFonts w:eastAsia="Calibri"/>
          <w:b w:val="0"/>
          <w:bCs w:val="0"/>
          <w:sz w:val="24"/>
          <w:szCs w:val="24"/>
        </w:rPr>
        <w:t>tis.</w:t>
      </w:r>
      <w:r w:rsidR="5A2369E3" w:rsidRPr="00A7107D">
        <w:rPr>
          <w:rFonts w:eastAsia="Calibri"/>
          <w:b w:val="0"/>
          <w:bCs w:val="0"/>
          <w:sz w:val="24"/>
          <w:szCs w:val="24"/>
        </w:rPr>
        <w:t xml:space="preserve"> eur) a zároveň najvyšší medziročný nárast vo výške 12</w:t>
      </w:r>
      <w:r w:rsidR="008F4766" w:rsidRPr="00A7107D">
        <w:rPr>
          <w:rFonts w:eastAsia="Calibri"/>
          <w:b w:val="0"/>
          <w:bCs w:val="0"/>
          <w:sz w:val="24"/>
          <w:szCs w:val="24"/>
        </w:rPr>
        <w:t> </w:t>
      </w:r>
      <w:r w:rsidR="5A2369E3" w:rsidRPr="00A7107D">
        <w:rPr>
          <w:rFonts w:eastAsia="Calibri"/>
          <w:b w:val="0"/>
          <w:bCs w:val="0"/>
          <w:sz w:val="24"/>
          <w:szCs w:val="24"/>
        </w:rPr>
        <w:t>74</w:t>
      </w:r>
      <w:r w:rsidR="008F4766" w:rsidRPr="00A7107D">
        <w:rPr>
          <w:rFonts w:eastAsia="Calibri"/>
          <w:b w:val="0"/>
          <w:bCs w:val="0"/>
          <w:sz w:val="24"/>
          <w:szCs w:val="24"/>
        </w:rPr>
        <w:t>5 tis.</w:t>
      </w:r>
      <w:r w:rsidR="5A2369E3" w:rsidRPr="00A7107D">
        <w:rPr>
          <w:rFonts w:eastAsia="Calibri"/>
          <w:b w:val="0"/>
          <w:bCs w:val="0"/>
          <w:sz w:val="24"/>
          <w:szCs w:val="24"/>
        </w:rPr>
        <w:t xml:space="preserve"> eur a predstavuje opravy vojenskej techniky, ako aj zabezpečovania nevyhnutných externých kooperácií a subdodávok pre plnenie postupne </w:t>
      </w:r>
      <w:r w:rsidR="5A2369E3" w:rsidRPr="00A7107D">
        <w:rPr>
          <w:rFonts w:eastAsia="Calibri"/>
          <w:b w:val="0"/>
          <w:bCs w:val="0"/>
          <w:sz w:val="24"/>
          <w:szCs w:val="24"/>
        </w:rPr>
        <w:lastRenderedPageBreak/>
        <w:t>zadávaných dielčích objednávok v zmysle uzatvorených platných rámcových zmlúv s Ministerstvom obrany Slovenskej republiky.</w:t>
      </w:r>
      <w:r w:rsidR="00800CB0" w:rsidRPr="00A7107D">
        <w:rPr>
          <w:b w:val="0"/>
          <w:bCs w:val="0"/>
          <w:sz w:val="24"/>
          <w:szCs w:val="24"/>
        </w:rPr>
        <w:t xml:space="preserve"> </w:t>
      </w:r>
    </w:p>
    <w:p w14:paraId="358B7D29" w14:textId="77777777" w:rsidR="004371AF" w:rsidRPr="00651F00" w:rsidRDefault="004371AF" w:rsidP="0085799C">
      <w:pPr>
        <w:pStyle w:val="Pismenka"/>
        <w:tabs>
          <w:tab w:val="clear" w:pos="426"/>
        </w:tabs>
        <w:spacing w:after="120"/>
        <w:ind w:left="0" w:firstLine="0"/>
        <w:rPr>
          <w:b w:val="0"/>
          <w:i/>
          <w:sz w:val="22"/>
          <w:szCs w:val="22"/>
          <w:u w:val="single"/>
        </w:rPr>
      </w:pPr>
    </w:p>
    <w:p w14:paraId="7BAC1CAD" w14:textId="66452F88" w:rsidR="00647542" w:rsidRPr="007253B7" w:rsidRDefault="00647542" w:rsidP="0085799C">
      <w:pPr>
        <w:pStyle w:val="Nadpis3"/>
        <w:rPr>
          <w:sz w:val="24"/>
          <w:szCs w:val="24"/>
          <w:lang w:eastAsia="sk-SK"/>
        </w:rPr>
      </w:pPr>
      <w:r w:rsidRPr="00265F07">
        <w:rPr>
          <w:lang w:eastAsia="sk-SK"/>
        </w:rPr>
        <w:t xml:space="preserve">B.II. </w:t>
      </w:r>
      <w:r w:rsidR="00CB3B98">
        <w:rPr>
          <w:lang w:eastAsia="sk-SK"/>
        </w:rPr>
        <w:t>Krátkodobé p</w:t>
      </w:r>
      <w:r w:rsidRPr="00265F07">
        <w:rPr>
          <w:lang w:eastAsia="sk-SK"/>
        </w:rPr>
        <w:t>ohľadávky</w:t>
      </w:r>
    </w:p>
    <w:p w14:paraId="6941FE38" w14:textId="6889DCAC" w:rsidR="03EB441B" w:rsidRPr="00A84730" w:rsidRDefault="03EB441B" w:rsidP="007814C9">
      <w:pPr>
        <w:spacing w:after="120" w:line="240" w:lineRule="auto"/>
        <w:jc w:val="both"/>
        <w:rPr>
          <w:rFonts w:ascii="Times New Roman" w:hAnsi="Times New Roman"/>
          <w:szCs w:val="22"/>
        </w:rPr>
      </w:pPr>
      <w:r w:rsidRPr="00A84730">
        <w:rPr>
          <w:rFonts w:ascii="Times New Roman" w:hAnsi="Times New Roman"/>
          <w:szCs w:val="22"/>
          <w:lang w:eastAsia="sk-SK"/>
        </w:rPr>
        <w:t xml:space="preserve">Za krátkodobé pohľadávky sa považujú také, ktorých zostatková doba splatnosti odo dňa, ku ktorému sa zostavuje účtovná závierka, je najviac 1 rok. </w:t>
      </w:r>
    </w:p>
    <w:p w14:paraId="38AA9C03" w14:textId="07064B19" w:rsidR="69262B40" w:rsidRPr="00A84730" w:rsidRDefault="447CB61D" w:rsidP="007814C9">
      <w:pPr>
        <w:spacing w:after="120" w:line="240" w:lineRule="auto"/>
        <w:jc w:val="both"/>
        <w:rPr>
          <w:rFonts w:ascii="Times New Roman" w:hAnsi="Times New Roman"/>
          <w:szCs w:val="22"/>
        </w:rPr>
      </w:pPr>
      <w:r w:rsidRPr="0085799C">
        <w:rPr>
          <w:rFonts w:ascii="Times New Roman" w:eastAsia="Calibri" w:hAnsi="Times New Roman"/>
          <w:szCs w:val="22"/>
        </w:rPr>
        <w:t xml:space="preserve">Krátkodobé pohľadávky </w:t>
      </w:r>
      <w:r w:rsidR="00F415D7" w:rsidRPr="0085799C">
        <w:rPr>
          <w:rFonts w:ascii="Times New Roman" w:eastAsia="Calibri" w:hAnsi="Times New Roman"/>
          <w:szCs w:val="22"/>
        </w:rPr>
        <w:t>sú</w:t>
      </w:r>
      <w:r w:rsidR="00AE0A33" w:rsidRPr="0085799C">
        <w:rPr>
          <w:rFonts w:ascii="Times New Roman" w:eastAsia="Calibri" w:hAnsi="Times New Roman"/>
          <w:szCs w:val="22"/>
        </w:rPr>
        <w:t xml:space="preserve">hrnného </w:t>
      </w:r>
      <w:r w:rsidRPr="0085799C">
        <w:rPr>
          <w:rFonts w:ascii="Times New Roman" w:eastAsia="Calibri" w:hAnsi="Times New Roman"/>
          <w:szCs w:val="22"/>
        </w:rPr>
        <w:t xml:space="preserve">celku dosiahli hodnotu </w:t>
      </w:r>
      <w:r w:rsidR="008A470A" w:rsidRPr="0085799C">
        <w:rPr>
          <w:rFonts w:ascii="Times New Roman" w:eastAsia="Calibri" w:hAnsi="Times New Roman"/>
          <w:szCs w:val="22"/>
        </w:rPr>
        <w:t>13 915 756 tis.</w:t>
      </w:r>
      <w:r w:rsidRPr="0085799C">
        <w:rPr>
          <w:rFonts w:ascii="Times New Roman" w:eastAsia="Calibri" w:hAnsi="Times New Roman"/>
          <w:szCs w:val="22"/>
        </w:rPr>
        <w:t xml:space="preserve"> eur</w:t>
      </w:r>
      <w:r w:rsidR="003B3818" w:rsidRPr="0085799C">
        <w:rPr>
          <w:rFonts w:ascii="Times New Roman" w:eastAsia="Calibri" w:hAnsi="Times New Roman"/>
          <w:szCs w:val="22"/>
        </w:rPr>
        <w:t>. Medziročne išlo o </w:t>
      </w:r>
      <w:r w:rsidR="00F7655F" w:rsidRPr="0085799C">
        <w:rPr>
          <w:rFonts w:ascii="Times New Roman" w:eastAsia="Calibri" w:hAnsi="Times New Roman"/>
          <w:szCs w:val="22"/>
        </w:rPr>
        <w:t>nárast</w:t>
      </w:r>
      <w:r w:rsidR="003B3818" w:rsidRPr="0085799C">
        <w:rPr>
          <w:rFonts w:ascii="Times New Roman" w:eastAsia="Calibri" w:hAnsi="Times New Roman"/>
          <w:szCs w:val="22"/>
        </w:rPr>
        <w:t xml:space="preserve"> týchto pohľadávok o 1 422 72</w:t>
      </w:r>
      <w:r w:rsidR="00F37B3A">
        <w:rPr>
          <w:rFonts w:ascii="Times New Roman" w:eastAsia="Calibri" w:hAnsi="Times New Roman"/>
          <w:szCs w:val="22"/>
        </w:rPr>
        <w:t>7</w:t>
      </w:r>
      <w:r w:rsidR="003B3818" w:rsidRPr="0085799C">
        <w:rPr>
          <w:rFonts w:ascii="Times New Roman" w:eastAsia="Calibri" w:hAnsi="Times New Roman"/>
          <w:szCs w:val="22"/>
        </w:rPr>
        <w:t xml:space="preserve"> tis. eur</w:t>
      </w:r>
      <w:r w:rsidR="00F7655F" w:rsidRPr="0085799C">
        <w:rPr>
          <w:rFonts w:ascii="Times New Roman" w:eastAsia="Calibri" w:hAnsi="Times New Roman"/>
          <w:szCs w:val="22"/>
        </w:rPr>
        <w:t xml:space="preserve">, najmä </w:t>
      </w:r>
      <w:r w:rsidRPr="0085799C">
        <w:rPr>
          <w:rFonts w:ascii="Times New Roman" w:eastAsia="Calibri" w:hAnsi="Times New Roman"/>
          <w:szCs w:val="22"/>
        </w:rPr>
        <w:t xml:space="preserve"> </w:t>
      </w:r>
      <w:r w:rsidR="00F7655F" w:rsidRPr="0085799C">
        <w:rPr>
          <w:rFonts w:ascii="Times New Roman" w:eastAsia="Calibri" w:hAnsi="Times New Roman"/>
          <w:szCs w:val="22"/>
        </w:rPr>
        <w:t xml:space="preserve">vplyvom </w:t>
      </w:r>
      <w:r w:rsidR="000A0BB7" w:rsidRPr="0085799C">
        <w:rPr>
          <w:rFonts w:ascii="Times New Roman" w:eastAsia="Calibri" w:hAnsi="Times New Roman"/>
          <w:szCs w:val="22"/>
        </w:rPr>
        <w:t xml:space="preserve">nárastu </w:t>
      </w:r>
      <w:r w:rsidR="00F7655F" w:rsidRPr="0085799C">
        <w:rPr>
          <w:rFonts w:ascii="Times New Roman" w:eastAsia="Calibri" w:hAnsi="Times New Roman"/>
          <w:szCs w:val="22"/>
        </w:rPr>
        <w:t xml:space="preserve"> </w:t>
      </w:r>
      <w:r w:rsidR="00366501">
        <w:rPr>
          <w:rFonts w:ascii="Times New Roman" w:eastAsia="Calibri" w:hAnsi="Times New Roman"/>
          <w:szCs w:val="22"/>
        </w:rPr>
        <w:t xml:space="preserve">pohľadávok Ministerstva financií SR z operácií na finančnom trhu </w:t>
      </w:r>
      <w:r w:rsidR="0020159B" w:rsidRPr="0085799C">
        <w:rPr>
          <w:rFonts w:ascii="Times New Roman" w:eastAsia="Calibri" w:hAnsi="Times New Roman"/>
          <w:szCs w:val="22"/>
        </w:rPr>
        <w:t>o</w:t>
      </w:r>
      <w:r w:rsidR="00926883" w:rsidRPr="0085799C">
        <w:rPr>
          <w:rFonts w:ascii="Times New Roman" w:eastAsia="Calibri" w:hAnsi="Times New Roman"/>
          <w:szCs w:val="22"/>
        </w:rPr>
        <w:t> 1 </w:t>
      </w:r>
      <w:r w:rsidR="00366501">
        <w:rPr>
          <w:rFonts w:ascii="Times New Roman" w:eastAsia="Calibri" w:hAnsi="Times New Roman"/>
          <w:szCs w:val="22"/>
        </w:rPr>
        <w:t>465</w:t>
      </w:r>
      <w:r w:rsidR="00926883" w:rsidRPr="0085799C">
        <w:rPr>
          <w:rFonts w:ascii="Times New Roman" w:eastAsia="Calibri" w:hAnsi="Times New Roman"/>
          <w:szCs w:val="22"/>
        </w:rPr>
        <w:t> </w:t>
      </w:r>
      <w:r w:rsidR="00366501">
        <w:rPr>
          <w:rFonts w:ascii="Times New Roman" w:eastAsia="Calibri" w:hAnsi="Times New Roman"/>
          <w:szCs w:val="22"/>
        </w:rPr>
        <w:t>025</w:t>
      </w:r>
      <w:r w:rsidR="00926883" w:rsidRPr="0085799C">
        <w:rPr>
          <w:rFonts w:ascii="Times New Roman" w:eastAsia="Calibri" w:hAnsi="Times New Roman"/>
          <w:szCs w:val="22"/>
        </w:rPr>
        <w:t xml:space="preserve"> tis. eur</w:t>
      </w:r>
      <w:r w:rsidR="00C73CCC">
        <w:rPr>
          <w:rFonts w:ascii="Times New Roman" w:eastAsia="Calibri" w:hAnsi="Times New Roman"/>
          <w:szCs w:val="22"/>
        </w:rPr>
        <w:t>, pohľadávok Sociálnej poisťovne o 258 631</w:t>
      </w:r>
      <w:r w:rsidR="00B33685">
        <w:rPr>
          <w:rFonts w:ascii="Times New Roman" w:eastAsia="Calibri" w:hAnsi="Times New Roman"/>
          <w:szCs w:val="22"/>
        </w:rPr>
        <w:t> </w:t>
      </w:r>
      <w:r w:rsidR="00C73CCC">
        <w:rPr>
          <w:rFonts w:ascii="Times New Roman" w:eastAsia="Calibri" w:hAnsi="Times New Roman"/>
          <w:szCs w:val="22"/>
        </w:rPr>
        <w:t>tis.</w:t>
      </w:r>
      <w:r w:rsidR="00B33685">
        <w:rPr>
          <w:rFonts w:ascii="Times New Roman" w:eastAsia="Calibri" w:hAnsi="Times New Roman"/>
          <w:szCs w:val="22"/>
        </w:rPr>
        <w:t> </w:t>
      </w:r>
      <w:r w:rsidR="00C73CCC">
        <w:rPr>
          <w:rFonts w:ascii="Times New Roman" w:eastAsia="Calibri" w:hAnsi="Times New Roman"/>
          <w:szCs w:val="22"/>
        </w:rPr>
        <w:t>eur</w:t>
      </w:r>
      <w:r w:rsidR="00DA5678" w:rsidRPr="0085799C">
        <w:rPr>
          <w:rFonts w:ascii="Times New Roman" w:eastAsia="Calibri" w:hAnsi="Times New Roman"/>
          <w:szCs w:val="22"/>
        </w:rPr>
        <w:t xml:space="preserve"> a</w:t>
      </w:r>
      <w:r w:rsidR="0020159B" w:rsidRPr="0085799C">
        <w:rPr>
          <w:rFonts w:ascii="Times New Roman" w:eastAsia="Calibri" w:hAnsi="Times New Roman"/>
          <w:szCs w:val="22"/>
        </w:rPr>
        <w:t> pohľadávok voči odberateľom o 215 </w:t>
      </w:r>
      <w:r w:rsidR="005C70BC">
        <w:rPr>
          <w:rFonts w:ascii="Times New Roman" w:eastAsia="Calibri" w:hAnsi="Times New Roman"/>
          <w:szCs w:val="22"/>
        </w:rPr>
        <w:t>109</w:t>
      </w:r>
      <w:r w:rsidR="0020159B" w:rsidRPr="0085799C">
        <w:rPr>
          <w:rFonts w:ascii="Times New Roman" w:eastAsia="Calibri" w:hAnsi="Times New Roman"/>
          <w:szCs w:val="22"/>
        </w:rPr>
        <w:t xml:space="preserve"> tis. eur</w:t>
      </w:r>
      <w:r w:rsidR="00DA5678" w:rsidRPr="0085799C">
        <w:rPr>
          <w:rFonts w:ascii="Times New Roman" w:eastAsia="Calibri" w:hAnsi="Times New Roman"/>
          <w:szCs w:val="22"/>
        </w:rPr>
        <w:t>.</w:t>
      </w:r>
      <w:r w:rsidR="009E71C7">
        <w:rPr>
          <w:rFonts w:ascii="Times New Roman" w:eastAsia="Calibri" w:hAnsi="Times New Roman"/>
          <w:szCs w:val="22"/>
        </w:rPr>
        <w:t xml:space="preserve"> </w:t>
      </w:r>
    </w:p>
    <w:p w14:paraId="4E6B36AE" w14:textId="40B7F3F6" w:rsidR="00647542" w:rsidRPr="00907622" w:rsidRDefault="00647542" w:rsidP="00647542">
      <w:pPr>
        <w:pStyle w:val="Popis"/>
        <w:keepNext/>
        <w:rPr>
          <w:noProof/>
        </w:rPr>
      </w:pPr>
      <w:r w:rsidRPr="00907622">
        <w:t xml:space="preserve">Tabuľka </w:t>
      </w:r>
      <w:r w:rsidRPr="00907622">
        <w:fldChar w:fldCharType="begin"/>
      </w:r>
      <w:r w:rsidRPr="00907622">
        <w:instrText xml:space="preserve"> SEQ Tabuľka \* ARABIC </w:instrText>
      </w:r>
      <w:r w:rsidRPr="00907622">
        <w:fldChar w:fldCharType="separate"/>
      </w:r>
      <w:r w:rsidRPr="00907622">
        <w:rPr>
          <w:noProof/>
        </w:rPr>
        <w:t>10</w:t>
      </w:r>
      <w:r w:rsidRPr="00907622">
        <w:rPr>
          <w:noProof/>
        </w:rPr>
        <w:fldChar w:fldCharType="end"/>
      </w:r>
    </w:p>
    <w:tbl>
      <w:tblPr>
        <w:tblW w:w="5000" w:type="pct"/>
        <w:jc w:val="center"/>
        <w:tblCellMar>
          <w:left w:w="70" w:type="dxa"/>
          <w:right w:w="70" w:type="dxa"/>
        </w:tblCellMar>
        <w:tblLook w:val="04A0" w:firstRow="1" w:lastRow="0" w:firstColumn="1" w:lastColumn="0" w:noHBand="0" w:noVBand="1"/>
      </w:tblPr>
      <w:tblGrid>
        <w:gridCol w:w="5308"/>
        <w:gridCol w:w="1254"/>
        <w:gridCol w:w="1254"/>
        <w:gridCol w:w="1255"/>
      </w:tblGrid>
      <w:tr w:rsidR="002F5589" w:rsidRPr="002F5589" w14:paraId="02E49EC7" w14:textId="77777777" w:rsidTr="0085799C">
        <w:trPr>
          <w:trHeight w:val="227"/>
          <w:jc w:val="center"/>
        </w:trPr>
        <w:tc>
          <w:tcPr>
            <w:tcW w:w="2926" w:type="pct"/>
            <w:tcBorders>
              <w:top w:val="single" w:sz="4" w:space="0" w:color="auto"/>
              <w:left w:val="nil"/>
              <w:bottom w:val="single" w:sz="4" w:space="0" w:color="auto"/>
              <w:right w:val="nil"/>
            </w:tcBorders>
            <w:shd w:val="clear" w:color="000000" w:fill="F4B084"/>
            <w:noWrap/>
            <w:vAlign w:val="center"/>
            <w:hideMark/>
          </w:tcPr>
          <w:p w14:paraId="312D5352" w14:textId="77777777" w:rsidR="002F5589" w:rsidRPr="002F5589" w:rsidRDefault="002F5589" w:rsidP="002F5589">
            <w:pPr>
              <w:spacing w:after="0" w:line="240" w:lineRule="auto"/>
              <w:rPr>
                <w:rFonts w:ascii="Times New Roman" w:hAnsi="Times New Roman"/>
                <w:b/>
                <w:bCs/>
                <w:color w:val="000000"/>
                <w:sz w:val="18"/>
                <w:szCs w:val="18"/>
                <w:lang w:eastAsia="sk-SK"/>
              </w:rPr>
            </w:pPr>
            <w:r w:rsidRPr="002F5589">
              <w:rPr>
                <w:rFonts w:ascii="Times New Roman" w:hAnsi="Times New Roman"/>
                <w:b/>
                <w:bCs/>
                <w:color w:val="000000"/>
                <w:sz w:val="18"/>
                <w:szCs w:val="18"/>
                <w:lang w:eastAsia="sk-SK"/>
              </w:rPr>
              <w:t>Pohľadávky súhrnného celku</w:t>
            </w:r>
          </w:p>
        </w:tc>
        <w:tc>
          <w:tcPr>
            <w:tcW w:w="691" w:type="pct"/>
            <w:tcBorders>
              <w:top w:val="single" w:sz="4" w:space="0" w:color="auto"/>
              <w:left w:val="nil"/>
              <w:bottom w:val="single" w:sz="4" w:space="0" w:color="auto"/>
              <w:right w:val="nil"/>
            </w:tcBorders>
            <w:shd w:val="clear" w:color="000000" w:fill="F4B084"/>
            <w:noWrap/>
            <w:vAlign w:val="center"/>
            <w:hideMark/>
          </w:tcPr>
          <w:p w14:paraId="32E23B1E" w14:textId="77777777" w:rsidR="002F5589" w:rsidRPr="002F5589" w:rsidRDefault="002F5589" w:rsidP="002F5589">
            <w:pPr>
              <w:spacing w:after="0" w:line="240" w:lineRule="auto"/>
              <w:rPr>
                <w:rFonts w:ascii="Times New Roman" w:hAnsi="Times New Roman"/>
                <w:b/>
                <w:bCs/>
                <w:color w:val="000000"/>
                <w:sz w:val="18"/>
                <w:szCs w:val="18"/>
                <w:lang w:eastAsia="sk-SK"/>
              </w:rPr>
            </w:pPr>
            <w:r w:rsidRPr="002F5589">
              <w:rPr>
                <w:rFonts w:ascii="Times New Roman" w:hAnsi="Times New Roman"/>
                <w:b/>
                <w:bCs/>
                <w:color w:val="000000"/>
                <w:sz w:val="18"/>
                <w:szCs w:val="18"/>
                <w:lang w:eastAsia="sk-SK"/>
              </w:rPr>
              <w:t> </w:t>
            </w:r>
          </w:p>
        </w:tc>
        <w:tc>
          <w:tcPr>
            <w:tcW w:w="691" w:type="pct"/>
            <w:tcBorders>
              <w:top w:val="single" w:sz="4" w:space="0" w:color="auto"/>
              <w:left w:val="nil"/>
              <w:bottom w:val="single" w:sz="4" w:space="0" w:color="auto"/>
              <w:right w:val="nil"/>
            </w:tcBorders>
            <w:shd w:val="clear" w:color="000000" w:fill="F4B084"/>
            <w:noWrap/>
            <w:vAlign w:val="center"/>
            <w:hideMark/>
          </w:tcPr>
          <w:p w14:paraId="2C02CEEF" w14:textId="77777777" w:rsidR="002F5589" w:rsidRPr="002F5589" w:rsidRDefault="002F5589" w:rsidP="002F5589">
            <w:pPr>
              <w:spacing w:after="0" w:line="240" w:lineRule="auto"/>
              <w:jc w:val="center"/>
              <w:rPr>
                <w:rFonts w:ascii="Times New Roman" w:hAnsi="Times New Roman"/>
                <w:b/>
                <w:bCs/>
                <w:color w:val="000000"/>
                <w:sz w:val="18"/>
                <w:szCs w:val="18"/>
                <w:lang w:eastAsia="sk-SK"/>
              </w:rPr>
            </w:pPr>
            <w:r w:rsidRPr="002F5589">
              <w:rPr>
                <w:rFonts w:ascii="Times New Roman" w:hAnsi="Times New Roman"/>
                <w:b/>
                <w:bCs/>
                <w:color w:val="000000"/>
                <w:sz w:val="18"/>
                <w:szCs w:val="18"/>
                <w:lang w:eastAsia="sk-SK"/>
              </w:rPr>
              <w:t>(v tis. eur)</w:t>
            </w:r>
          </w:p>
        </w:tc>
        <w:tc>
          <w:tcPr>
            <w:tcW w:w="691" w:type="pct"/>
            <w:tcBorders>
              <w:top w:val="single" w:sz="4" w:space="0" w:color="auto"/>
              <w:left w:val="nil"/>
              <w:bottom w:val="single" w:sz="4" w:space="0" w:color="auto"/>
              <w:right w:val="nil"/>
            </w:tcBorders>
            <w:shd w:val="clear" w:color="000000" w:fill="F4B084"/>
            <w:noWrap/>
            <w:vAlign w:val="center"/>
            <w:hideMark/>
          </w:tcPr>
          <w:p w14:paraId="02C962EC" w14:textId="77777777" w:rsidR="002F5589" w:rsidRPr="002F5589" w:rsidRDefault="002F5589" w:rsidP="002F5589">
            <w:pPr>
              <w:spacing w:after="0" w:line="240" w:lineRule="auto"/>
              <w:rPr>
                <w:rFonts w:ascii="Times New Roman" w:hAnsi="Times New Roman"/>
                <w:b/>
                <w:bCs/>
                <w:color w:val="000000"/>
                <w:sz w:val="18"/>
                <w:szCs w:val="18"/>
                <w:lang w:eastAsia="sk-SK"/>
              </w:rPr>
            </w:pPr>
            <w:r w:rsidRPr="002F5589">
              <w:rPr>
                <w:rFonts w:ascii="Times New Roman" w:hAnsi="Times New Roman"/>
                <w:b/>
                <w:bCs/>
                <w:color w:val="000000"/>
                <w:sz w:val="18"/>
                <w:szCs w:val="18"/>
                <w:lang w:eastAsia="sk-SK"/>
              </w:rPr>
              <w:t> </w:t>
            </w:r>
          </w:p>
        </w:tc>
      </w:tr>
      <w:tr w:rsidR="002F5589" w:rsidRPr="002F5589" w14:paraId="2E61D36B" w14:textId="77777777" w:rsidTr="0085799C">
        <w:trPr>
          <w:trHeight w:val="227"/>
          <w:jc w:val="center"/>
        </w:trPr>
        <w:tc>
          <w:tcPr>
            <w:tcW w:w="2926" w:type="pct"/>
            <w:tcBorders>
              <w:top w:val="nil"/>
              <w:left w:val="nil"/>
              <w:bottom w:val="single" w:sz="4" w:space="0" w:color="auto"/>
              <w:right w:val="nil"/>
            </w:tcBorders>
            <w:shd w:val="clear" w:color="000000" w:fill="BDD7EE"/>
            <w:vAlign w:val="center"/>
            <w:hideMark/>
          </w:tcPr>
          <w:p w14:paraId="17ABDDC3" w14:textId="77777777" w:rsidR="002F5589" w:rsidRPr="002F5589" w:rsidRDefault="002F5589" w:rsidP="002F5589">
            <w:pPr>
              <w:spacing w:after="0" w:line="240" w:lineRule="auto"/>
              <w:rPr>
                <w:rFonts w:ascii="Times New Roman" w:hAnsi="Times New Roman"/>
                <w:b/>
                <w:bCs/>
                <w:color w:val="000000"/>
                <w:sz w:val="18"/>
                <w:szCs w:val="18"/>
                <w:lang w:eastAsia="sk-SK"/>
              </w:rPr>
            </w:pPr>
            <w:r w:rsidRPr="002F5589">
              <w:rPr>
                <w:rFonts w:ascii="Times New Roman" w:hAnsi="Times New Roman"/>
                <w:b/>
                <w:bCs/>
                <w:color w:val="000000"/>
                <w:sz w:val="18"/>
                <w:szCs w:val="18"/>
                <w:lang w:eastAsia="sk-SK"/>
              </w:rPr>
              <w:t>Krátkodobé pohľadávky</w:t>
            </w:r>
          </w:p>
        </w:tc>
        <w:tc>
          <w:tcPr>
            <w:tcW w:w="691" w:type="pct"/>
            <w:tcBorders>
              <w:top w:val="nil"/>
              <w:left w:val="nil"/>
              <w:bottom w:val="single" w:sz="4" w:space="0" w:color="auto"/>
              <w:right w:val="nil"/>
            </w:tcBorders>
            <w:shd w:val="clear" w:color="000000" w:fill="BDD7EE"/>
            <w:vAlign w:val="center"/>
            <w:hideMark/>
          </w:tcPr>
          <w:p w14:paraId="3767456C" w14:textId="77777777" w:rsidR="002F5589" w:rsidRPr="002F5589" w:rsidRDefault="002F5589" w:rsidP="002F5589">
            <w:pPr>
              <w:spacing w:after="0" w:line="240" w:lineRule="auto"/>
              <w:jc w:val="center"/>
              <w:rPr>
                <w:rFonts w:ascii="Times New Roman" w:hAnsi="Times New Roman"/>
                <w:b/>
                <w:bCs/>
                <w:color w:val="000000"/>
                <w:sz w:val="18"/>
                <w:szCs w:val="18"/>
                <w:lang w:eastAsia="sk-SK"/>
              </w:rPr>
            </w:pPr>
            <w:r w:rsidRPr="002F5589">
              <w:rPr>
                <w:rFonts w:ascii="Times New Roman" w:hAnsi="Times New Roman"/>
                <w:b/>
                <w:bCs/>
                <w:color w:val="000000"/>
                <w:sz w:val="18"/>
                <w:szCs w:val="18"/>
                <w:lang w:eastAsia="sk-SK"/>
              </w:rPr>
              <w:t>2024</w:t>
            </w:r>
          </w:p>
        </w:tc>
        <w:tc>
          <w:tcPr>
            <w:tcW w:w="691" w:type="pct"/>
            <w:tcBorders>
              <w:top w:val="nil"/>
              <w:left w:val="nil"/>
              <w:bottom w:val="single" w:sz="4" w:space="0" w:color="auto"/>
              <w:right w:val="nil"/>
            </w:tcBorders>
            <w:shd w:val="clear" w:color="000000" w:fill="BDD7EE"/>
            <w:vAlign w:val="center"/>
            <w:hideMark/>
          </w:tcPr>
          <w:p w14:paraId="0FDF0C4F" w14:textId="77777777" w:rsidR="002F5589" w:rsidRPr="002F5589" w:rsidRDefault="002F5589" w:rsidP="002F5589">
            <w:pPr>
              <w:spacing w:after="0" w:line="240" w:lineRule="auto"/>
              <w:jc w:val="center"/>
              <w:rPr>
                <w:rFonts w:ascii="Times New Roman" w:hAnsi="Times New Roman"/>
                <w:b/>
                <w:bCs/>
                <w:color w:val="000000"/>
                <w:sz w:val="18"/>
                <w:szCs w:val="18"/>
                <w:lang w:eastAsia="sk-SK"/>
              </w:rPr>
            </w:pPr>
            <w:r w:rsidRPr="002F5589">
              <w:rPr>
                <w:rFonts w:ascii="Times New Roman" w:hAnsi="Times New Roman"/>
                <w:b/>
                <w:bCs/>
                <w:color w:val="000000"/>
                <w:sz w:val="18"/>
                <w:szCs w:val="18"/>
                <w:lang w:eastAsia="sk-SK"/>
              </w:rPr>
              <w:t>2023</w:t>
            </w:r>
          </w:p>
        </w:tc>
        <w:tc>
          <w:tcPr>
            <w:tcW w:w="691" w:type="pct"/>
            <w:tcBorders>
              <w:top w:val="nil"/>
              <w:left w:val="nil"/>
              <w:bottom w:val="single" w:sz="4" w:space="0" w:color="auto"/>
              <w:right w:val="nil"/>
            </w:tcBorders>
            <w:shd w:val="clear" w:color="000000" w:fill="BDD7EE"/>
            <w:vAlign w:val="center"/>
            <w:hideMark/>
          </w:tcPr>
          <w:p w14:paraId="7AE7EC51" w14:textId="77777777" w:rsidR="002F5589" w:rsidRPr="002F5589" w:rsidRDefault="002F5589" w:rsidP="002F5589">
            <w:pPr>
              <w:spacing w:after="0" w:line="240" w:lineRule="auto"/>
              <w:jc w:val="center"/>
              <w:rPr>
                <w:rFonts w:ascii="Times New Roman" w:hAnsi="Times New Roman"/>
                <w:b/>
                <w:bCs/>
                <w:color w:val="000000"/>
                <w:sz w:val="18"/>
                <w:szCs w:val="18"/>
                <w:lang w:eastAsia="sk-SK"/>
              </w:rPr>
            </w:pPr>
            <w:r w:rsidRPr="002F5589">
              <w:rPr>
                <w:rFonts w:ascii="Times New Roman" w:hAnsi="Times New Roman"/>
                <w:b/>
                <w:bCs/>
                <w:color w:val="000000"/>
                <w:sz w:val="18"/>
                <w:szCs w:val="18"/>
                <w:lang w:eastAsia="sk-SK"/>
              </w:rPr>
              <w:t>Δ 2024-2023</w:t>
            </w:r>
          </w:p>
        </w:tc>
      </w:tr>
      <w:tr w:rsidR="002F5589" w:rsidRPr="002F5589" w14:paraId="5210733C" w14:textId="77777777" w:rsidTr="0085799C">
        <w:trPr>
          <w:trHeight w:val="227"/>
          <w:jc w:val="center"/>
        </w:trPr>
        <w:tc>
          <w:tcPr>
            <w:tcW w:w="2926" w:type="pct"/>
            <w:tcBorders>
              <w:top w:val="nil"/>
              <w:left w:val="nil"/>
              <w:bottom w:val="nil"/>
              <w:right w:val="nil"/>
            </w:tcBorders>
            <w:vAlign w:val="center"/>
            <w:hideMark/>
          </w:tcPr>
          <w:p w14:paraId="79F86A3D" w14:textId="77777777" w:rsidR="002F5589" w:rsidRPr="002F5589" w:rsidRDefault="002F5589" w:rsidP="002F5589">
            <w:pPr>
              <w:spacing w:after="0" w:line="240" w:lineRule="auto"/>
              <w:rPr>
                <w:rFonts w:ascii="Times New Roman" w:hAnsi="Times New Roman"/>
                <w:color w:val="000000"/>
                <w:sz w:val="18"/>
                <w:szCs w:val="18"/>
                <w:lang w:eastAsia="sk-SK"/>
              </w:rPr>
            </w:pPr>
            <w:r w:rsidRPr="002F5589">
              <w:rPr>
                <w:rFonts w:ascii="Times New Roman" w:hAnsi="Times New Roman"/>
                <w:color w:val="000000"/>
                <w:sz w:val="18"/>
                <w:szCs w:val="18"/>
                <w:lang w:eastAsia="sk-SK"/>
              </w:rPr>
              <w:t>Pohľadávky MF SR z operácií na finančnom trhu</w:t>
            </w:r>
          </w:p>
        </w:tc>
        <w:tc>
          <w:tcPr>
            <w:tcW w:w="691" w:type="pct"/>
            <w:tcBorders>
              <w:top w:val="nil"/>
              <w:left w:val="nil"/>
              <w:bottom w:val="nil"/>
              <w:right w:val="nil"/>
            </w:tcBorders>
            <w:vAlign w:val="center"/>
            <w:hideMark/>
          </w:tcPr>
          <w:p w14:paraId="4A10931B"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7 774 974</w:t>
            </w:r>
          </w:p>
        </w:tc>
        <w:tc>
          <w:tcPr>
            <w:tcW w:w="691" w:type="pct"/>
            <w:tcBorders>
              <w:top w:val="nil"/>
              <w:left w:val="nil"/>
              <w:bottom w:val="nil"/>
              <w:right w:val="nil"/>
            </w:tcBorders>
            <w:vAlign w:val="center"/>
            <w:hideMark/>
          </w:tcPr>
          <w:p w14:paraId="78E850D7"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6 309 949</w:t>
            </w:r>
          </w:p>
        </w:tc>
        <w:tc>
          <w:tcPr>
            <w:tcW w:w="691" w:type="pct"/>
            <w:tcBorders>
              <w:top w:val="nil"/>
              <w:left w:val="nil"/>
              <w:bottom w:val="nil"/>
              <w:right w:val="nil"/>
            </w:tcBorders>
            <w:vAlign w:val="center"/>
            <w:hideMark/>
          </w:tcPr>
          <w:p w14:paraId="037246BD"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1 465 025</w:t>
            </w:r>
          </w:p>
        </w:tc>
      </w:tr>
      <w:tr w:rsidR="002F5589" w:rsidRPr="002F5589" w14:paraId="59E00A88" w14:textId="77777777" w:rsidTr="0085799C">
        <w:trPr>
          <w:trHeight w:val="227"/>
          <w:jc w:val="center"/>
        </w:trPr>
        <w:tc>
          <w:tcPr>
            <w:tcW w:w="2926" w:type="pct"/>
            <w:tcBorders>
              <w:top w:val="nil"/>
              <w:left w:val="nil"/>
              <w:bottom w:val="nil"/>
              <w:right w:val="nil"/>
            </w:tcBorders>
            <w:vAlign w:val="center"/>
            <w:hideMark/>
          </w:tcPr>
          <w:p w14:paraId="5C21B5F0" w14:textId="77777777" w:rsidR="002F5589" w:rsidRPr="002F5589" w:rsidRDefault="002F5589" w:rsidP="002F5589">
            <w:pPr>
              <w:spacing w:after="0" w:line="240" w:lineRule="auto"/>
              <w:rPr>
                <w:rFonts w:ascii="Times New Roman" w:hAnsi="Times New Roman"/>
                <w:color w:val="000000"/>
                <w:sz w:val="18"/>
                <w:szCs w:val="18"/>
                <w:lang w:eastAsia="sk-SK"/>
              </w:rPr>
            </w:pPr>
            <w:r w:rsidRPr="002F5589">
              <w:rPr>
                <w:rFonts w:ascii="Times New Roman" w:hAnsi="Times New Roman"/>
                <w:color w:val="000000"/>
                <w:sz w:val="18"/>
                <w:szCs w:val="18"/>
                <w:lang w:eastAsia="sk-SK"/>
              </w:rPr>
              <w:t>Pohľadávky Sociálnej poisťovne</w:t>
            </w:r>
          </w:p>
        </w:tc>
        <w:tc>
          <w:tcPr>
            <w:tcW w:w="691" w:type="pct"/>
            <w:tcBorders>
              <w:top w:val="nil"/>
              <w:left w:val="nil"/>
              <w:bottom w:val="nil"/>
              <w:right w:val="nil"/>
            </w:tcBorders>
            <w:vAlign w:val="center"/>
            <w:hideMark/>
          </w:tcPr>
          <w:p w14:paraId="144D9CAB"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1 415 269</w:t>
            </w:r>
          </w:p>
        </w:tc>
        <w:tc>
          <w:tcPr>
            <w:tcW w:w="691" w:type="pct"/>
            <w:tcBorders>
              <w:top w:val="nil"/>
              <w:left w:val="nil"/>
              <w:bottom w:val="nil"/>
              <w:right w:val="nil"/>
            </w:tcBorders>
            <w:vAlign w:val="center"/>
            <w:hideMark/>
          </w:tcPr>
          <w:p w14:paraId="008015DB"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1 156 638</w:t>
            </w:r>
          </w:p>
        </w:tc>
        <w:tc>
          <w:tcPr>
            <w:tcW w:w="691" w:type="pct"/>
            <w:tcBorders>
              <w:top w:val="nil"/>
              <w:left w:val="nil"/>
              <w:bottom w:val="nil"/>
              <w:right w:val="nil"/>
            </w:tcBorders>
            <w:vAlign w:val="center"/>
            <w:hideMark/>
          </w:tcPr>
          <w:p w14:paraId="4CD31BD8"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258 631</w:t>
            </w:r>
          </w:p>
        </w:tc>
      </w:tr>
      <w:tr w:rsidR="002F5589" w:rsidRPr="002F5589" w14:paraId="409329DF" w14:textId="77777777" w:rsidTr="0085799C">
        <w:trPr>
          <w:trHeight w:val="227"/>
          <w:jc w:val="center"/>
        </w:trPr>
        <w:tc>
          <w:tcPr>
            <w:tcW w:w="2926" w:type="pct"/>
            <w:tcBorders>
              <w:top w:val="nil"/>
              <w:left w:val="nil"/>
              <w:bottom w:val="nil"/>
              <w:right w:val="nil"/>
            </w:tcBorders>
            <w:vAlign w:val="center"/>
            <w:hideMark/>
          </w:tcPr>
          <w:p w14:paraId="0300D947" w14:textId="77777777" w:rsidR="002F5589" w:rsidRPr="002F5589" w:rsidRDefault="002F5589" w:rsidP="002F5589">
            <w:pPr>
              <w:spacing w:after="0" w:line="240" w:lineRule="auto"/>
              <w:rPr>
                <w:rFonts w:ascii="Times New Roman" w:hAnsi="Times New Roman"/>
                <w:color w:val="000000"/>
                <w:sz w:val="18"/>
                <w:szCs w:val="18"/>
                <w:lang w:eastAsia="sk-SK"/>
              </w:rPr>
            </w:pPr>
            <w:r w:rsidRPr="002F5589">
              <w:rPr>
                <w:rFonts w:ascii="Times New Roman" w:hAnsi="Times New Roman"/>
                <w:color w:val="000000"/>
                <w:sz w:val="18"/>
                <w:szCs w:val="18"/>
                <w:lang w:eastAsia="sk-SK"/>
              </w:rPr>
              <w:t>Poskytnuté prevádzkové preddavky</w:t>
            </w:r>
          </w:p>
        </w:tc>
        <w:tc>
          <w:tcPr>
            <w:tcW w:w="691" w:type="pct"/>
            <w:tcBorders>
              <w:top w:val="nil"/>
              <w:left w:val="nil"/>
              <w:bottom w:val="nil"/>
              <w:right w:val="nil"/>
            </w:tcBorders>
            <w:vAlign w:val="center"/>
            <w:hideMark/>
          </w:tcPr>
          <w:p w14:paraId="529C3269"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1 344 624</w:t>
            </w:r>
          </w:p>
        </w:tc>
        <w:tc>
          <w:tcPr>
            <w:tcW w:w="691" w:type="pct"/>
            <w:tcBorders>
              <w:top w:val="nil"/>
              <w:left w:val="nil"/>
              <w:bottom w:val="nil"/>
              <w:right w:val="nil"/>
            </w:tcBorders>
            <w:vAlign w:val="center"/>
            <w:hideMark/>
          </w:tcPr>
          <w:p w14:paraId="4D46DA23"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1 412 850</w:t>
            </w:r>
          </w:p>
        </w:tc>
        <w:tc>
          <w:tcPr>
            <w:tcW w:w="691" w:type="pct"/>
            <w:tcBorders>
              <w:top w:val="nil"/>
              <w:left w:val="nil"/>
              <w:bottom w:val="nil"/>
              <w:right w:val="nil"/>
            </w:tcBorders>
            <w:vAlign w:val="center"/>
            <w:hideMark/>
          </w:tcPr>
          <w:p w14:paraId="322B4217"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-68 226</w:t>
            </w:r>
          </w:p>
        </w:tc>
      </w:tr>
      <w:tr w:rsidR="002F5589" w:rsidRPr="002F5589" w14:paraId="4E3DDEBC" w14:textId="77777777" w:rsidTr="0085799C">
        <w:trPr>
          <w:trHeight w:val="227"/>
          <w:jc w:val="center"/>
        </w:trPr>
        <w:tc>
          <w:tcPr>
            <w:tcW w:w="2926" w:type="pct"/>
            <w:tcBorders>
              <w:top w:val="nil"/>
              <w:left w:val="nil"/>
              <w:bottom w:val="nil"/>
              <w:right w:val="nil"/>
            </w:tcBorders>
            <w:vAlign w:val="center"/>
            <w:hideMark/>
          </w:tcPr>
          <w:p w14:paraId="68BA2EB8" w14:textId="61DFF8BD" w:rsidR="002F5589" w:rsidRPr="002F5589" w:rsidRDefault="00237D75" w:rsidP="002F5589">
            <w:pPr>
              <w:spacing w:after="0" w:line="240" w:lineRule="auto"/>
              <w:rPr>
                <w:rFonts w:ascii="Times New Roman" w:hAnsi="Times New Roman"/>
                <w:color w:val="000000"/>
                <w:sz w:val="18"/>
                <w:szCs w:val="18"/>
                <w:lang w:eastAsia="sk-SK"/>
              </w:rPr>
            </w:pPr>
            <w:r>
              <w:rPr>
                <w:rFonts w:ascii="Times New Roman" w:hAnsi="Times New Roman"/>
                <w:color w:val="000000"/>
                <w:sz w:val="18"/>
                <w:szCs w:val="18"/>
                <w:lang w:eastAsia="sk-SK"/>
              </w:rPr>
              <w:t>Pohľadávky voči o</w:t>
            </w:r>
            <w:r w:rsidR="002F5589" w:rsidRPr="002F5589">
              <w:rPr>
                <w:rFonts w:ascii="Times New Roman" w:hAnsi="Times New Roman"/>
                <w:color w:val="000000"/>
                <w:sz w:val="18"/>
                <w:szCs w:val="18"/>
                <w:lang w:eastAsia="sk-SK"/>
              </w:rPr>
              <w:t>dberate</w:t>
            </w:r>
            <w:r>
              <w:rPr>
                <w:rFonts w:ascii="Times New Roman" w:hAnsi="Times New Roman"/>
                <w:color w:val="000000"/>
                <w:sz w:val="18"/>
                <w:szCs w:val="18"/>
                <w:lang w:eastAsia="sk-SK"/>
              </w:rPr>
              <w:t>ľom</w:t>
            </w:r>
          </w:p>
        </w:tc>
        <w:tc>
          <w:tcPr>
            <w:tcW w:w="691" w:type="pct"/>
            <w:tcBorders>
              <w:top w:val="nil"/>
              <w:left w:val="nil"/>
              <w:bottom w:val="nil"/>
              <w:right w:val="nil"/>
            </w:tcBorders>
            <w:vAlign w:val="center"/>
            <w:hideMark/>
          </w:tcPr>
          <w:p w14:paraId="499F3976"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1 324 432</w:t>
            </w:r>
          </w:p>
        </w:tc>
        <w:tc>
          <w:tcPr>
            <w:tcW w:w="691" w:type="pct"/>
            <w:tcBorders>
              <w:top w:val="nil"/>
              <w:left w:val="nil"/>
              <w:bottom w:val="nil"/>
              <w:right w:val="nil"/>
            </w:tcBorders>
            <w:vAlign w:val="center"/>
            <w:hideMark/>
          </w:tcPr>
          <w:p w14:paraId="7C6C3DED"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1 109 323</w:t>
            </w:r>
          </w:p>
        </w:tc>
        <w:tc>
          <w:tcPr>
            <w:tcW w:w="691" w:type="pct"/>
            <w:tcBorders>
              <w:top w:val="nil"/>
              <w:left w:val="nil"/>
              <w:bottom w:val="nil"/>
              <w:right w:val="nil"/>
            </w:tcBorders>
            <w:vAlign w:val="center"/>
            <w:hideMark/>
          </w:tcPr>
          <w:p w14:paraId="5F90BA09"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215 109</w:t>
            </w:r>
          </w:p>
        </w:tc>
      </w:tr>
      <w:tr w:rsidR="002F5589" w:rsidRPr="002F5589" w14:paraId="76F161ED" w14:textId="77777777" w:rsidTr="0085799C">
        <w:trPr>
          <w:trHeight w:val="227"/>
          <w:jc w:val="center"/>
        </w:trPr>
        <w:tc>
          <w:tcPr>
            <w:tcW w:w="2926" w:type="pct"/>
            <w:tcBorders>
              <w:top w:val="nil"/>
              <w:left w:val="nil"/>
              <w:bottom w:val="nil"/>
              <w:right w:val="nil"/>
            </w:tcBorders>
            <w:vAlign w:val="center"/>
            <w:hideMark/>
          </w:tcPr>
          <w:p w14:paraId="3696A89D" w14:textId="77777777" w:rsidR="002F5589" w:rsidRPr="002F5589" w:rsidRDefault="002F5589" w:rsidP="002F5589">
            <w:pPr>
              <w:spacing w:after="0" w:line="240" w:lineRule="auto"/>
              <w:rPr>
                <w:rFonts w:ascii="Times New Roman" w:hAnsi="Times New Roman"/>
                <w:color w:val="000000"/>
                <w:sz w:val="18"/>
                <w:szCs w:val="18"/>
                <w:lang w:eastAsia="sk-SK"/>
              </w:rPr>
            </w:pPr>
            <w:r w:rsidRPr="002F5589">
              <w:rPr>
                <w:rFonts w:ascii="Times New Roman" w:hAnsi="Times New Roman"/>
                <w:color w:val="000000"/>
                <w:sz w:val="18"/>
                <w:szCs w:val="18"/>
                <w:lang w:eastAsia="sk-SK"/>
              </w:rPr>
              <w:t>Pohľadávky Všeobecnej zdravotnej poisťovne, a.s.</w:t>
            </w:r>
          </w:p>
        </w:tc>
        <w:tc>
          <w:tcPr>
            <w:tcW w:w="691" w:type="pct"/>
            <w:tcBorders>
              <w:top w:val="nil"/>
              <w:left w:val="nil"/>
              <w:bottom w:val="nil"/>
              <w:right w:val="nil"/>
            </w:tcBorders>
            <w:vAlign w:val="center"/>
            <w:hideMark/>
          </w:tcPr>
          <w:p w14:paraId="4CCF7277"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569 127</w:t>
            </w:r>
          </w:p>
        </w:tc>
        <w:tc>
          <w:tcPr>
            <w:tcW w:w="691" w:type="pct"/>
            <w:tcBorders>
              <w:top w:val="nil"/>
              <w:left w:val="nil"/>
              <w:bottom w:val="nil"/>
              <w:right w:val="nil"/>
            </w:tcBorders>
            <w:vAlign w:val="center"/>
            <w:hideMark/>
          </w:tcPr>
          <w:p w14:paraId="4D671A7E"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428 330</w:t>
            </w:r>
          </w:p>
        </w:tc>
        <w:tc>
          <w:tcPr>
            <w:tcW w:w="691" w:type="pct"/>
            <w:tcBorders>
              <w:top w:val="nil"/>
              <w:left w:val="nil"/>
              <w:bottom w:val="nil"/>
              <w:right w:val="nil"/>
            </w:tcBorders>
            <w:vAlign w:val="center"/>
            <w:hideMark/>
          </w:tcPr>
          <w:p w14:paraId="077036C2"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140 797</w:t>
            </w:r>
          </w:p>
        </w:tc>
      </w:tr>
      <w:tr w:rsidR="002F5589" w:rsidRPr="002F5589" w14:paraId="0497EFA1" w14:textId="77777777" w:rsidTr="0085799C">
        <w:trPr>
          <w:trHeight w:val="227"/>
          <w:jc w:val="center"/>
        </w:trPr>
        <w:tc>
          <w:tcPr>
            <w:tcW w:w="2926" w:type="pct"/>
            <w:tcBorders>
              <w:top w:val="nil"/>
              <w:left w:val="nil"/>
              <w:bottom w:val="nil"/>
              <w:right w:val="nil"/>
            </w:tcBorders>
            <w:vAlign w:val="center"/>
            <w:hideMark/>
          </w:tcPr>
          <w:p w14:paraId="2546BCCE" w14:textId="77777777" w:rsidR="002F5589" w:rsidRPr="002F5589" w:rsidRDefault="002F5589" w:rsidP="002F5589">
            <w:pPr>
              <w:spacing w:after="0" w:line="240" w:lineRule="auto"/>
              <w:rPr>
                <w:rFonts w:ascii="Times New Roman" w:hAnsi="Times New Roman"/>
                <w:color w:val="000000"/>
                <w:sz w:val="18"/>
                <w:szCs w:val="18"/>
                <w:lang w:eastAsia="sk-SK"/>
              </w:rPr>
            </w:pPr>
            <w:r w:rsidRPr="002F5589">
              <w:rPr>
                <w:rFonts w:ascii="Times New Roman" w:hAnsi="Times New Roman"/>
                <w:color w:val="000000"/>
                <w:sz w:val="18"/>
                <w:szCs w:val="18"/>
                <w:lang w:eastAsia="sk-SK"/>
              </w:rPr>
              <w:t>Pohľadávky Slovenského plynárenského priemyslu, a.s.</w:t>
            </w:r>
          </w:p>
        </w:tc>
        <w:tc>
          <w:tcPr>
            <w:tcW w:w="691" w:type="pct"/>
            <w:tcBorders>
              <w:top w:val="nil"/>
              <w:left w:val="nil"/>
              <w:bottom w:val="nil"/>
              <w:right w:val="nil"/>
            </w:tcBorders>
            <w:vAlign w:val="center"/>
            <w:hideMark/>
          </w:tcPr>
          <w:p w14:paraId="25C6007B"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336 158</w:t>
            </w:r>
          </w:p>
        </w:tc>
        <w:tc>
          <w:tcPr>
            <w:tcW w:w="691" w:type="pct"/>
            <w:tcBorders>
              <w:top w:val="nil"/>
              <w:left w:val="nil"/>
              <w:bottom w:val="nil"/>
              <w:right w:val="nil"/>
            </w:tcBorders>
            <w:vAlign w:val="center"/>
            <w:hideMark/>
          </w:tcPr>
          <w:p w14:paraId="380D39C3"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645 891</w:t>
            </w:r>
          </w:p>
        </w:tc>
        <w:tc>
          <w:tcPr>
            <w:tcW w:w="691" w:type="pct"/>
            <w:tcBorders>
              <w:top w:val="nil"/>
              <w:left w:val="nil"/>
              <w:bottom w:val="nil"/>
              <w:right w:val="nil"/>
            </w:tcBorders>
            <w:vAlign w:val="center"/>
            <w:hideMark/>
          </w:tcPr>
          <w:p w14:paraId="6E6DC7D4"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-309 733</w:t>
            </w:r>
          </w:p>
        </w:tc>
      </w:tr>
      <w:tr w:rsidR="002F5589" w:rsidRPr="002F5589" w14:paraId="0258688D" w14:textId="77777777" w:rsidTr="0085799C">
        <w:trPr>
          <w:trHeight w:val="227"/>
          <w:jc w:val="center"/>
        </w:trPr>
        <w:tc>
          <w:tcPr>
            <w:tcW w:w="2926" w:type="pct"/>
            <w:tcBorders>
              <w:top w:val="nil"/>
              <w:left w:val="nil"/>
              <w:bottom w:val="nil"/>
              <w:right w:val="nil"/>
            </w:tcBorders>
            <w:vAlign w:val="center"/>
            <w:hideMark/>
          </w:tcPr>
          <w:p w14:paraId="53D09E45" w14:textId="77777777" w:rsidR="002F5589" w:rsidRPr="002F5589" w:rsidRDefault="002F5589" w:rsidP="002F5589">
            <w:pPr>
              <w:spacing w:after="0" w:line="240" w:lineRule="auto"/>
              <w:rPr>
                <w:rFonts w:ascii="Times New Roman" w:hAnsi="Times New Roman"/>
                <w:color w:val="000000"/>
                <w:sz w:val="18"/>
                <w:szCs w:val="18"/>
                <w:lang w:eastAsia="sk-SK"/>
              </w:rPr>
            </w:pPr>
            <w:r w:rsidRPr="002F5589">
              <w:rPr>
                <w:rFonts w:ascii="Times New Roman" w:hAnsi="Times New Roman"/>
                <w:color w:val="000000"/>
                <w:sz w:val="18"/>
                <w:szCs w:val="18"/>
                <w:lang w:eastAsia="sk-SK"/>
              </w:rPr>
              <w:t>Pohľadávky z daňových a colných príjmov štátu</w:t>
            </w:r>
          </w:p>
        </w:tc>
        <w:tc>
          <w:tcPr>
            <w:tcW w:w="691" w:type="pct"/>
            <w:tcBorders>
              <w:top w:val="nil"/>
              <w:left w:val="nil"/>
              <w:bottom w:val="nil"/>
              <w:right w:val="nil"/>
            </w:tcBorders>
            <w:vAlign w:val="center"/>
            <w:hideMark/>
          </w:tcPr>
          <w:p w14:paraId="0554B268"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232 124</w:t>
            </w:r>
          </w:p>
        </w:tc>
        <w:tc>
          <w:tcPr>
            <w:tcW w:w="691" w:type="pct"/>
            <w:tcBorders>
              <w:top w:val="nil"/>
              <w:left w:val="nil"/>
              <w:bottom w:val="nil"/>
              <w:right w:val="nil"/>
            </w:tcBorders>
            <w:vAlign w:val="center"/>
            <w:hideMark/>
          </w:tcPr>
          <w:p w14:paraId="1D4D047E"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328 136</w:t>
            </w:r>
          </w:p>
        </w:tc>
        <w:tc>
          <w:tcPr>
            <w:tcW w:w="691" w:type="pct"/>
            <w:tcBorders>
              <w:top w:val="nil"/>
              <w:left w:val="nil"/>
              <w:bottom w:val="nil"/>
              <w:right w:val="nil"/>
            </w:tcBorders>
            <w:vAlign w:val="center"/>
            <w:hideMark/>
          </w:tcPr>
          <w:p w14:paraId="2EB21EE8"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-96 012</w:t>
            </w:r>
          </w:p>
        </w:tc>
      </w:tr>
      <w:tr w:rsidR="002F5589" w:rsidRPr="002F5589" w14:paraId="61D7D891" w14:textId="77777777" w:rsidTr="0085799C">
        <w:trPr>
          <w:trHeight w:val="227"/>
          <w:jc w:val="center"/>
        </w:trPr>
        <w:tc>
          <w:tcPr>
            <w:tcW w:w="2926" w:type="pct"/>
            <w:tcBorders>
              <w:top w:val="nil"/>
              <w:left w:val="nil"/>
              <w:bottom w:val="nil"/>
              <w:right w:val="nil"/>
            </w:tcBorders>
            <w:vAlign w:val="center"/>
            <w:hideMark/>
          </w:tcPr>
          <w:p w14:paraId="14AF9A87" w14:textId="77777777" w:rsidR="002F5589" w:rsidRPr="002F5589" w:rsidRDefault="002F5589" w:rsidP="002F5589">
            <w:pPr>
              <w:spacing w:after="0" w:line="240" w:lineRule="auto"/>
              <w:rPr>
                <w:rFonts w:ascii="Times New Roman" w:hAnsi="Times New Roman"/>
                <w:color w:val="000000"/>
                <w:sz w:val="18"/>
                <w:szCs w:val="18"/>
                <w:lang w:eastAsia="sk-SK"/>
              </w:rPr>
            </w:pPr>
            <w:r w:rsidRPr="002F5589">
              <w:rPr>
                <w:rFonts w:ascii="Times New Roman" w:hAnsi="Times New Roman"/>
                <w:color w:val="000000"/>
                <w:sz w:val="18"/>
                <w:szCs w:val="18"/>
                <w:lang w:eastAsia="sk-SK"/>
              </w:rPr>
              <w:t>Pohľadávky zo zúčtovania s EÚ</w:t>
            </w:r>
          </w:p>
        </w:tc>
        <w:tc>
          <w:tcPr>
            <w:tcW w:w="691" w:type="pct"/>
            <w:tcBorders>
              <w:top w:val="nil"/>
              <w:left w:val="nil"/>
              <w:bottom w:val="nil"/>
              <w:right w:val="nil"/>
            </w:tcBorders>
            <w:vAlign w:val="center"/>
            <w:hideMark/>
          </w:tcPr>
          <w:p w14:paraId="2FC7F474"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161 075</w:t>
            </w:r>
          </w:p>
        </w:tc>
        <w:tc>
          <w:tcPr>
            <w:tcW w:w="691" w:type="pct"/>
            <w:tcBorders>
              <w:top w:val="nil"/>
              <w:left w:val="nil"/>
              <w:bottom w:val="nil"/>
              <w:right w:val="nil"/>
            </w:tcBorders>
            <w:vAlign w:val="center"/>
            <w:hideMark/>
          </w:tcPr>
          <w:p w14:paraId="24F9D498"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92 249</w:t>
            </w:r>
          </w:p>
        </w:tc>
        <w:tc>
          <w:tcPr>
            <w:tcW w:w="691" w:type="pct"/>
            <w:tcBorders>
              <w:top w:val="nil"/>
              <w:left w:val="nil"/>
              <w:bottom w:val="nil"/>
              <w:right w:val="nil"/>
            </w:tcBorders>
            <w:vAlign w:val="center"/>
            <w:hideMark/>
          </w:tcPr>
          <w:p w14:paraId="1F5D8584"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68 826</w:t>
            </w:r>
          </w:p>
        </w:tc>
      </w:tr>
      <w:tr w:rsidR="002F5589" w:rsidRPr="002F5589" w14:paraId="1DC5156D" w14:textId="77777777" w:rsidTr="0085799C">
        <w:trPr>
          <w:trHeight w:val="227"/>
          <w:jc w:val="center"/>
        </w:trPr>
        <w:tc>
          <w:tcPr>
            <w:tcW w:w="2926" w:type="pct"/>
            <w:tcBorders>
              <w:top w:val="nil"/>
              <w:left w:val="nil"/>
              <w:bottom w:val="nil"/>
              <w:right w:val="nil"/>
            </w:tcBorders>
            <w:vAlign w:val="center"/>
            <w:hideMark/>
          </w:tcPr>
          <w:p w14:paraId="309C14AF" w14:textId="77777777" w:rsidR="002F5589" w:rsidRPr="002F5589" w:rsidRDefault="002F5589" w:rsidP="002F5589">
            <w:pPr>
              <w:spacing w:after="0" w:line="240" w:lineRule="auto"/>
              <w:rPr>
                <w:rFonts w:ascii="Times New Roman" w:hAnsi="Times New Roman"/>
                <w:color w:val="000000"/>
                <w:sz w:val="18"/>
                <w:szCs w:val="18"/>
                <w:lang w:eastAsia="sk-SK"/>
              </w:rPr>
            </w:pPr>
            <w:r w:rsidRPr="002F5589">
              <w:rPr>
                <w:rFonts w:ascii="Times New Roman" w:hAnsi="Times New Roman"/>
                <w:color w:val="000000"/>
                <w:sz w:val="18"/>
                <w:szCs w:val="18"/>
                <w:lang w:eastAsia="sk-SK"/>
              </w:rPr>
              <w:t>Pohľadávky z nedaňových príjmov štátu</w:t>
            </w:r>
          </w:p>
        </w:tc>
        <w:tc>
          <w:tcPr>
            <w:tcW w:w="691" w:type="pct"/>
            <w:tcBorders>
              <w:top w:val="nil"/>
              <w:left w:val="nil"/>
              <w:bottom w:val="nil"/>
              <w:right w:val="nil"/>
            </w:tcBorders>
            <w:vAlign w:val="center"/>
            <w:hideMark/>
          </w:tcPr>
          <w:p w14:paraId="6ED24787"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96 501</w:t>
            </w:r>
          </w:p>
        </w:tc>
        <w:tc>
          <w:tcPr>
            <w:tcW w:w="691" w:type="pct"/>
            <w:tcBorders>
              <w:top w:val="nil"/>
              <w:left w:val="nil"/>
              <w:bottom w:val="nil"/>
              <w:right w:val="nil"/>
            </w:tcBorders>
            <w:vAlign w:val="center"/>
            <w:hideMark/>
          </w:tcPr>
          <w:p w14:paraId="140EEA9A"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117 878</w:t>
            </w:r>
          </w:p>
        </w:tc>
        <w:tc>
          <w:tcPr>
            <w:tcW w:w="691" w:type="pct"/>
            <w:tcBorders>
              <w:top w:val="nil"/>
              <w:left w:val="nil"/>
              <w:bottom w:val="nil"/>
              <w:right w:val="nil"/>
            </w:tcBorders>
            <w:vAlign w:val="center"/>
            <w:hideMark/>
          </w:tcPr>
          <w:p w14:paraId="1B4AC06F"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-21 377</w:t>
            </w:r>
          </w:p>
        </w:tc>
      </w:tr>
      <w:tr w:rsidR="002F5589" w:rsidRPr="002F5589" w14:paraId="1D2A6143" w14:textId="77777777" w:rsidTr="0085799C">
        <w:trPr>
          <w:trHeight w:val="227"/>
          <w:jc w:val="center"/>
        </w:trPr>
        <w:tc>
          <w:tcPr>
            <w:tcW w:w="2926" w:type="pct"/>
            <w:tcBorders>
              <w:top w:val="nil"/>
              <w:left w:val="nil"/>
              <w:bottom w:val="nil"/>
              <w:right w:val="nil"/>
            </w:tcBorders>
            <w:vAlign w:val="center"/>
            <w:hideMark/>
          </w:tcPr>
          <w:p w14:paraId="2CD3CBCB" w14:textId="77777777" w:rsidR="002F5589" w:rsidRPr="002F5589" w:rsidRDefault="002F5589" w:rsidP="002F5589">
            <w:pPr>
              <w:spacing w:after="0" w:line="240" w:lineRule="auto"/>
              <w:rPr>
                <w:rFonts w:ascii="Times New Roman" w:hAnsi="Times New Roman"/>
                <w:color w:val="000000"/>
                <w:sz w:val="18"/>
                <w:szCs w:val="18"/>
                <w:lang w:eastAsia="sk-SK"/>
              </w:rPr>
            </w:pPr>
            <w:r w:rsidRPr="002F5589">
              <w:rPr>
                <w:rFonts w:ascii="Times New Roman" w:hAnsi="Times New Roman"/>
                <w:color w:val="000000"/>
                <w:sz w:val="18"/>
                <w:szCs w:val="18"/>
                <w:lang w:eastAsia="sk-SK"/>
              </w:rPr>
              <w:t>Zúčtovanie medzi subjektami verejnej správy</w:t>
            </w:r>
          </w:p>
        </w:tc>
        <w:tc>
          <w:tcPr>
            <w:tcW w:w="691" w:type="pct"/>
            <w:tcBorders>
              <w:top w:val="nil"/>
              <w:left w:val="nil"/>
              <w:bottom w:val="nil"/>
              <w:right w:val="nil"/>
            </w:tcBorders>
            <w:vAlign w:val="center"/>
            <w:hideMark/>
          </w:tcPr>
          <w:p w14:paraId="543DF260"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85 049</w:t>
            </w:r>
          </w:p>
        </w:tc>
        <w:tc>
          <w:tcPr>
            <w:tcW w:w="691" w:type="pct"/>
            <w:tcBorders>
              <w:top w:val="nil"/>
              <w:left w:val="nil"/>
              <w:bottom w:val="nil"/>
              <w:right w:val="nil"/>
            </w:tcBorders>
            <w:vAlign w:val="center"/>
            <w:hideMark/>
          </w:tcPr>
          <w:p w14:paraId="67883F97"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110 960</w:t>
            </w:r>
          </w:p>
        </w:tc>
        <w:tc>
          <w:tcPr>
            <w:tcW w:w="691" w:type="pct"/>
            <w:tcBorders>
              <w:top w:val="nil"/>
              <w:left w:val="nil"/>
              <w:bottom w:val="nil"/>
              <w:right w:val="nil"/>
            </w:tcBorders>
            <w:vAlign w:val="center"/>
            <w:hideMark/>
          </w:tcPr>
          <w:p w14:paraId="70FC6137"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-25 911</w:t>
            </w:r>
          </w:p>
        </w:tc>
      </w:tr>
      <w:tr w:rsidR="002F5589" w:rsidRPr="002F5589" w14:paraId="6582ED41" w14:textId="77777777" w:rsidTr="0085799C">
        <w:trPr>
          <w:trHeight w:val="227"/>
          <w:jc w:val="center"/>
        </w:trPr>
        <w:tc>
          <w:tcPr>
            <w:tcW w:w="2926" w:type="pct"/>
            <w:tcBorders>
              <w:top w:val="nil"/>
              <w:left w:val="nil"/>
              <w:bottom w:val="nil"/>
              <w:right w:val="nil"/>
            </w:tcBorders>
            <w:vAlign w:val="center"/>
            <w:hideMark/>
          </w:tcPr>
          <w:p w14:paraId="7DE1F890" w14:textId="77777777" w:rsidR="002F5589" w:rsidRPr="002F5589" w:rsidRDefault="002F5589" w:rsidP="002F5589">
            <w:pPr>
              <w:spacing w:after="0" w:line="240" w:lineRule="auto"/>
              <w:rPr>
                <w:rFonts w:ascii="Times New Roman" w:hAnsi="Times New Roman"/>
                <w:color w:val="000000"/>
                <w:sz w:val="18"/>
                <w:szCs w:val="18"/>
                <w:lang w:eastAsia="sk-SK"/>
              </w:rPr>
            </w:pPr>
            <w:r w:rsidRPr="002F5589">
              <w:rPr>
                <w:rFonts w:ascii="Times New Roman" w:hAnsi="Times New Roman"/>
                <w:color w:val="000000"/>
                <w:sz w:val="18"/>
                <w:szCs w:val="18"/>
                <w:lang w:eastAsia="sk-SK"/>
              </w:rPr>
              <w:t>Pohľadávky z účelovo poskytnutých transferov</w:t>
            </w:r>
          </w:p>
        </w:tc>
        <w:tc>
          <w:tcPr>
            <w:tcW w:w="691" w:type="pct"/>
            <w:tcBorders>
              <w:top w:val="nil"/>
              <w:left w:val="nil"/>
              <w:bottom w:val="nil"/>
              <w:right w:val="nil"/>
            </w:tcBorders>
            <w:vAlign w:val="center"/>
            <w:hideMark/>
          </w:tcPr>
          <w:p w14:paraId="6109B97A"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83 795</w:t>
            </w:r>
          </w:p>
        </w:tc>
        <w:tc>
          <w:tcPr>
            <w:tcW w:w="691" w:type="pct"/>
            <w:tcBorders>
              <w:top w:val="nil"/>
              <w:left w:val="nil"/>
              <w:bottom w:val="nil"/>
              <w:right w:val="nil"/>
            </w:tcBorders>
            <w:vAlign w:val="center"/>
            <w:hideMark/>
          </w:tcPr>
          <w:p w14:paraId="4D1D5F40"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70 337</w:t>
            </w:r>
          </w:p>
        </w:tc>
        <w:tc>
          <w:tcPr>
            <w:tcW w:w="691" w:type="pct"/>
            <w:tcBorders>
              <w:top w:val="nil"/>
              <w:left w:val="nil"/>
              <w:bottom w:val="nil"/>
              <w:right w:val="nil"/>
            </w:tcBorders>
            <w:vAlign w:val="center"/>
            <w:hideMark/>
          </w:tcPr>
          <w:p w14:paraId="7ADC0399"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13 458</w:t>
            </w:r>
          </w:p>
        </w:tc>
      </w:tr>
      <w:tr w:rsidR="002F5589" w:rsidRPr="002F5589" w14:paraId="11FBD160" w14:textId="77777777" w:rsidTr="0085799C">
        <w:trPr>
          <w:trHeight w:val="227"/>
          <w:jc w:val="center"/>
        </w:trPr>
        <w:tc>
          <w:tcPr>
            <w:tcW w:w="2926" w:type="pct"/>
            <w:tcBorders>
              <w:top w:val="nil"/>
              <w:left w:val="nil"/>
              <w:bottom w:val="nil"/>
              <w:right w:val="nil"/>
            </w:tcBorders>
            <w:vAlign w:val="center"/>
            <w:hideMark/>
          </w:tcPr>
          <w:p w14:paraId="6AD4CD5F" w14:textId="77777777" w:rsidR="002F5589" w:rsidRPr="002F5589" w:rsidRDefault="002F5589" w:rsidP="002F5589">
            <w:pPr>
              <w:spacing w:after="0" w:line="240" w:lineRule="auto"/>
              <w:rPr>
                <w:rFonts w:ascii="Times New Roman" w:hAnsi="Times New Roman"/>
                <w:color w:val="000000"/>
                <w:sz w:val="18"/>
                <w:szCs w:val="18"/>
                <w:lang w:eastAsia="sk-SK"/>
              </w:rPr>
            </w:pPr>
            <w:r w:rsidRPr="002F5589">
              <w:rPr>
                <w:rFonts w:ascii="Times New Roman" w:hAnsi="Times New Roman"/>
                <w:color w:val="000000"/>
                <w:sz w:val="18"/>
                <w:szCs w:val="18"/>
                <w:lang w:eastAsia="sk-SK"/>
              </w:rPr>
              <w:t>Pohľadávky z nedaňových príjmov územnej samosprávy</w:t>
            </w:r>
          </w:p>
        </w:tc>
        <w:tc>
          <w:tcPr>
            <w:tcW w:w="691" w:type="pct"/>
            <w:tcBorders>
              <w:top w:val="nil"/>
              <w:left w:val="nil"/>
              <w:bottom w:val="nil"/>
              <w:right w:val="nil"/>
            </w:tcBorders>
            <w:vAlign w:val="center"/>
            <w:hideMark/>
          </w:tcPr>
          <w:p w14:paraId="00D7B1E6"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82 715</w:t>
            </w:r>
          </w:p>
        </w:tc>
        <w:tc>
          <w:tcPr>
            <w:tcW w:w="691" w:type="pct"/>
            <w:tcBorders>
              <w:top w:val="nil"/>
              <w:left w:val="nil"/>
              <w:bottom w:val="nil"/>
              <w:right w:val="nil"/>
            </w:tcBorders>
            <w:vAlign w:val="center"/>
            <w:hideMark/>
          </w:tcPr>
          <w:p w14:paraId="6DD065BF"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81 373</w:t>
            </w:r>
          </w:p>
        </w:tc>
        <w:tc>
          <w:tcPr>
            <w:tcW w:w="691" w:type="pct"/>
            <w:tcBorders>
              <w:top w:val="nil"/>
              <w:left w:val="nil"/>
              <w:bottom w:val="nil"/>
              <w:right w:val="nil"/>
            </w:tcBorders>
            <w:vAlign w:val="center"/>
            <w:hideMark/>
          </w:tcPr>
          <w:p w14:paraId="6EDC3C22"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1 342</w:t>
            </w:r>
          </w:p>
        </w:tc>
      </w:tr>
      <w:tr w:rsidR="002F5589" w:rsidRPr="002F5589" w14:paraId="064BA3A9" w14:textId="77777777" w:rsidTr="0085799C">
        <w:trPr>
          <w:trHeight w:val="227"/>
          <w:jc w:val="center"/>
        </w:trPr>
        <w:tc>
          <w:tcPr>
            <w:tcW w:w="2926" w:type="pct"/>
            <w:tcBorders>
              <w:top w:val="nil"/>
              <w:left w:val="nil"/>
              <w:bottom w:val="nil"/>
              <w:right w:val="nil"/>
            </w:tcBorders>
            <w:vAlign w:val="center"/>
            <w:hideMark/>
          </w:tcPr>
          <w:p w14:paraId="049C0E72" w14:textId="77777777" w:rsidR="002F5589" w:rsidRPr="002F5589" w:rsidRDefault="002F5589" w:rsidP="002F5589">
            <w:pPr>
              <w:spacing w:after="0" w:line="240" w:lineRule="auto"/>
              <w:rPr>
                <w:rFonts w:ascii="Times New Roman" w:hAnsi="Times New Roman"/>
                <w:color w:val="000000"/>
                <w:sz w:val="18"/>
                <w:szCs w:val="18"/>
                <w:lang w:eastAsia="sk-SK"/>
              </w:rPr>
            </w:pPr>
            <w:r w:rsidRPr="002F5589">
              <w:rPr>
                <w:rFonts w:ascii="Times New Roman" w:hAnsi="Times New Roman"/>
                <w:color w:val="000000"/>
                <w:sz w:val="18"/>
                <w:szCs w:val="18"/>
                <w:lang w:eastAsia="sk-SK"/>
              </w:rPr>
              <w:t>Pohľadávky z daňových príjmov územnej samosprávy</w:t>
            </w:r>
          </w:p>
        </w:tc>
        <w:tc>
          <w:tcPr>
            <w:tcW w:w="691" w:type="pct"/>
            <w:tcBorders>
              <w:top w:val="nil"/>
              <w:left w:val="nil"/>
              <w:bottom w:val="nil"/>
              <w:right w:val="nil"/>
            </w:tcBorders>
            <w:vAlign w:val="center"/>
            <w:hideMark/>
          </w:tcPr>
          <w:p w14:paraId="71E2D239"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44 318</w:t>
            </w:r>
          </w:p>
        </w:tc>
        <w:tc>
          <w:tcPr>
            <w:tcW w:w="691" w:type="pct"/>
            <w:tcBorders>
              <w:top w:val="nil"/>
              <w:left w:val="nil"/>
              <w:bottom w:val="nil"/>
              <w:right w:val="nil"/>
            </w:tcBorders>
            <w:vAlign w:val="center"/>
            <w:hideMark/>
          </w:tcPr>
          <w:p w14:paraId="25A7D85C"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41 291</w:t>
            </w:r>
          </w:p>
        </w:tc>
        <w:tc>
          <w:tcPr>
            <w:tcW w:w="691" w:type="pct"/>
            <w:tcBorders>
              <w:top w:val="nil"/>
              <w:left w:val="nil"/>
              <w:bottom w:val="nil"/>
              <w:right w:val="nil"/>
            </w:tcBorders>
            <w:vAlign w:val="center"/>
            <w:hideMark/>
          </w:tcPr>
          <w:p w14:paraId="3323FA72"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3 027</w:t>
            </w:r>
          </w:p>
        </w:tc>
      </w:tr>
      <w:tr w:rsidR="002F5589" w:rsidRPr="002F5589" w14:paraId="78CE7523" w14:textId="77777777" w:rsidTr="0085799C">
        <w:trPr>
          <w:trHeight w:val="227"/>
          <w:jc w:val="center"/>
        </w:trPr>
        <w:tc>
          <w:tcPr>
            <w:tcW w:w="2926" w:type="pct"/>
            <w:tcBorders>
              <w:top w:val="nil"/>
              <w:left w:val="nil"/>
              <w:bottom w:val="nil"/>
              <w:right w:val="nil"/>
            </w:tcBorders>
            <w:vAlign w:val="center"/>
            <w:hideMark/>
          </w:tcPr>
          <w:p w14:paraId="1ED23F5F" w14:textId="77777777" w:rsidR="002F5589" w:rsidRPr="002F5589" w:rsidRDefault="002F5589" w:rsidP="002F5589">
            <w:pPr>
              <w:spacing w:after="0" w:line="240" w:lineRule="auto"/>
              <w:rPr>
                <w:rFonts w:ascii="Times New Roman" w:hAnsi="Times New Roman"/>
                <w:color w:val="000000"/>
                <w:sz w:val="18"/>
                <w:szCs w:val="18"/>
                <w:lang w:eastAsia="sk-SK"/>
              </w:rPr>
            </w:pPr>
            <w:r w:rsidRPr="002F5589">
              <w:rPr>
                <w:rFonts w:ascii="Times New Roman" w:hAnsi="Times New Roman"/>
                <w:color w:val="000000"/>
                <w:sz w:val="18"/>
                <w:szCs w:val="18"/>
                <w:lang w:eastAsia="sk-SK"/>
              </w:rPr>
              <w:t>Pohľadávky Úradu pre dohľad nad zdrav. starostlivosťou</w:t>
            </w:r>
          </w:p>
        </w:tc>
        <w:tc>
          <w:tcPr>
            <w:tcW w:w="691" w:type="pct"/>
            <w:tcBorders>
              <w:top w:val="nil"/>
              <w:left w:val="nil"/>
              <w:bottom w:val="nil"/>
              <w:right w:val="nil"/>
            </w:tcBorders>
            <w:vAlign w:val="center"/>
            <w:hideMark/>
          </w:tcPr>
          <w:p w14:paraId="02D5E31A"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501</w:t>
            </w:r>
          </w:p>
        </w:tc>
        <w:tc>
          <w:tcPr>
            <w:tcW w:w="691" w:type="pct"/>
            <w:tcBorders>
              <w:top w:val="nil"/>
              <w:left w:val="nil"/>
              <w:bottom w:val="nil"/>
              <w:right w:val="nil"/>
            </w:tcBorders>
            <w:vAlign w:val="center"/>
            <w:hideMark/>
          </w:tcPr>
          <w:p w14:paraId="627609C6"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102 053</w:t>
            </w:r>
          </w:p>
        </w:tc>
        <w:tc>
          <w:tcPr>
            <w:tcW w:w="691" w:type="pct"/>
            <w:tcBorders>
              <w:top w:val="nil"/>
              <w:left w:val="nil"/>
              <w:bottom w:val="nil"/>
              <w:right w:val="nil"/>
            </w:tcBorders>
            <w:vAlign w:val="center"/>
            <w:hideMark/>
          </w:tcPr>
          <w:p w14:paraId="6561ED03"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-101 552</w:t>
            </w:r>
          </w:p>
        </w:tc>
      </w:tr>
      <w:tr w:rsidR="002F5589" w:rsidRPr="002F5589" w14:paraId="6972788C" w14:textId="77777777" w:rsidTr="0085799C">
        <w:trPr>
          <w:trHeight w:val="227"/>
          <w:jc w:val="center"/>
        </w:trPr>
        <w:tc>
          <w:tcPr>
            <w:tcW w:w="2926" w:type="pct"/>
            <w:tcBorders>
              <w:top w:val="nil"/>
              <w:left w:val="nil"/>
              <w:bottom w:val="nil"/>
              <w:right w:val="nil"/>
            </w:tcBorders>
            <w:vAlign w:val="center"/>
            <w:hideMark/>
          </w:tcPr>
          <w:p w14:paraId="2370B2E2" w14:textId="77777777" w:rsidR="002F5589" w:rsidRPr="002F5589" w:rsidRDefault="002F5589" w:rsidP="002F5589">
            <w:pPr>
              <w:spacing w:after="0" w:line="240" w:lineRule="auto"/>
              <w:rPr>
                <w:rFonts w:ascii="Times New Roman" w:hAnsi="Times New Roman"/>
                <w:color w:val="000000"/>
                <w:sz w:val="18"/>
                <w:szCs w:val="18"/>
                <w:lang w:eastAsia="sk-SK"/>
              </w:rPr>
            </w:pPr>
            <w:r w:rsidRPr="002F5589">
              <w:rPr>
                <w:rFonts w:ascii="Times New Roman" w:hAnsi="Times New Roman"/>
                <w:color w:val="000000"/>
                <w:sz w:val="18"/>
                <w:szCs w:val="18"/>
                <w:lang w:eastAsia="sk-SK"/>
              </w:rPr>
              <w:t>Ostatné krátkodobé pohľadávky subjektov verejnej správy</w:t>
            </w:r>
          </w:p>
        </w:tc>
        <w:tc>
          <w:tcPr>
            <w:tcW w:w="691" w:type="pct"/>
            <w:tcBorders>
              <w:top w:val="nil"/>
              <w:left w:val="nil"/>
              <w:bottom w:val="nil"/>
              <w:right w:val="nil"/>
            </w:tcBorders>
            <w:vAlign w:val="center"/>
            <w:hideMark/>
          </w:tcPr>
          <w:p w14:paraId="358B429F"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365 094</w:t>
            </w:r>
          </w:p>
        </w:tc>
        <w:tc>
          <w:tcPr>
            <w:tcW w:w="691" w:type="pct"/>
            <w:tcBorders>
              <w:top w:val="nil"/>
              <w:left w:val="nil"/>
              <w:bottom w:val="nil"/>
              <w:right w:val="nil"/>
            </w:tcBorders>
            <w:vAlign w:val="center"/>
            <w:hideMark/>
          </w:tcPr>
          <w:p w14:paraId="3A87A248"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485 771</w:t>
            </w:r>
          </w:p>
        </w:tc>
        <w:tc>
          <w:tcPr>
            <w:tcW w:w="691" w:type="pct"/>
            <w:tcBorders>
              <w:top w:val="nil"/>
              <w:left w:val="nil"/>
              <w:bottom w:val="nil"/>
              <w:right w:val="nil"/>
            </w:tcBorders>
            <w:vAlign w:val="center"/>
            <w:hideMark/>
          </w:tcPr>
          <w:p w14:paraId="006979CE" w14:textId="77777777" w:rsidR="002F5589" w:rsidRPr="002F5589" w:rsidRDefault="002F5589" w:rsidP="002F5589">
            <w:pPr>
              <w:spacing w:after="0" w:line="240" w:lineRule="auto"/>
              <w:jc w:val="right"/>
              <w:rPr>
                <w:rFonts w:ascii="Times New Roman" w:hAnsi="Times New Roman"/>
                <w:color w:val="000000"/>
                <w:sz w:val="18"/>
                <w:szCs w:val="18"/>
                <w:lang w:eastAsia="sk-SK"/>
              </w:rPr>
            </w:pPr>
            <w:r w:rsidRPr="002F5589">
              <w:rPr>
                <w:rFonts w:ascii="Times New Roman" w:hAnsi="Times New Roman"/>
                <w:color w:val="000000"/>
                <w:sz w:val="18"/>
                <w:szCs w:val="18"/>
                <w:lang w:eastAsia="sk-SK"/>
              </w:rPr>
              <w:t>-120 677</w:t>
            </w:r>
          </w:p>
        </w:tc>
      </w:tr>
      <w:tr w:rsidR="002F5589" w:rsidRPr="002F5589" w14:paraId="22ACA46E" w14:textId="77777777" w:rsidTr="0085799C">
        <w:trPr>
          <w:trHeight w:val="227"/>
          <w:jc w:val="center"/>
        </w:trPr>
        <w:tc>
          <w:tcPr>
            <w:tcW w:w="2926" w:type="pct"/>
            <w:tcBorders>
              <w:top w:val="single" w:sz="4" w:space="0" w:color="auto"/>
              <w:left w:val="nil"/>
              <w:bottom w:val="single" w:sz="4" w:space="0" w:color="auto"/>
              <w:right w:val="nil"/>
            </w:tcBorders>
            <w:vAlign w:val="center"/>
            <w:hideMark/>
          </w:tcPr>
          <w:p w14:paraId="67879336" w14:textId="77777777" w:rsidR="002F5589" w:rsidRPr="002F5589" w:rsidRDefault="002F5589" w:rsidP="002F5589">
            <w:pPr>
              <w:spacing w:after="0" w:line="240" w:lineRule="auto"/>
              <w:rPr>
                <w:rFonts w:ascii="Times New Roman" w:hAnsi="Times New Roman"/>
                <w:b/>
                <w:bCs/>
                <w:color w:val="000000"/>
                <w:sz w:val="18"/>
                <w:szCs w:val="18"/>
                <w:lang w:eastAsia="sk-SK"/>
              </w:rPr>
            </w:pPr>
            <w:r w:rsidRPr="002F5589">
              <w:rPr>
                <w:rFonts w:ascii="Times New Roman" w:hAnsi="Times New Roman"/>
                <w:b/>
                <w:bCs/>
                <w:color w:val="000000"/>
                <w:sz w:val="18"/>
                <w:szCs w:val="18"/>
                <w:lang w:eastAsia="sk-SK"/>
              </w:rPr>
              <w:t>Spolu</w:t>
            </w:r>
          </w:p>
        </w:tc>
        <w:tc>
          <w:tcPr>
            <w:tcW w:w="691" w:type="pct"/>
            <w:tcBorders>
              <w:top w:val="single" w:sz="4" w:space="0" w:color="auto"/>
              <w:left w:val="nil"/>
              <w:bottom w:val="single" w:sz="4" w:space="0" w:color="auto"/>
              <w:right w:val="nil"/>
            </w:tcBorders>
            <w:vAlign w:val="center"/>
            <w:hideMark/>
          </w:tcPr>
          <w:p w14:paraId="57276C9C" w14:textId="77777777" w:rsidR="002F5589" w:rsidRPr="002F5589" w:rsidRDefault="002F5589" w:rsidP="002F5589">
            <w:pPr>
              <w:spacing w:after="0" w:line="240" w:lineRule="auto"/>
              <w:jc w:val="right"/>
              <w:rPr>
                <w:rFonts w:ascii="Times New Roman" w:hAnsi="Times New Roman"/>
                <w:b/>
                <w:bCs/>
                <w:color w:val="000000"/>
                <w:sz w:val="18"/>
                <w:szCs w:val="18"/>
                <w:lang w:eastAsia="sk-SK"/>
              </w:rPr>
            </w:pPr>
            <w:r w:rsidRPr="002F5589">
              <w:rPr>
                <w:rFonts w:ascii="Times New Roman" w:hAnsi="Times New Roman"/>
                <w:b/>
                <w:bCs/>
                <w:color w:val="000000"/>
                <w:sz w:val="18"/>
                <w:szCs w:val="18"/>
                <w:lang w:eastAsia="sk-SK"/>
              </w:rPr>
              <w:t>13 915 756</w:t>
            </w:r>
          </w:p>
        </w:tc>
        <w:tc>
          <w:tcPr>
            <w:tcW w:w="691" w:type="pct"/>
            <w:tcBorders>
              <w:top w:val="single" w:sz="4" w:space="0" w:color="auto"/>
              <w:left w:val="nil"/>
              <w:bottom w:val="single" w:sz="4" w:space="0" w:color="auto"/>
              <w:right w:val="nil"/>
            </w:tcBorders>
            <w:vAlign w:val="center"/>
            <w:hideMark/>
          </w:tcPr>
          <w:p w14:paraId="1E7E8F64" w14:textId="77777777" w:rsidR="002F5589" w:rsidRPr="002F5589" w:rsidRDefault="002F5589" w:rsidP="002F5589">
            <w:pPr>
              <w:spacing w:after="0" w:line="240" w:lineRule="auto"/>
              <w:jc w:val="right"/>
              <w:rPr>
                <w:rFonts w:ascii="Times New Roman" w:hAnsi="Times New Roman"/>
                <w:b/>
                <w:bCs/>
                <w:color w:val="000000"/>
                <w:sz w:val="18"/>
                <w:szCs w:val="18"/>
                <w:lang w:eastAsia="sk-SK"/>
              </w:rPr>
            </w:pPr>
            <w:r w:rsidRPr="002F5589">
              <w:rPr>
                <w:rFonts w:ascii="Times New Roman" w:hAnsi="Times New Roman"/>
                <w:b/>
                <w:bCs/>
                <w:color w:val="000000"/>
                <w:sz w:val="18"/>
                <w:szCs w:val="18"/>
                <w:lang w:eastAsia="sk-SK"/>
              </w:rPr>
              <w:t>12 493 029</w:t>
            </w:r>
          </w:p>
        </w:tc>
        <w:tc>
          <w:tcPr>
            <w:tcW w:w="691" w:type="pct"/>
            <w:tcBorders>
              <w:top w:val="single" w:sz="4" w:space="0" w:color="auto"/>
              <w:left w:val="nil"/>
              <w:bottom w:val="single" w:sz="4" w:space="0" w:color="auto"/>
              <w:right w:val="nil"/>
            </w:tcBorders>
            <w:vAlign w:val="center"/>
            <w:hideMark/>
          </w:tcPr>
          <w:p w14:paraId="784FA653" w14:textId="77777777" w:rsidR="002F5589" w:rsidRPr="002F5589" w:rsidRDefault="002F5589" w:rsidP="002F5589">
            <w:pPr>
              <w:spacing w:after="0" w:line="240" w:lineRule="auto"/>
              <w:jc w:val="right"/>
              <w:rPr>
                <w:rFonts w:ascii="Times New Roman" w:hAnsi="Times New Roman"/>
                <w:b/>
                <w:bCs/>
                <w:color w:val="000000"/>
                <w:sz w:val="18"/>
                <w:szCs w:val="18"/>
                <w:lang w:eastAsia="sk-SK"/>
              </w:rPr>
            </w:pPr>
            <w:r w:rsidRPr="002F5589">
              <w:rPr>
                <w:rFonts w:ascii="Times New Roman" w:hAnsi="Times New Roman"/>
                <w:b/>
                <w:bCs/>
                <w:color w:val="000000"/>
                <w:sz w:val="18"/>
                <w:szCs w:val="18"/>
                <w:lang w:eastAsia="sk-SK"/>
              </w:rPr>
              <w:t>1 422 727</w:t>
            </w:r>
          </w:p>
        </w:tc>
      </w:tr>
      <w:tr w:rsidR="002F5589" w:rsidRPr="002F5589" w14:paraId="59BBF306" w14:textId="77777777" w:rsidTr="0085799C">
        <w:trPr>
          <w:trHeight w:val="227"/>
          <w:jc w:val="center"/>
        </w:trPr>
        <w:tc>
          <w:tcPr>
            <w:tcW w:w="5000" w:type="pct"/>
            <w:gridSpan w:val="4"/>
            <w:tcBorders>
              <w:top w:val="single" w:sz="4" w:space="0" w:color="auto"/>
              <w:left w:val="nil"/>
              <w:bottom w:val="nil"/>
              <w:right w:val="nil"/>
            </w:tcBorders>
            <w:noWrap/>
            <w:vAlign w:val="center"/>
            <w:hideMark/>
          </w:tcPr>
          <w:p w14:paraId="542CE78D" w14:textId="77777777" w:rsidR="002F5589" w:rsidRPr="002F5589" w:rsidRDefault="002F5589" w:rsidP="002F5589">
            <w:pPr>
              <w:spacing w:after="0" w:line="240" w:lineRule="auto"/>
              <w:jc w:val="right"/>
              <w:rPr>
                <w:rFonts w:ascii="Times New Roman" w:hAnsi="Times New Roman"/>
                <w:color w:val="000000"/>
                <w:sz w:val="16"/>
                <w:szCs w:val="16"/>
                <w:lang w:eastAsia="sk-SK"/>
              </w:rPr>
            </w:pPr>
            <w:r w:rsidRPr="002F5589">
              <w:rPr>
                <w:rFonts w:ascii="Times New Roman" w:hAnsi="Times New Roman"/>
                <w:color w:val="000000"/>
                <w:sz w:val="16"/>
                <w:szCs w:val="16"/>
                <w:lang w:eastAsia="sk-SK"/>
              </w:rPr>
              <w:t>Zdroj: MF SR, Centrálny konsolidačný systém</w:t>
            </w:r>
          </w:p>
        </w:tc>
      </w:tr>
    </w:tbl>
    <w:p w14:paraId="65F345B3" w14:textId="77777777" w:rsidR="00E167D0" w:rsidRPr="0085799C" w:rsidRDefault="00E167D0" w:rsidP="0085799C">
      <w:pPr>
        <w:spacing w:after="120" w:line="240" w:lineRule="auto"/>
        <w:rPr>
          <w:rFonts w:ascii="Times New Roman" w:hAnsi="Times New Roman"/>
          <w:szCs w:val="22"/>
        </w:rPr>
      </w:pPr>
    </w:p>
    <w:p w14:paraId="59100C14" w14:textId="77777777" w:rsidR="00647542" w:rsidRDefault="00647542" w:rsidP="007814C9">
      <w:pPr>
        <w:spacing w:after="120" w:line="240" w:lineRule="auto"/>
        <w:jc w:val="both"/>
        <w:rPr>
          <w:rFonts w:ascii="Times New Roman" w:hAnsi="Times New Roman"/>
          <w:szCs w:val="22"/>
        </w:rPr>
      </w:pPr>
      <w:r w:rsidRPr="00907622">
        <w:rPr>
          <w:rFonts w:ascii="Times New Roman" w:hAnsi="Times New Roman"/>
          <w:bCs/>
          <w:szCs w:val="22"/>
        </w:rPr>
        <w:t xml:space="preserve">Z pohľadu činnosti jednotlivých subjektov súhrnného celku je možné konštatovať, že pre rozpočtové a príspevkové organizácie, obce a vyššie územné celky sú najdôležitejšie </w:t>
      </w:r>
      <w:r w:rsidRPr="00907622">
        <w:rPr>
          <w:rFonts w:ascii="Times New Roman" w:hAnsi="Times New Roman"/>
          <w:bCs/>
          <w:szCs w:val="22"/>
          <w:u w:val="single"/>
        </w:rPr>
        <w:t>pohľadávky z daní, poplatkov a nedaňových príjmov</w:t>
      </w:r>
      <w:r w:rsidRPr="00907622">
        <w:rPr>
          <w:rFonts w:ascii="Times New Roman" w:hAnsi="Times New Roman"/>
          <w:bCs/>
          <w:szCs w:val="22"/>
        </w:rPr>
        <w:t xml:space="preserve"> (napr. z dividend, predaja prebytočného majetku, z nájomného a iných nepodnikateľských aktivít). Štátne podniky a obchodné spoločnosti vykazujú najväčší podiel na pohľadávkach z obchodných vzťahov voči odberateľom a svojím klientom.</w:t>
      </w:r>
    </w:p>
    <w:p w14:paraId="7700F2B7" w14:textId="13AF9B80" w:rsidR="006F3EE5" w:rsidRDefault="006F3EE5" w:rsidP="0085799C">
      <w:pPr>
        <w:pStyle w:val="Nadpis4"/>
        <w:numPr>
          <w:ilvl w:val="0"/>
          <w:numId w:val="54"/>
        </w:numPr>
        <w:ind w:left="426" w:hanging="426"/>
      </w:pPr>
      <w:bookmarkStart w:id="26" w:name="_Daňové_a_colné"/>
      <w:bookmarkEnd w:id="26"/>
      <w:r>
        <w:t>Daňové a colné pohľadávky štátu</w:t>
      </w:r>
    </w:p>
    <w:p w14:paraId="67299CC4" w14:textId="4C503E13" w:rsidR="00647542" w:rsidRPr="0085799C" w:rsidRDefault="00647542" w:rsidP="007814C9">
      <w:pPr>
        <w:pStyle w:val="Pismenka"/>
        <w:tabs>
          <w:tab w:val="clear" w:pos="426"/>
        </w:tabs>
        <w:spacing w:after="120"/>
        <w:ind w:left="0" w:firstLine="0"/>
        <w:rPr>
          <w:rFonts w:eastAsia="Calibri"/>
          <w:sz w:val="20"/>
          <w:szCs w:val="20"/>
        </w:rPr>
      </w:pPr>
      <w:r w:rsidRPr="00907622">
        <w:rPr>
          <w:b w:val="0"/>
          <w:bCs w:val="0"/>
          <w:sz w:val="22"/>
          <w:szCs w:val="22"/>
        </w:rPr>
        <w:t>Pohľadávky z daňových a </w:t>
      </w:r>
      <w:r w:rsidRPr="002128EC">
        <w:rPr>
          <w:b w:val="0"/>
          <w:sz w:val="22"/>
          <w:szCs w:val="22"/>
        </w:rPr>
        <w:t xml:space="preserve">colných príjmov štátu vykazuje </w:t>
      </w:r>
      <w:r w:rsidRPr="002128EC">
        <w:rPr>
          <w:b w:val="0"/>
          <w:sz w:val="22"/>
          <w:szCs w:val="22"/>
          <w:u w:val="single"/>
        </w:rPr>
        <w:t>Ministerstvo financií SR</w:t>
      </w:r>
      <w:r w:rsidR="47DCC9C0" w:rsidRPr="002128EC">
        <w:rPr>
          <w:b w:val="0"/>
          <w:sz w:val="22"/>
          <w:szCs w:val="22"/>
          <w:u w:val="single"/>
        </w:rPr>
        <w:t>.</w:t>
      </w:r>
      <w:r w:rsidR="002128EC" w:rsidRPr="0085799C">
        <w:rPr>
          <w:rFonts w:ascii="Calibri" w:hAnsi="Calibri"/>
          <w:b w:val="0"/>
          <w:bCs w:val="0"/>
          <w:sz w:val="22"/>
          <w:szCs w:val="22"/>
        </w:rPr>
        <w:t xml:space="preserve"> </w:t>
      </w:r>
      <w:r w:rsidR="47DCC9C0" w:rsidRPr="0085799C">
        <w:rPr>
          <w:rFonts w:eastAsia="Calibri"/>
          <w:b w:val="0"/>
          <w:sz w:val="22"/>
          <w:szCs w:val="22"/>
        </w:rPr>
        <w:t>Išlo o pohľadávky z</w:t>
      </w:r>
      <w:r w:rsidR="00841DAE" w:rsidRPr="0085799C">
        <w:rPr>
          <w:rFonts w:eastAsia="Calibri"/>
          <w:b w:val="0"/>
          <w:bCs w:val="0"/>
          <w:sz w:val="22"/>
          <w:szCs w:val="22"/>
        </w:rPr>
        <w:t> </w:t>
      </w:r>
      <w:r w:rsidR="47DCC9C0" w:rsidRPr="0085799C">
        <w:rPr>
          <w:rFonts w:eastAsia="Calibri"/>
          <w:b w:val="0"/>
          <w:sz w:val="22"/>
          <w:szCs w:val="22"/>
        </w:rPr>
        <w:t>dane z príjmov právnických osôb, fyzických osôb, spotrebných daní a cla,</w:t>
      </w:r>
      <w:r w:rsidR="47DCC9C0" w:rsidRPr="0085799C">
        <w:rPr>
          <w:rFonts w:eastAsia="Calibri"/>
          <w:b w:val="0"/>
          <w:color w:val="C00000"/>
          <w:sz w:val="22"/>
          <w:szCs w:val="22"/>
        </w:rPr>
        <w:t xml:space="preserve"> </w:t>
      </w:r>
      <w:r w:rsidR="47DCC9C0" w:rsidRPr="0085799C">
        <w:rPr>
          <w:rFonts w:eastAsia="Calibri"/>
          <w:b w:val="0"/>
          <w:sz w:val="22"/>
          <w:szCs w:val="22"/>
        </w:rPr>
        <w:t>ktoré spolu dosiahli netto hodnotu 2</w:t>
      </w:r>
      <w:r w:rsidR="00DB28F0" w:rsidRPr="001A67CA">
        <w:rPr>
          <w:rFonts w:eastAsia="Calibri"/>
          <w:b w:val="0"/>
          <w:sz w:val="22"/>
          <w:szCs w:val="22"/>
        </w:rPr>
        <w:t>3</w:t>
      </w:r>
      <w:r w:rsidR="47DCC9C0" w:rsidRPr="0085799C">
        <w:rPr>
          <w:rFonts w:eastAsia="Calibri"/>
          <w:b w:val="0"/>
          <w:sz w:val="22"/>
          <w:szCs w:val="22"/>
        </w:rPr>
        <w:t>2</w:t>
      </w:r>
      <w:r w:rsidR="00012470" w:rsidRPr="0085799C">
        <w:rPr>
          <w:rFonts w:eastAsia="Calibri"/>
          <w:b w:val="0"/>
          <w:sz w:val="22"/>
          <w:szCs w:val="22"/>
        </w:rPr>
        <w:t> </w:t>
      </w:r>
      <w:r w:rsidR="00F63BD7" w:rsidRPr="001A67CA">
        <w:rPr>
          <w:rFonts w:eastAsia="Calibri"/>
          <w:b w:val="0"/>
          <w:sz w:val="22"/>
          <w:szCs w:val="22"/>
        </w:rPr>
        <w:t>12</w:t>
      </w:r>
      <w:r w:rsidR="00827109" w:rsidRPr="001A67CA">
        <w:rPr>
          <w:rFonts w:eastAsia="Calibri"/>
          <w:b w:val="0"/>
          <w:sz w:val="22"/>
          <w:szCs w:val="22"/>
        </w:rPr>
        <w:t>4</w:t>
      </w:r>
      <w:r w:rsidR="00651F00" w:rsidRPr="001A67CA">
        <w:rPr>
          <w:rFonts w:eastAsia="Calibri"/>
          <w:b w:val="0"/>
          <w:sz w:val="22"/>
          <w:szCs w:val="22"/>
        </w:rPr>
        <w:t> </w:t>
      </w:r>
      <w:r w:rsidR="00012470" w:rsidRPr="0085799C">
        <w:rPr>
          <w:rFonts w:eastAsia="Calibri"/>
          <w:b w:val="0"/>
          <w:sz w:val="22"/>
          <w:szCs w:val="22"/>
        </w:rPr>
        <w:t>tis.</w:t>
      </w:r>
      <w:r w:rsidR="00651F00" w:rsidRPr="001A67CA">
        <w:rPr>
          <w:rFonts w:eastAsia="Calibri"/>
          <w:b w:val="0"/>
          <w:sz w:val="22"/>
          <w:szCs w:val="22"/>
        </w:rPr>
        <w:t> </w:t>
      </w:r>
      <w:r w:rsidR="47DCC9C0" w:rsidRPr="0085799C">
        <w:rPr>
          <w:rFonts w:eastAsia="Calibri"/>
          <w:b w:val="0"/>
          <w:sz w:val="22"/>
          <w:szCs w:val="22"/>
        </w:rPr>
        <w:t>eur a medziročne sú nižšie o</w:t>
      </w:r>
      <w:r w:rsidR="00FF00AD" w:rsidRPr="001A67CA">
        <w:rPr>
          <w:rFonts w:eastAsia="Calibri"/>
          <w:b w:val="0"/>
          <w:sz w:val="22"/>
          <w:szCs w:val="22"/>
        </w:rPr>
        <w:t> 96 01</w:t>
      </w:r>
      <w:r w:rsidR="00AC6405" w:rsidRPr="001A67CA">
        <w:rPr>
          <w:rFonts w:eastAsia="Calibri"/>
          <w:b w:val="0"/>
          <w:sz w:val="22"/>
          <w:szCs w:val="22"/>
        </w:rPr>
        <w:t>2</w:t>
      </w:r>
      <w:r w:rsidR="00012470" w:rsidRPr="0085799C">
        <w:rPr>
          <w:rFonts w:eastAsia="Calibri"/>
          <w:b w:val="0"/>
          <w:sz w:val="22"/>
          <w:szCs w:val="22"/>
        </w:rPr>
        <w:t xml:space="preserve"> tis. </w:t>
      </w:r>
      <w:r w:rsidR="47DCC9C0" w:rsidRPr="0085799C">
        <w:rPr>
          <w:rFonts w:eastAsia="Calibri"/>
          <w:b w:val="0"/>
          <w:bCs w:val="0"/>
          <w:sz w:val="22"/>
          <w:szCs w:val="22"/>
        </w:rPr>
        <w:t>eur.</w:t>
      </w:r>
      <w:r w:rsidR="47DCC9C0" w:rsidRPr="0085799C">
        <w:rPr>
          <w:rFonts w:eastAsia="Calibri"/>
          <w:b w:val="0"/>
          <w:sz w:val="22"/>
          <w:szCs w:val="22"/>
        </w:rPr>
        <w:t xml:space="preserve"> Najväčší vplyv na pokles netto pohľadávok mal pokles na dani z pridanej hodnoty (o 284</w:t>
      </w:r>
      <w:r w:rsidR="00012470" w:rsidRPr="0085799C">
        <w:rPr>
          <w:rFonts w:eastAsia="Calibri"/>
          <w:b w:val="0"/>
          <w:sz w:val="22"/>
          <w:szCs w:val="22"/>
        </w:rPr>
        <w:t> </w:t>
      </w:r>
      <w:r w:rsidR="47DCC9C0" w:rsidRPr="0085799C">
        <w:rPr>
          <w:rFonts w:eastAsia="Calibri"/>
          <w:b w:val="0"/>
          <w:bCs w:val="0"/>
          <w:sz w:val="22"/>
          <w:szCs w:val="22"/>
        </w:rPr>
        <w:t>00</w:t>
      </w:r>
      <w:r w:rsidR="00012470" w:rsidRPr="0085799C">
        <w:rPr>
          <w:rFonts w:eastAsia="Calibri"/>
          <w:b w:val="0"/>
          <w:sz w:val="22"/>
          <w:szCs w:val="22"/>
        </w:rPr>
        <w:t>1 tis.</w:t>
      </w:r>
      <w:r w:rsidR="47DCC9C0" w:rsidRPr="0085799C">
        <w:rPr>
          <w:rFonts w:eastAsia="Calibri"/>
          <w:b w:val="0"/>
          <w:sz w:val="22"/>
          <w:szCs w:val="22"/>
        </w:rPr>
        <w:t xml:space="preserve"> eur), ktorý súvisí aj so splatením odkladov daňových povinností z roku 2023. Brutto hodnota daňových a colných pohľadávok k </w:t>
      </w:r>
      <w:r w:rsidR="00F418A2">
        <w:rPr>
          <w:rFonts w:eastAsia="Calibri"/>
          <w:b w:val="0"/>
          <w:sz w:val="22"/>
          <w:szCs w:val="22"/>
        </w:rPr>
        <w:t>31.</w:t>
      </w:r>
      <w:r w:rsidR="00867606">
        <w:rPr>
          <w:rFonts w:eastAsia="Calibri"/>
          <w:b w:val="0"/>
          <w:sz w:val="22"/>
          <w:szCs w:val="22"/>
        </w:rPr>
        <w:t xml:space="preserve"> </w:t>
      </w:r>
      <w:r w:rsidR="00F418A2">
        <w:rPr>
          <w:rFonts w:eastAsia="Calibri"/>
          <w:b w:val="0"/>
          <w:sz w:val="22"/>
          <w:szCs w:val="22"/>
        </w:rPr>
        <w:t>12.</w:t>
      </w:r>
      <w:r w:rsidR="00867606">
        <w:rPr>
          <w:rFonts w:eastAsia="Calibri"/>
          <w:b w:val="0"/>
          <w:sz w:val="22"/>
          <w:szCs w:val="22"/>
        </w:rPr>
        <w:t xml:space="preserve"> </w:t>
      </w:r>
      <w:r w:rsidR="00F418A2">
        <w:rPr>
          <w:rFonts w:eastAsia="Calibri"/>
          <w:b w:val="0"/>
          <w:sz w:val="22"/>
          <w:szCs w:val="22"/>
        </w:rPr>
        <w:t>2024</w:t>
      </w:r>
      <w:r w:rsidR="47DCC9C0" w:rsidRPr="0085799C">
        <w:rPr>
          <w:rFonts w:eastAsia="Calibri"/>
          <w:b w:val="0"/>
          <w:sz w:val="22"/>
          <w:szCs w:val="22"/>
        </w:rPr>
        <w:t xml:space="preserve"> dosiahla hodnotu 5</w:t>
      </w:r>
      <w:r w:rsidR="009E37AE" w:rsidRPr="0085799C">
        <w:rPr>
          <w:rFonts w:eastAsia="Calibri"/>
          <w:b w:val="0"/>
          <w:sz w:val="22"/>
          <w:szCs w:val="22"/>
        </w:rPr>
        <w:t xml:space="preserve"> 637 </w:t>
      </w:r>
      <w:r w:rsidR="009E1043" w:rsidRPr="0085799C">
        <w:rPr>
          <w:rFonts w:eastAsia="Calibri"/>
          <w:b w:val="0"/>
          <w:sz w:val="22"/>
          <w:szCs w:val="22"/>
        </w:rPr>
        <w:t>027</w:t>
      </w:r>
      <w:r w:rsidR="00012470" w:rsidRPr="0085799C">
        <w:rPr>
          <w:rFonts w:eastAsia="Calibri"/>
          <w:b w:val="0"/>
          <w:sz w:val="22"/>
          <w:szCs w:val="22"/>
        </w:rPr>
        <w:t xml:space="preserve"> tis.</w:t>
      </w:r>
      <w:r w:rsidR="47DCC9C0" w:rsidRPr="0085799C">
        <w:rPr>
          <w:rFonts w:eastAsia="Calibri"/>
          <w:b w:val="0"/>
          <w:sz w:val="22"/>
          <w:szCs w:val="22"/>
        </w:rPr>
        <w:t xml:space="preserve"> eur (čo je medziročne menej o</w:t>
      </w:r>
      <w:r w:rsidR="003B7CC8" w:rsidRPr="00AD6CC1">
        <w:rPr>
          <w:rFonts w:eastAsia="Calibri"/>
          <w:b w:val="0"/>
          <w:sz w:val="22"/>
          <w:szCs w:val="22"/>
        </w:rPr>
        <w:t> </w:t>
      </w:r>
      <w:r w:rsidR="47DCC9C0" w:rsidRPr="0085799C">
        <w:rPr>
          <w:rFonts w:eastAsia="Calibri"/>
          <w:b w:val="0"/>
          <w:bCs w:val="0"/>
          <w:sz w:val="22"/>
          <w:szCs w:val="22"/>
        </w:rPr>
        <w:t>46</w:t>
      </w:r>
      <w:r w:rsidR="003B7CC8" w:rsidRPr="00AD6CC1">
        <w:rPr>
          <w:rFonts w:eastAsia="Calibri"/>
          <w:b w:val="0"/>
          <w:sz w:val="22"/>
          <w:szCs w:val="22"/>
        </w:rPr>
        <w:t>7 091</w:t>
      </w:r>
      <w:r w:rsidR="47DCC9C0" w:rsidRPr="0085799C">
        <w:rPr>
          <w:rFonts w:eastAsia="Calibri"/>
          <w:b w:val="0"/>
          <w:sz w:val="22"/>
          <w:szCs w:val="22"/>
        </w:rPr>
        <w:t xml:space="preserve"> </w:t>
      </w:r>
      <w:r w:rsidR="00012470" w:rsidRPr="0085799C">
        <w:rPr>
          <w:rFonts w:eastAsia="Calibri"/>
          <w:b w:val="0"/>
          <w:sz w:val="22"/>
          <w:szCs w:val="22"/>
        </w:rPr>
        <w:t>tis.</w:t>
      </w:r>
      <w:r w:rsidR="47DCC9C0" w:rsidRPr="0085799C">
        <w:rPr>
          <w:rFonts w:eastAsia="Calibri"/>
          <w:b w:val="0"/>
          <w:sz w:val="22"/>
          <w:szCs w:val="22"/>
        </w:rPr>
        <w:t xml:space="preserve"> eur), pričom po lehote splatnosti boli pohľadávky</w:t>
      </w:r>
      <w:r w:rsidRPr="0085799C">
        <w:rPr>
          <w:rFonts w:eastAsia="Calibri"/>
          <w:b w:val="0"/>
          <w:sz w:val="22"/>
          <w:szCs w:val="22"/>
        </w:rPr>
        <w:t xml:space="preserve"> vo výške </w:t>
      </w:r>
      <w:r w:rsidR="47DCC9C0" w:rsidRPr="0085799C">
        <w:rPr>
          <w:rFonts w:eastAsia="Calibri"/>
          <w:b w:val="0"/>
          <w:sz w:val="22"/>
          <w:szCs w:val="22"/>
        </w:rPr>
        <w:t xml:space="preserve">5 559 968 </w:t>
      </w:r>
      <w:r w:rsidR="00012470" w:rsidRPr="0085799C">
        <w:rPr>
          <w:rFonts w:eastAsia="Calibri"/>
          <w:b w:val="0"/>
          <w:sz w:val="22"/>
          <w:szCs w:val="22"/>
        </w:rPr>
        <w:t>tis.</w:t>
      </w:r>
      <w:r w:rsidR="47DCC9C0" w:rsidRPr="0085799C">
        <w:rPr>
          <w:rFonts w:eastAsia="Calibri"/>
          <w:b w:val="0"/>
          <w:sz w:val="22"/>
          <w:szCs w:val="22"/>
        </w:rPr>
        <w:t xml:space="preserve"> eur. Hodnota opravných položiek </w:t>
      </w:r>
      <w:r w:rsidR="00BC0E46" w:rsidRPr="00AD6CC1">
        <w:rPr>
          <w:rFonts w:eastAsia="Calibri"/>
          <w:b w:val="0"/>
          <w:sz w:val="22"/>
          <w:szCs w:val="22"/>
        </w:rPr>
        <w:t xml:space="preserve">(pred konsolidačnými úpravami) </w:t>
      </w:r>
      <w:r w:rsidR="47DCC9C0" w:rsidRPr="0085799C">
        <w:rPr>
          <w:rFonts w:eastAsia="Calibri"/>
          <w:b w:val="0"/>
          <w:sz w:val="22"/>
          <w:szCs w:val="22"/>
        </w:rPr>
        <w:t>dosiahla výšku 5 354</w:t>
      </w:r>
      <w:r w:rsidR="0094062B" w:rsidRPr="0085799C">
        <w:rPr>
          <w:rFonts w:eastAsia="Calibri"/>
          <w:b w:val="0"/>
          <w:sz w:val="22"/>
          <w:szCs w:val="22"/>
        </w:rPr>
        <w:t> </w:t>
      </w:r>
      <w:r w:rsidR="47DCC9C0" w:rsidRPr="0085799C">
        <w:rPr>
          <w:rFonts w:eastAsia="Calibri"/>
          <w:b w:val="0"/>
          <w:sz w:val="22"/>
          <w:szCs w:val="22"/>
        </w:rPr>
        <w:t>58</w:t>
      </w:r>
      <w:r w:rsidR="0094062B" w:rsidRPr="0085799C">
        <w:rPr>
          <w:rFonts w:eastAsia="Calibri"/>
          <w:b w:val="0"/>
          <w:sz w:val="22"/>
          <w:szCs w:val="22"/>
        </w:rPr>
        <w:t>7 tis.</w:t>
      </w:r>
      <w:r w:rsidR="47DCC9C0" w:rsidRPr="0085799C">
        <w:rPr>
          <w:rFonts w:eastAsia="Calibri"/>
          <w:b w:val="0"/>
          <w:sz w:val="22"/>
          <w:szCs w:val="22"/>
        </w:rPr>
        <w:t xml:space="preserve"> eur. Pri tvorbe opravných položiek sú posudzované už aj pohľadávky po lehote splatnosti 3 až 6 mesiacov.</w:t>
      </w:r>
    </w:p>
    <w:p w14:paraId="23B73224" w14:textId="24259092" w:rsidR="00650168" w:rsidRPr="0085799C" w:rsidRDefault="00650168" w:rsidP="0085799C">
      <w:pPr>
        <w:pStyle w:val="Nadpis4"/>
        <w:numPr>
          <w:ilvl w:val="0"/>
          <w:numId w:val="54"/>
        </w:numPr>
        <w:ind w:left="426" w:hanging="426"/>
        <w:rPr>
          <w:rFonts w:cs="Times New Roman"/>
        </w:rPr>
      </w:pPr>
      <w:bookmarkStart w:id="27" w:name="_Daňové_pohľadávky_územnej"/>
      <w:bookmarkEnd w:id="27"/>
      <w:r>
        <w:t>Daňové pohľadávky územnej samosprávy</w:t>
      </w:r>
    </w:p>
    <w:p w14:paraId="219E0419" w14:textId="6A445B9B" w:rsidR="00647542" w:rsidRDefault="00647542" w:rsidP="007814C9">
      <w:pPr>
        <w:pStyle w:val="Pismenka"/>
        <w:tabs>
          <w:tab w:val="clear" w:pos="426"/>
        </w:tabs>
        <w:spacing w:after="120"/>
        <w:ind w:left="0" w:firstLine="0"/>
        <w:rPr>
          <w:b w:val="0"/>
          <w:sz w:val="22"/>
          <w:szCs w:val="22"/>
          <w:lang w:eastAsia="en-US"/>
        </w:rPr>
      </w:pPr>
      <w:r w:rsidRPr="00907622">
        <w:rPr>
          <w:b w:val="0"/>
          <w:sz w:val="22"/>
          <w:szCs w:val="22"/>
          <w:lang w:eastAsia="en-US"/>
        </w:rPr>
        <w:t xml:space="preserve">V rámci daňových pohľadávok územnej samosprávy sa vykazujú pohľadávky obcí a miest z predpisu miestnych daní a poplatkov, ktoré sú ukladané na základe zákona č. 582/2004 Z. z. o miestnych daniach a miestnom poplatku a príslušného všeobecne záväzného nariadenia, ktorý ustanovuje podrobnosti o výške dane a poplatku, podmienkach ich určenia a výberu. Medzi miestne dane, ktoré ukladá obec patrí napr. daň z nehnuteľností, daň za psa, daň za užívanie verejného priestranstva, daň za ubytovanie, </w:t>
      </w:r>
      <w:r w:rsidRPr="00907622">
        <w:rPr>
          <w:b w:val="0"/>
          <w:sz w:val="22"/>
          <w:szCs w:val="22"/>
          <w:lang w:eastAsia="en-US"/>
        </w:rPr>
        <w:lastRenderedPageBreak/>
        <w:t>daň za predajné automaty, daň za nevýherné hracie prístroje, daň za vjazd a zotrvanie motorového vozidla v historickej časti mesta, daň za jadrové zariadenia a ostatné miestne dane. Medzi miestne poplatky patrí napr. poplatok za komunálny odpad a drobné stavebné odpady, poplatok za rozvoj.</w:t>
      </w:r>
      <w:r w:rsidR="00651F00">
        <w:rPr>
          <w:b w:val="0"/>
          <w:sz w:val="22"/>
          <w:szCs w:val="22"/>
          <w:lang w:eastAsia="en-US"/>
        </w:rPr>
        <w:t xml:space="preserve"> </w:t>
      </w:r>
      <w:r w:rsidRPr="00907622">
        <w:rPr>
          <w:b w:val="0"/>
          <w:sz w:val="22"/>
          <w:szCs w:val="22"/>
          <w:lang w:eastAsia="en-US"/>
        </w:rPr>
        <w:t xml:space="preserve">Tieto pohľadávky obcí dosiahli úhrnnom </w:t>
      </w:r>
      <w:r w:rsidR="000452E5">
        <w:rPr>
          <w:b w:val="0"/>
          <w:sz w:val="22"/>
          <w:szCs w:val="22"/>
          <w:lang w:eastAsia="en-US"/>
        </w:rPr>
        <w:t>44 318</w:t>
      </w:r>
      <w:r w:rsidRPr="00907622">
        <w:rPr>
          <w:b w:val="0"/>
          <w:sz w:val="22"/>
          <w:szCs w:val="22"/>
          <w:lang w:eastAsia="en-US"/>
        </w:rPr>
        <w:t xml:space="preserve"> tis. eur a boli medziročne </w:t>
      </w:r>
      <w:r w:rsidR="00870D67">
        <w:rPr>
          <w:b w:val="0"/>
          <w:sz w:val="22"/>
          <w:szCs w:val="22"/>
          <w:lang w:eastAsia="en-US"/>
        </w:rPr>
        <w:t>vyššie</w:t>
      </w:r>
      <w:r w:rsidR="00870D67" w:rsidRPr="007253B7">
        <w:rPr>
          <w:b w:val="0"/>
          <w:sz w:val="22"/>
          <w:szCs w:val="22"/>
          <w:lang w:eastAsia="en-US"/>
        </w:rPr>
        <w:t xml:space="preserve"> </w:t>
      </w:r>
      <w:r w:rsidRPr="00907622">
        <w:rPr>
          <w:b w:val="0"/>
          <w:sz w:val="22"/>
          <w:szCs w:val="22"/>
          <w:lang w:eastAsia="en-US"/>
        </w:rPr>
        <w:t>o </w:t>
      </w:r>
      <w:r w:rsidR="00870D67">
        <w:rPr>
          <w:b w:val="0"/>
          <w:sz w:val="22"/>
          <w:szCs w:val="22"/>
          <w:lang w:eastAsia="en-US"/>
        </w:rPr>
        <w:t>3 02</w:t>
      </w:r>
      <w:r w:rsidR="00A226FA">
        <w:rPr>
          <w:b w:val="0"/>
          <w:sz w:val="22"/>
          <w:szCs w:val="22"/>
          <w:lang w:eastAsia="en-US"/>
        </w:rPr>
        <w:t>7</w:t>
      </w:r>
      <w:r w:rsidRPr="00907622">
        <w:rPr>
          <w:b w:val="0"/>
          <w:sz w:val="22"/>
          <w:szCs w:val="22"/>
          <w:lang w:eastAsia="en-US"/>
        </w:rPr>
        <w:t> tis.</w:t>
      </w:r>
      <w:r w:rsidR="00651F00">
        <w:rPr>
          <w:b w:val="0"/>
          <w:sz w:val="22"/>
          <w:szCs w:val="22"/>
          <w:lang w:eastAsia="en-US"/>
        </w:rPr>
        <w:t> </w:t>
      </w:r>
      <w:r w:rsidRPr="00907622">
        <w:rPr>
          <w:b w:val="0"/>
          <w:sz w:val="22"/>
          <w:szCs w:val="22"/>
          <w:lang w:eastAsia="en-US"/>
        </w:rPr>
        <w:t>eur.</w:t>
      </w:r>
    </w:p>
    <w:p w14:paraId="1597E098" w14:textId="48E0EA89" w:rsidR="00650168" w:rsidRDefault="00FE7F3C" w:rsidP="009F2AF6">
      <w:pPr>
        <w:pStyle w:val="Nadpis4"/>
        <w:numPr>
          <w:ilvl w:val="0"/>
          <w:numId w:val="54"/>
        </w:numPr>
        <w:ind w:left="426" w:hanging="426"/>
      </w:pPr>
      <w:bookmarkStart w:id="28" w:name="_Nedaňové_pohľadávky_štátu"/>
      <w:bookmarkEnd w:id="28"/>
      <w:r>
        <w:t>Nedaňové pohľadávky štátu a územnej samosprávy</w:t>
      </w:r>
    </w:p>
    <w:p w14:paraId="053990F0" w14:textId="5F93701B" w:rsidR="00647542" w:rsidRPr="007253B7" w:rsidRDefault="00647542" w:rsidP="007814C9">
      <w:pPr>
        <w:pStyle w:val="Pismenka"/>
        <w:tabs>
          <w:tab w:val="clear" w:pos="426"/>
        </w:tabs>
        <w:spacing w:after="120"/>
        <w:ind w:left="0" w:firstLine="0"/>
        <w:rPr>
          <w:b w:val="0"/>
          <w:sz w:val="22"/>
          <w:szCs w:val="22"/>
          <w:lang w:eastAsia="en-US"/>
        </w:rPr>
      </w:pPr>
      <w:r w:rsidRPr="007253B7">
        <w:rPr>
          <w:b w:val="0"/>
          <w:sz w:val="22"/>
          <w:szCs w:val="22"/>
          <w:lang w:eastAsia="en-US"/>
        </w:rPr>
        <w:t>Z nedaňových pohľadávok štátu (</w:t>
      </w:r>
      <w:r w:rsidR="007C7DEC">
        <w:rPr>
          <w:b w:val="0"/>
          <w:sz w:val="22"/>
          <w:szCs w:val="22"/>
          <w:lang w:eastAsia="en-US"/>
        </w:rPr>
        <w:t>96</w:t>
      </w:r>
      <w:r w:rsidR="00507668">
        <w:rPr>
          <w:b w:val="0"/>
          <w:sz w:val="22"/>
          <w:szCs w:val="22"/>
          <w:lang w:eastAsia="en-US"/>
        </w:rPr>
        <w:t> </w:t>
      </w:r>
      <w:r w:rsidR="007C7DEC">
        <w:rPr>
          <w:b w:val="0"/>
          <w:sz w:val="22"/>
          <w:szCs w:val="22"/>
          <w:lang w:eastAsia="en-US"/>
        </w:rPr>
        <w:t>501</w:t>
      </w:r>
      <w:r w:rsidR="00507668">
        <w:rPr>
          <w:b w:val="0"/>
          <w:sz w:val="22"/>
          <w:szCs w:val="22"/>
          <w:lang w:eastAsia="en-US"/>
        </w:rPr>
        <w:t> </w:t>
      </w:r>
      <w:r w:rsidRPr="007253B7">
        <w:rPr>
          <w:b w:val="0"/>
          <w:sz w:val="22"/>
          <w:szCs w:val="22"/>
          <w:lang w:eastAsia="en-US"/>
        </w:rPr>
        <w:t>tis. eur</w:t>
      </w:r>
      <w:r w:rsidR="00341B4A">
        <w:rPr>
          <w:b w:val="0"/>
          <w:sz w:val="22"/>
          <w:szCs w:val="22"/>
          <w:lang w:eastAsia="en-US"/>
        </w:rPr>
        <w:t>, medziročný pokles 21 3</w:t>
      </w:r>
      <w:r w:rsidR="007C7DEC">
        <w:rPr>
          <w:b w:val="0"/>
          <w:sz w:val="22"/>
          <w:szCs w:val="22"/>
          <w:lang w:eastAsia="en-US"/>
        </w:rPr>
        <w:t>40</w:t>
      </w:r>
      <w:r w:rsidR="00507668">
        <w:rPr>
          <w:b w:val="0"/>
          <w:sz w:val="22"/>
          <w:szCs w:val="22"/>
          <w:lang w:eastAsia="en-US"/>
        </w:rPr>
        <w:t> </w:t>
      </w:r>
      <w:r w:rsidR="00341B4A">
        <w:rPr>
          <w:b w:val="0"/>
          <w:sz w:val="22"/>
          <w:szCs w:val="22"/>
          <w:lang w:eastAsia="en-US"/>
        </w:rPr>
        <w:t>tis.</w:t>
      </w:r>
      <w:r w:rsidR="00507668">
        <w:rPr>
          <w:b w:val="0"/>
          <w:sz w:val="22"/>
          <w:szCs w:val="22"/>
          <w:lang w:eastAsia="en-US"/>
        </w:rPr>
        <w:t> </w:t>
      </w:r>
      <w:r w:rsidR="00341B4A">
        <w:rPr>
          <w:b w:val="0"/>
          <w:sz w:val="22"/>
          <w:szCs w:val="22"/>
          <w:lang w:eastAsia="en-US"/>
        </w:rPr>
        <w:t>eur</w:t>
      </w:r>
      <w:r w:rsidRPr="007253B7">
        <w:rPr>
          <w:b w:val="0"/>
          <w:sz w:val="22"/>
          <w:szCs w:val="22"/>
          <w:lang w:eastAsia="en-US"/>
        </w:rPr>
        <w:t xml:space="preserve">) vykazuje, </w:t>
      </w:r>
      <w:r w:rsidRPr="00A7107D">
        <w:rPr>
          <w:b w:val="0"/>
          <w:sz w:val="22"/>
          <w:szCs w:val="22"/>
          <w:u w:val="single"/>
          <w:lang w:eastAsia="en-US"/>
        </w:rPr>
        <w:t>Protimonopolný úrad SR</w:t>
      </w:r>
      <w:r w:rsidRPr="007253B7">
        <w:rPr>
          <w:b w:val="0"/>
          <w:sz w:val="22"/>
          <w:szCs w:val="22"/>
          <w:lang w:eastAsia="en-US"/>
        </w:rPr>
        <w:t xml:space="preserve"> </w:t>
      </w:r>
      <w:r w:rsidR="00367C3A">
        <w:rPr>
          <w:b w:val="0"/>
          <w:sz w:val="22"/>
          <w:szCs w:val="22"/>
          <w:lang w:eastAsia="en-US"/>
        </w:rPr>
        <w:t>19</w:t>
      </w:r>
      <w:r w:rsidR="007814C9">
        <w:rPr>
          <w:b w:val="0"/>
          <w:sz w:val="22"/>
          <w:szCs w:val="22"/>
          <w:lang w:eastAsia="en-US"/>
        </w:rPr>
        <w:t> </w:t>
      </w:r>
      <w:r w:rsidR="00367C3A">
        <w:rPr>
          <w:b w:val="0"/>
          <w:sz w:val="22"/>
          <w:szCs w:val="22"/>
          <w:lang w:eastAsia="en-US"/>
        </w:rPr>
        <w:t>047</w:t>
      </w:r>
      <w:r w:rsidRPr="007253B7">
        <w:rPr>
          <w:b w:val="0"/>
          <w:sz w:val="22"/>
          <w:szCs w:val="22"/>
          <w:lang w:eastAsia="en-US"/>
        </w:rPr>
        <w:t xml:space="preserve"> tis. eur, </w:t>
      </w:r>
      <w:r w:rsidR="00367C3A" w:rsidRPr="00A7107D">
        <w:rPr>
          <w:b w:val="0"/>
          <w:sz w:val="22"/>
          <w:szCs w:val="22"/>
          <w:u w:val="single"/>
          <w:lang w:eastAsia="en-US"/>
        </w:rPr>
        <w:t>Ministerstvo vnútra SR</w:t>
      </w:r>
      <w:r w:rsidR="00367C3A" w:rsidRPr="00367C3A">
        <w:rPr>
          <w:b w:val="0"/>
          <w:sz w:val="22"/>
          <w:szCs w:val="22"/>
          <w:lang w:eastAsia="en-US"/>
        </w:rPr>
        <w:t xml:space="preserve"> </w:t>
      </w:r>
      <w:r w:rsidR="00367C3A">
        <w:rPr>
          <w:b w:val="0"/>
          <w:sz w:val="22"/>
          <w:szCs w:val="22"/>
          <w:lang w:eastAsia="en-US"/>
        </w:rPr>
        <w:t>17</w:t>
      </w:r>
      <w:r w:rsidR="007814C9">
        <w:rPr>
          <w:b w:val="0"/>
          <w:sz w:val="22"/>
          <w:szCs w:val="22"/>
          <w:lang w:eastAsia="en-US"/>
        </w:rPr>
        <w:t> </w:t>
      </w:r>
      <w:r w:rsidR="00367C3A">
        <w:rPr>
          <w:b w:val="0"/>
          <w:sz w:val="22"/>
          <w:szCs w:val="22"/>
          <w:lang w:eastAsia="en-US"/>
        </w:rPr>
        <w:t>675</w:t>
      </w:r>
      <w:r w:rsidR="00367C3A" w:rsidRPr="00367C3A">
        <w:rPr>
          <w:b w:val="0"/>
          <w:sz w:val="22"/>
          <w:szCs w:val="22"/>
          <w:lang w:eastAsia="en-US"/>
        </w:rPr>
        <w:t xml:space="preserve"> tis. eur, </w:t>
      </w:r>
      <w:r w:rsidR="00367C3A" w:rsidRPr="00A7107D">
        <w:rPr>
          <w:b w:val="0"/>
          <w:sz w:val="22"/>
          <w:szCs w:val="22"/>
          <w:u w:val="single"/>
          <w:lang w:eastAsia="en-US"/>
        </w:rPr>
        <w:t>Ústredie práce, sociálnych vecí a rodiny</w:t>
      </w:r>
      <w:r w:rsidR="00367C3A" w:rsidRPr="00367C3A">
        <w:rPr>
          <w:b w:val="0"/>
          <w:sz w:val="22"/>
          <w:szCs w:val="22"/>
          <w:lang w:eastAsia="en-US"/>
        </w:rPr>
        <w:t xml:space="preserve"> </w:t>
      </w:r>
      <w:r w:rsidR="00367C3A">
        <w:rPr>
          <w:b w:val="0"/>
          <w:sz w:val="22"/>
          <w:szCs w:val="22"/>
          <w:lang w:eastAsia="en-US"/>
        </w:rPr>
        <w:t>12</w:t>
      </w:r>
      <w:r w:rsidR="007814C9">
        <w:rPr>
          <w:b w:val="0"/>
          <w:sz w:val="22"/>
          <w:szCs w:val="22"/>
          <w:lang w:eastAsia="en-US"/>
        </w:rPr>
        <w:t> </w:t>
      </w:r>
      <w:r w:rsidR="00367C3A">
        <w:rPr>
          <w:b w:val="0"/>
          <w:sz w:val="22"/>
          <w:szCs w:val="22"/>
          <w:lang w:eastAsia="en-US"/>
        </w:rPr>
        <w:t>537</w:t>
      </w:r>
      <w:r w:rsidR="00367C3A" w:rsidRPr="00367C3A">
        <w:rPr>
          <w:b w:val="0"/>
          <w:sz w:val="22"/>
          <w:szCs w:val="22"/>
          <w:lang w:eastAsia="en-US"/>
        </w:rPr>
        <w:t> tis. eur</w:t>
      </w:r>
      <w:r w:rsidR="00DD44AA">
        <w:rPr>
          <w:b w:val="0"/>
          <w:sz w:val="22"/>
          <w:szCs w:val="22"/>
          <w:lang w:eastAsia="en-US"/>
        </w:rPr>
        <w:t xml:space="preserve">, </w:t>
      </w:r>
      <w:r w:rsidRPr="00A7107D">
        <w:rPr>
          <w:b w:val="0"/>
          <w:sz w:val="22"/>
          <w:szCs w:val="22"/>
          <w:u w:val="single"/>
          <w:lang w:eastAsia="en-US"/>
        </w:rPr>
        <w:t>Ministerstvo financií SR</w:t>
      </w:r>
      <w:r w:rsidRPr="007253B7">
        <w:rPr>
          <w:b w:val="0"/>
          <w:sz w:val="22"/>
          <w:szCs w:val="22"/>
          <w:lang w:eastAsia="en-US"/>
        </w:rPr>
        <w:t xml:space="preserve"> </w:t>
      </w:r>
      <w:r w:rsidR="00184EF8">
        <w:rPr>
          <w:b w:val="0"/>
          <w:sz w:val="22"/>
          <w:szCs w:val="22"/>
          <w:lang w:eastAsia="en-US"/>
        </w:rPr>
        <w:t>7</w:t>
      </w:r>
      <w:r w:rsidR="007814C9">
        <w:rPr>
          <w:b w:val="0"/>
          <w:sz w:val="22"/>
          <w:szCs w:val="22"/>
          <w:lang w:eastAsia="en-US"/>
        </w:rPr>
        <w:t> </w:t>
      </w:r>
      <w:r w:rsidR="00184EF8">
        <w:rPr>
          <w:b w:val="0"/>
          <w:sz w:val="22"/>
          <w:szCs w:val="22"/>
          <w:lang w:eastAsia="en-US"/>
        </w:rPr>
        <w:t>340</w:t>
      </w:r>
      <w:r w:rsidR="007814C9">
        <w:rPr>
          <w:b w:val="0"/>
          <w:sz w:val="22"/>
          <w:szCs w:val="22"/>
          <w:lang w:eastAsia="en-US"/>
        </w:rPr>
        <w:t> </w:t>
      </w:r>
      <w:r w:rsidRPr="007253B7">
        <w:rPr>
          <w:b w:val="0"/>
          <w:sz w:val="22"/>
          <w:szCs w:val="22"/>
          <w:lang w:eastAsia="en-US"/>
        </w:rPr>
        <w:t xml:space="preserve">tis. eur a </w:t>
      </w:r>
      <w:r w:rsidRPr="00A7107D">
        <w:rPr>
          <w:b w:val="0"/>
          <w:sz w:val="22"/>
          <w:szCs w:val="22"/>
          <w:u w:val="single"/>
          <w:lang w:eastAsia="en-US"/>
        </w:rPr>
        <w:t>Úrad vládneho auditu</w:t>
      </w:r>
      <w:r w:rsidRPr="007253B7">
        <w:rPr>
          <w:b w:val="0"/>
          <w:sz w:val="22"/>
          <w:szCs w:val="22"/>
          <w:lang w:eastAsia="en-US"/>
        </w:rPr>
        <w:t xml:space="preserve"> 5 </w:t>
      </w:r>
      <w:r w:rsidR="00635F31" w:rsidRPr="005924C1">
        <w:rPr>
          <w:b w:val="0"/>
          <w:sz w:val="22"/>
          <w:szCs w:val="22"/>
          <w:lang w:eastAsia="en-US"/>
        </w:rPr>
        <w:t xml:space="preserve">621 </w:t>
      </w:r>
      <w:r w:rsidRPr="007253B7">
        <w:rPr>
          <w:b w:val="0"/>
          <w:sz w:val="22"/>
          <w:szCs w:val="22"/>
          <w:lang w:eastAsia="en-US"/>
        </w:rPr>
        <w:t xml:space="preserve">tis. eur. Išlo najmä o pokuty za priestupky udelené policajnými útvarmi, hasičským a záchranným zborom a okresnými úradmi a z výkonu svojej činnosti ďalších štátnych organizácií (poplatky, predaj prebytočného majetku, nájomné a podobne). </w:t>
      </w:r>
      <w:r w:rsidRPr="00860F5B">
        <w:rPr>
          <w:b w:val="0"/>
          <w:sz w:val="22"/>
          <w:szCs w:val="22"/>
          <w:lang w:eastAsia="en-US"/>
        </w:rPr>
        <w:t>Protimonopolný úrad</w:t>
      </w:r>
      <w:r w:rsidRPr="00860F5B">
        <w:rPr>
          <w:b w:val="0"/>
          <w:bCs w:val="0"/>
          <w:sz w:val="22"/>
          <w:szCs w:val="22"/>
          <w:lang w:eastAsia="en-US"/>
        </w:rPr>
        <w:t xml:space="preserve"> </w:t>
      </w:r>
      <w:r w:rsidR="6584D926" w:rsidRPr="00860F5B">
        <w:rPr>
          <w:b w:val="0"/>
          <w:bCs w:val="0"/>
          <w:sz w:val="22"/>
          <w:szCs w:val="22"/>
          <w:lang w:eastAsia="en-US"/>
        </w:rPr>
        <w:t>SR</w:t>
      </w:r>
      <w:r w:rsidRPr="007253B7">
        <w:rPr>
          <w:b w:val="0"/>
          <w:sz w:val="22"/>
          <w:szCs w:val="22"/>
          <w:lang w:eastAsia="en-US"/>
        </w:rPr>
        <w:t xml:space="preserve"> vykazuje pohľadávky voči iným subjektom z vydaných rozhodnutí napríklad o porušení hospodárskej súťaže. Ústredie práce, sociálnych vecí a rodiny spravuje najmä pohľadávky vzniknuté z rôznych poskytnutých príspevkov v dôsledku nedodržania zákonných podmienok ich prijatia.</w:t>
      </w:r>
    </w:p>
    <w:p w14:paraId="22285ECB" w14:textId="6DB1CADE" w:rsidR="00CC1534" w:rsidRDefault="00647542" w:rsidP="007814C9">
      <w:pPr>
        <w:pStyle w:val="Pismenka"/>
        <w:tabs>
          <w:tab w:val="clear" w:pos="426"/>
        </w:tabs>
        <w:spacing w:after="120"/>
        <w:ind w:left="0" w:firstLine="0"/>
        <w:rPr>
          <w:b w:val="0"/>
          <w:sz w:val="22"/>
          <w:szCs w:val="22"/>
        </w:rPr>
      </w:pPr>
      <w:r w:rsidRPr="007253B7">
        <w:rPr>
          <w:b w:val="0"/>
          <w:sz w:val="22"/>
          <w:szCs w:val="22"/>
        </w:rPr>
        <w:t xml:space="preserve">Nedaňové pohľadávky územnej samosprávy dosiahli </w:t>
      </w:r>
      <w:r w:rsidR="00DA405C">
        <w:rPr>
          <w:b w:val="0"/>
          <w:sz w:val="22"/>
          <w:szCs w:val="22"/>
        </w:rPr>
        <w:t>82</w:t>
      </w:r>
      <w:r w:rsidR="007814C9">
        <w:rPr>
          <w:b w:val="0"/>
          <w:sz w:val="22"/>
          <w:szCs w:val="22"/>
        </w:rPr>
        <w:t> </w:t>
      </w:r>
      <w:r w:rsidR="00367B6B">
        <w:rPr>
          <w:b w:val="0"/>
          <w:sz w:val="22"/>
          <w:szCs w:val="22"/>
        </w:rPr>
        <w:t>715</w:t>
      </w:r>
      <w:r w:rsidRPr="007253B7">
        <w:rPr>
          <w:b w:val="0"/>
          <w:sz w:val="22"/>
          <w:szCs w:val="22"/>
        </w:rPr>
        <w:t> tis. </w:t>
      </w:r>
      <w:r w:rsidRPr="00907622">
        <w:rPr>
          <w:b w:val="0"/>
          <w:bCs w:val="0"/>
          <w:sz w:val="22"/>
          <w:szCs w:val="22"/>
        </w:rPr>
        <w:t xml:space="preserve">eur (v tom obce </w:t>
      </w:r>
      <w:r w:rsidR="00F24C7C">
        <w:rPr>
          <w:b w:val="0"/>
          <w:sz w:val="22"/>
          <w:szCs w:val="22"/>
        </w:rPr>
        <w:t>71</w:t>
      </w:r>
      <w:r w:rsidR="007814C9">
        <w:rPr>
          <w:b w:val="0"/>
          <w:sz w:val="22"/>
          <w:szCs w:val="22"/>
        </w:rPr>
        <w:t> </w:t>
      </w:r>
      <w:r w:rsidR="00F24C7C">
        <w:rPr>
          <w:b w:val="0"/>
          <w:sz w:val="22"/>
          <w:szCs w:val="22"/>
        </w:rPr>
        <w:t>176</w:t>
      </w:r>
      <w:r w:rsidRPr="00907622">
        <w:rPr>
          <w:b w:val="0"/>
          <w:bCs w:val="0"/>
          <w:sz w:val="22"/>
          <w:szCs w:val="22"/>
        </w:rPr>
        <w:t> tis.</w:t>
      </w:r>
      <w:r w:rsidR="007814C9">
        <w:rPr>
          <w:b w:val="0"/>
          <w:bCs w:val="0"/>
          <w:sz w:val="22"/>
          <w:szCs w:val="22"/>
        </w:rPr>
        <w:t> </w:t>
      </w:r>
      <w:r w:rsidRPr="00907622">
        <w:rPr>
          <w:b w:val="0"/>
          <w:bCs w:val="0"/>
          <w:sz w:val="22"/>
          <w:szCs w:val="22"/>
        </w:rPr>
        <w:t>eur a V</w:t>
      </w:r>
      <w:r w:rsidR="004538BB">
        <w:rPr>
          <w:b w:val="0"/>
          <w:bCs w:val="0"/>
          <w:sz w:val="22"/>
          <w:szCs w:val="22"/>
        </w:rPr>
        <w:t>Ú</w:t>
      </w:r>
      <w:r w:rsidRPr="00907622">
        <w:rPr>
          <w:b w:val="0"/>
          <w:bCs w:val="0"/>
          <w:sz w:val="22"/>
          <w:szCs w:val="22"/>
        </w:rPr>
        <w:t>C 11 </w:t>
      </w:r>
      <w:r w:rsidR="00F24C7C">
        <w:rPr>
          <w:b w:val="0"/>
          <w:sz w:val="22"/>
          <w:szCs w:val="22"/>
        </w:rPr>
        <w:t>169</w:t>
      </w:r>
      <w:r w:rsidR="00F24C7C" w:rsidRPr="007253B7">
        <w:rPr>
          <w:b w:val="0"/>
          <w:sz w:val="22"/>
          <w:szCs w:val="22"/>
        </w:rPr>
        <w:t> </w:t>
      </w:r>
      <w:r w:rsidRPr="00907622">
        <w:rPr>
          <w:b w:val="0"/>
          <w:bCs w:val="0"/>
          <w:sz w:val="22"/>
          <w:szCs w:val="22"/>
        </w:rPr>
        <w:t xml:space="preserve">tis. eur) a medziročne boli </w:t>
      </w:r>
      <w:r w:rsidR="00A867E9">
        <w:rPr>
          <w:b w:val="0"/>
          <w:sz w:val="22"/>
          <w:szCs w:val="22"/>
        </w:rPr>
        <w:t>nižšie</w:t>
      </w:r>
      <w:r w:rsidR="005C37FA" w:rsidRPr="007253B7">
        <w:rPr>
          <w:b w:val="0"/>
          <w:sz w:val="22"/>
          <w:szCs w:val="22"/>
        </w:rPr>
        <w:t xml:space="preserve"> </w:t>
      </w:r>
      <w:r w:rsidRPr="00907622">
        <w:rPr>
          <w:b w:val="0"/>
          <w:bCs w:val="0"/>
          <w:sz w:val="22"/>
          <w:szCs w:val="22"/>
        </w:rPr>
        <w:t>o</w:t>
      </w:r>
      <w:r w:rsidR="007814C9">
        <w:rPr>
          <w:b w:val="0"/>
          <w:sz w:val="22"/>
          <w:szCs w:val="22"/>
        </w:rPr>
        <w:t> </w:t>
      </w:r>
      <w:r w:rsidR="00A867E9">
        <w:rPr>
          <w:b w:val="0"/>
          <w:sz w:val="22"/>
          <w:szCs w:val="22"/>
        </w:rPr>
        <w:t>21</w:t>
      </w:r>
      <w:r w:rsidR="007814C9">
        <w:rPr>
          <w:b w:val="0"/>
          <w:sz w:val="22"/>
          <w:szCs w:val="22"/>
        </w:rPr>
        <w:t> </w:t>
      </w:r>
      <w:r w:rsidR="00A867E9">
        <w:rPr>
          <w:b w:val="0"/>
          <w:sz w:val="22"/>
          <w:szCs w:val="22"/>
        </w:rPr>
        <w:t>377</w:t>
      </w:r>
      <w:r w:rsidRPr="00907622">
        <w:rPr>
          <w:b w:val="0"/>
          <w:bCs w:val="0"/>
          <w:sz w:val="22"/>
          <w:szCs w:val="22"/>
        </w:rPr>
        <w:t> tis. eur.</w:t>
      </w:r>
    </w:p>
    <w:p w14:paraId="2FFB9DF6" w14:textId="63F94767" w:rsidR="00CC1534" w:rsidRDefault="00CC1534" w:rsidP="0085799C">
      <w:pPr>
        <w:pStyle w:val="Nadpis4"/>
        <w:numPr>
          <w:ilvl w:val="0"/>
          <w:numId w:val="54"/>
        </w:numPr>
        <w:ind w:left="426" w:hanging="426"/>
      </w:pPr>
      <w:bookmarkStart w:id="29" w:name="_Odberatelia"/>
      <w:bookmarkEnd w:id="29"/>
      <w:r>
        <w:t>Odberatelia</w:t>
      </w:r>
    </w:p>
    <w:p w14:paraId="2CDA0E32" w14:textId="713D1470" w:rsidR="00647542" w:rsidRPr="00A7107D" w:rsidRDefault="00647542" w:rsidP="007814C9">
      <w:pPr>
        <w:pStyle w:val="Pismenka"/>
        <w:tabs>
          <w:tab w:val="clear" w:pos="426"/>
        </w:tabs>
        <w:spacing w:after="120"/>
        <w:ind w:left="0" w:firstLine="0"/>
        <w:rPr>
          <w:rFonts w:eastAsia="Calibri"/>
          <w:sz w:val="20"/>
          <w:szCs w:val="20"/>
        </w:rPr>
      </w:pPr>
      <w:r w:rsidRPr="00907622">
        <w:rPr>
          <w:b w:val="0"/>
          <w:sz w:val="22"/>
          <w:szCs w:val="22"/>
          <w:lang w:eastAsia="en-US"/>
        </w:rPr>
        <w:t xml:space="preserve">Celková </w:t>
      </w:r>
      <w:r w:rsidRPr="2BA33496">
        <w:rPr>
          <w:b w:val="0"/>
          <w:sz w:val="22"/>
          <w:szCs w:val="22"/>
          <w:lang w:eastAsia="en-US"/>
        </w:rPr>
        <w:t>hodnota pohľadávok voči odberateľom v rámci súhrnného celku dosiahla</w:t>
      </w:r>
      <w:r w:rsidR="004538BB" w:rsidRPr="2BA33496">
        <w:rPr>
          <w:b w:val="0"/>
          <w:sz w:val="22"/>
          <w:szCs w:val="22"/>
          <w:lang w:eastAsia="en-US"/>
        </w:rPr>
        <w:t xml:space="preserve"> </w:t>
      </w:r>
      <w:r w:rsidR="00D63BD1" w:rsidRPr="2BA33496">
        <w:rPr>
          <w:b w:val="0"/>
          <w:sz w:val="22"/>
          <w:szCs w:val="22"/>
          <w:lang w:eastAsia="en-US"/>
        </w:rPr>
        <w:t>netto</w:t>
      </w:r>
      <w:r w:rsidR="3486C481" w:rsidRPr="0085799C">
        <w:rPr>
          <w:rFonts w:eastAsia="Calibri"/>
          <w:b w:val="0"/>
          <w:sz w:val="22"/>
          <w:szCs w:val="22"/>
          <w:lang w:eastAsia="en-US"/>
        </w:rPr>
        <w:t xml:space="preserve"> hodnotu 1</w:t>
      </w:r>
      <w:r w:rsidR="00387BE1" w:rsidRPr="2BA33496">
        <w:rPr>
          <w:b w:val="0"/>
          <w:sz w:val="22"/>
          <w:szCs w:val="22"/>
          <w:lang w:eastAsia="en-US"/>
        </w:rPr>
        <w:t> 324 432 tis.</w:t>
      </w:r>
      <w:r w:rsidR="3486C481" w:rsidRPr="0085799C">
        <w:rPr>
          <w:rFonts w:eastAsia="Calibri"/>
          <w:b w:val="0"/>
          <w:sz w:val="22"/>
          <w:szCs w:val="22"/>
          <w:lang w:eastAsia="en-US"/>
        </w:rPr>
        <w:t xml:space="preserve"> eur</w:t>
      </w:r>
      <w:r w:rsidR="00143BA5" w:rsidRPr="0085799C">
        <w:rPr>
          <w:b w:val="0"/>
          <w:sz w:val="22"/>
          <w:szCs w:val="22"/>
          <w:lang w:eastAsia="en-US"/>
        </w:rPr>
        <w:t xml:space="preserve"> a medziročný </w:t>
      </w:r>
      <w:r w:rsidR="3486C481" w:rsidRPr="0085799C">
        <w:rPr>
          <w:rFonts w:eastAsia="Calibri"/>
          <w:b w:val="0"/>
          <w:sz w:val="22"/>
          <w:szCs w:val="22"/>
        </w:rPr>
        <w:t xml:space="preserve">nárast </w:t>
      </w:r>
      <w:r w:rsidR="00143BA5" w:rsidRPr="2BA33496">
        <w:rPr>
          <w:rFonts w:eastAsia="Calibri"/>
          <w:b w:val="0"/>
          <w:sz w:val="22"/>
          <w:szCs w:val="22"/>
        </w:rPr>
        <w:t>o</w:t>
      </w:r>
      <w:r w:rsidR="00A729C4" w:rsidRPr="2BA33496">
        <w:rPr>
          <w:rFonts w:eastAsia="Calibri"/>
          <w:b w:val="0"/>
          <w:sz w:val="22"/>
          <w:szCs w:val="22"/>
        </w:rPr>
        <w:t xml:space="preserve"> 215 092 tis. </w:t>
      </w:r>
      <w:r w:rsidR="3486C481" w:rsidRPr="0085799C">
        <w:rPr>
          <w:rFonts w:eastAsia="Calibri"/>
          <w:b w:val="0"/>
          <w:sz w:val="22"/>
          <w:szCs w:val="22"/>
        </w:rPr>
        <w:t xml:space="preserve">eur. Na položke sa najviac podieľala </w:t>
      </w:r>
      <w:r w:rsidR="00B8320A" w:rsidRPr="2BA33496">
        <w:rPr>
          <w:rFonts w:eastAsia="Calibri"/>
          <w:b w:val="0"/>
          <w:sz w:val="22"/>
          <w:szCs w:val="22"/>
        </w:rPr>
        <w:t xml:space="preserve">ústredná správa a v rámci nej </w:t>
      </w:r>
      <w:r w:rsidR="3486C481" w:rsidRPr="0085799C">
        <w:rPr>
          <w:rFonts w:eastAsia="Calibri"/>
          <w:b w:val="0"/>
          <w:sz w:val="22"/>
          <w:szCs w:val="22"/>
        </w:rPr>
        <w:t xml:space="preserve">kapitola </w:t>
      </w:r>
      <w:r w:rsidR="3486C481" w:rsidRPr="0085799C">
        <w:rPr>
          <w:rFonts w:eastAsia="Calibri"/>
          <w:b w:val="0"/>
          <w:sz w:val="22"/>
          <w:szCs w:val="22"/>
          <w:u w:val="single"/>
        </w:rPr>
        <w:t>Ministerstvo hospodárstva SR</w:t>
      </w:r>
      <w:r w:rsidR="3486C481" w:rsidRPr="0085799C">
        <w:rPr>
          <w:rFonts w:eastAsia="Calibri"/>
          <w:b w:val="0"/>
          <w:sz w:val="22"/>
          <w:szCs w:val="22"/>
        </w:rPr>
        <w:t xml:space="preserve"> sumou 724</w:t>
      </w:r>
      <w:r w:rsidR="00651F00">
        <w:rPr>
          <w:rFonts w:eastAsia="Calibri"/>
          <w:b w:val="0"/>
          <w:sz w:val="22"/>
          <w:szCs w:val="22"/>
        </w:rPr>
        <w:t> </w:t>
      </w:r>
      <w:r w:rsidR="3486C481" w:rsidRPr="0085799C">
        <w:rPr>
          <w:rFonts w:eastAsia="Calibri"/>
          <w:b w:val="0"/>
          <w:sz w:val="22"/>
          <w:szCs w:val="22"/>
        </w:rPr>
        <w:t>76</w:t>
      </w:r>
      <w:r w:rsidR="00B8320A" w:rsidRPr="2BA33496">
        <w:rPr>
          <w:rFonts w:eastAsia="Calibri"/>
          <w:b w:val="0"/>
          <w:sz w:val="22"/>
          <w:szCs w:val="22"/>
        </w:rPr>
        <w:t>4</w:t>
      </w:r>
      <w:r w:rsidR="00651F00">
        <w:rPr>
          <w:rFonts w:eastAsia="Calibri"/>
          <w:b w:val="0"/>
          <w:sz w:val="22"/>
          <w:szCs w:val="22"/>
        </w:rPr>
        <w:t> </w:t>
      </w:r>
      <w:r w:rsidR="00B8320A" w:rsidRPr="2BA33496">
        <w:rPr>
          <w:rFonts w:eastAsia="Calibri"/>
          <w:b w:val="0"/>
          <w:sz w:val="22"/>
          <w:szCs w:val="22"/>
        </w:rPr>
        <w:t>tis.</w:t>
      </w:r>
      <w:r w:rsidR="00651F00">
        <w:rPr>
          <w:rFonts w:eastAsia="Calibri"/>
          <w:b w:val="0"/>
          <w:sz w:val="22"/>
          <w:szCs w:val="22"/>
        </w:rPr>
        <w:t> </w:t>
      </w:r>
      <w:r w:rsidR="3486C481" w:rsidRPr="0085799C">
        <w:rPr>
          <w:rFonts w:eastAsia="Calibri"/>
          <w:b w:val="0"/>
          <w:sz w:val="22"/>
          <w:szCs w:val="22"/>
        </w:rPr>
        <w:t xml:space="preserve">eur, najmä prostredníctvom </w:t>
      </w:r>
      <w:r w:rsidR="3486C481" w:rsidRPr="0085799C">
        <w:rPr>
          <w:rFonts w:eastAsia="Calibri"/>
          <w:b w:val="0"/>
          <w:sz w:val="22"/>
          <w:szCs w:val="22"/>
          <w:u w:val="single"/>
        </w:rPr>
        <w:t>Slovenského plynárenského priemyslu, a.s.</w:t>
      </w:r>
      <w:r w:rsidR="3486C481" w:rsidRPr="0085799C">
        <w:rPr>
          <w:rFonts w:eastAsia="Calibri"/>
          <w:b w:val="0"/>
          <w:sz w:val="22"/>
          <w:szCs w:val="22"/>
        </w:rPr>
        <w:t xml:space="preserve"> z predaja zemného plynu a elektrickej energie, ktorý vykázal hodnotu 656</w:t>
      </w:r>
      <w:r w:rsidR="00B8320A" w:rsidRPr="2BA33496">
        <w:rPr>
          <w:rFonts w:eastAsia="Calibri"/>
          <w:b w:val="0"/>
          <w:sz w:val="22"/>
          <w:szCs w:val="22"/>
        </w:rPr>
        <w:t> </w:t>
      </w:r>
      <w:r w:rsidR="3486C481" w:rsidRPr="0085799C">
        <w:rPr>
          <w:rFonts w:eastAsia="Calibri"/>
          <w:b w:val="0"/>
          <w:sz w:val="22"/>
          <w:szCs w:val="22"/>
        </w:rPr>
        <w:t>31</w:t>
      </w:r>
      <w:r w:rsidR="001672B7">
        <w:rPr>
          <w:rFonts w:eastAsia="Calibri"/>
          <w:b w:val="0"/>
          <w:sz w:val="22"/>
          <w:szCs w:val="22"/>
        </w:rPr>
        <w:t>6</w:t>
      </w:r>
      <w:r w:rsidR="00B8320A" w:rsidRPr="2BA33496">
        <w:rPr>
          <w:rFonts w:eastAsia="Calibri"/>
          <w:b w:val="0"/>
          <w:sz w:val="22"/>
          <w:szCs w:val="22"/>
        </w:rPr>
        <w:t xml:space="preserve"> tis.</w:t>
      </w:r>
      <w:r w:rsidR="3486C481" w:rsidRPr="2BA33496">
        <w:rPr>
          <w:rFonts w:eastAsia="Calibri"/>
          <w:b w:val="0"/>
          <w:sz w:val="22"/>
          <w:szCs w:val="22"/>
        </w:rPr>
        <w:t xml:space="preserve"> </w:t>
      </w:r>
      <w:r w:rsidR="3486C481" w:rsidRPr="0085799C">
        <w:rPr>
          <w:rFonts w:eastAsia="Calibri"/>
          <w:b w:val="0"/>
          <w:sz w:val="22"/>
          <w:szCs w:val="22"/>
        </w:rPr>
        <w:t>eur a zároveň medziročné zvýšenie o 164</w:t>
      </w:r>
      <w:r w:rsidR="00B8320A" w:rsidRPr="2BA33496">
        <w:rPr>
          <w:rFonts w:eastAsia="Calibri"/>
          <w:b w:val="0"/>
          <w:sz w:val="22"/>
          <w:szCs w:val="22"/>
        </w:rPr>
        <w:t> </w:t>
      </w:r>
      <w:r w:rsidR="3486C481" w:rsidRPr="0085799C">
        <w:rPr>
          <w:rFonts w:eastAsia="Calibri"/>
          <w:b w:val="0"/>
          <w:sz w:val="22"/>
          <w:szCs w:val="22"/>
        </w:rPr>
        <w:t>8</w:t>
      </w:r>
      <w:r w:rsidR="007358F9">
        <w:rPr>
          <w:rFonts w:eastAsia="Calibri"/>
          <w:b w:val="0"/>
          <w:sz w:val="22"/>
          <w:szCs w:val="22"/>
        </w:rPr>
        <w:t>59</w:t>
      </w:r>
      <w:r w:rsidR="00B8320A" w:rsidRPr="2BA33496">
        <w:rPr>
          <w:rFonts w:eastAsia="Calibri"/>
          <w:b w:val="0"/>
          <w:sz w:val="22"/>
          <w:szCs w:val="22"/>
        </w:rPr>
        <w:t xml:space="preserve"> tis. </w:t>
      </w:r>
      <w:r w:rsidR="3486C481" w:rsidRPr="0085799C">
        <w:rPr>
          <w:rFonts w:eastAsia="Calibri"/>
          <w:b w:val="0"/>
          <w:sz w:val="22"/>
          <w:szCs w:val="22"/>
        </w:rPr>
        <w:t xml:space="preserve">eur. Ďalšie významnejšie sumy dosiahli najmä </w:t>
      </w:r>
      <w:r w:rsidR="3486C481" w:rsidRPr="0085799C">
        <w:rPr>
          <w:rFonts w:eastAsia="Calibri"/>
          <w:b w:val="0"/>
          <w:sz w:val="22"/>
          <w:szCs w:val="22"/>
          <w:u w:val="single"/>
        </w:rPr>
        <w:t xml:space="preserve">Slovenská elektrizačná prenosová sústava a.s. </w:t>
      </w:r>
      <w:r w:rsidR="3486C481" w:rsidRPr="0085799C">
        <w:rPr>
          <w:rFonts w:eastAsia="Calibri"/>
          <w:b w:val="0"/>
          <w:sz w:val="22"/>
          <w:szCs w:val="22"/>
        </w:rPr>
        <w:t>v hodnote 142</w:t>
      </w:r>
      <w:r w:rsidR="0019524F" w:rsidRPr="2BA33496">
        <w:rPr>
          <w:rFonts w:eastAsia="Calibri"/>
          <w:b w:val="0"/>
          <w:sz w:val="22"/>
          <w:szCs w:val="22"/>
        </w:rPr>
        <w:t> </w:t>
      </w:r>
      <w:r w:rsidR="3486C481" w:rsidRPr="0085799C">
        <w:rPr>
          <w:rFonts w:eastAsia="Calibri"/>
          <w:b w:val="0"/>
          <w:sz w:val="22"/>
          <w:szCs w:val="22"/>
        </w:rPr>
        <w:t>4</w:t>
      </w:r>
      <w:r w:rsidR="0019524F" w:rsidRPr="2BA33496">
        <w:rPr>
          <w:rFonts w:eastAsia="Calibri"/>
          <w:b w:val="0"/>
          <w:sz w:val="22"/>
          <w:szCs w:val="22"/>
        </w:rPr>
        <w:t>50</w:t>
      </w:r>
      <w:r w:rsidR="00651F00">
        <w:rPr>
          <w:rFonts w:eastAsia="Calibri"/>
          <w:b w:val="0"/>
          <w:sz w:val="22"/>
          <w:szCs w:val="22"/>
        </w:rPr>
        <w:t> </w:t>
      </w:r>
      <w:r w:rsidR="0019524F" w:rsidRPr="2BA33496">
        <w:rPr>
          <w:rFonts w:eastAsia="Calibri"/>
          <w:b w:val="0"/>
          <w:sz w:val="22"/>
          <w:szCs w:val="22"/>
        </w:rPr>
        <w:t>tis.</w:t>
      </w:r>
      <w:r w:rsidR="00651F00">
        <w:rPr>
          <w:rFonts w:eastAsia="Calibri"/>
          <w:b w:val="0"/>
          <w:sz w:val="22"/>
          <w:szCs w:val="22"/>
        </w:rPr>
        <w:t> </w:t>
      </w:r>
      <w:r w:rsidR="3486C481" w:rsidRPr="0085799C">
        <w:rPr>
          <w:rFonts w:eastAsia="Calibri"/>
          <w:b w:val="0"/>
          <w:sz w:val="22"/>
          <w:szCs w:val="22"/>
        </w:rPr>
        <w:t xml:space="preserve">eur, </w:t>
      </w:r>
      <w:r w:rsidR="3486C481" w:rsidRPr="0085799C">
        <w:rPr>
          <w:rFonts w:eastAsia="Calibri"/>
          <w:b w:val="0"/>
          <w:sz w:val="22"/>
          <w:szCs w:val="22"/>
          <w:u w:val="single"/>
        </w:rPr>
        <w:t xml:space="preserve">Valaliky Industrial Park, </w:t>
      </w:r>
      <w:proofErr w:type="spellStart"/>
      <w:r w:rsidR="3486C481" w:rsidRPr="0085799C">
        <w:rPr>
          <w:rFonts w:eastAsia="Calibri"/>
          <w:b w:val="0"/>
          <w:sz w:val="22"/>
          <w:szCs w:val="22"/>
          <w:u w:val="single"/>
        </w:rPr>
        <w:t>s.r.o</w:t>
      </w:r>
      <w:proofErr w:type="spellEnd"/>
      <w:r w:rsidR="3486C481" w:rsidRPr="0085799C">
        <w:rPr>
          <w:rFonts w:eastAsia="Calibri"/>
          <w:b w:val="0"/>
          <w:sz w:val="22"/>
          <w:szCs w:val="22"/>
          <w:u w:val="single"/>
        </w:rPr>
        <w:t>.</w:t>
      </w:r>
      <w:r w:rsidR="3486C481" w:rsidRPr="0085799C">
        <w:rPr>
          <w:rFonts w:eastAsia="Calibri"/>
          <w:b w:val="0"/>
          <w:sz w:val="22"/>
          <w:szCs w:val="22"/>
        </w:rPr>
        <w:t xml:space="preserve"> v hodnote 40 873 </w:t>
      </w:r>
      <w:r w:rsidR="00447D4D" w:rsidRPr="2BA33496">
        <w:rPr>
          <w:rFonts w:eastAsia="Calibri"/>
          <w:b w:val="0"/>
          <w:sz w:val="22"/>
          <w:szCs w:val="22"/>
        </w:rPr>
        <w:t>tis.</w:t>
      </w:r>
      <w:r w:rsidR="3486C481" w:rsidRPr="2BA33496">
        <w:rPr>
          <w:rFonts w:eastAsia="Calibri"/>
          <w:b w:val="0"/>
          <w:sz w:val="22"/>
          <w:szCs w:val="22"/>
        </w:rPr>
        <w:t xml:space="preserve"> </w:t>
      </w:r>
      <w:r w:rsidR="3486C481" w:rsidRPr="0085799C">
        <w:rPr>
          <w:rFonts w:eastAsia="Calibri"/>
          <w:b w:val="0"/>
          <w:sz w:val="22"/>
          <w:szCs w:val="22"/>
        </w:rPr>
        <w:t xml:space="preserve">eur, </w:t>
      </w:r>
      <w:r w:rsidR="3486C481" w:rsidRPr="0085799C">
        <w:rPr>
          <w:rFonts w:eastAsia="Calibri"/>
          <w:b w:val="0"/>
          <w:sz w:val="22"/>
          <w:szCs w:val="22"/>
          <w:u w:val="single"/>
        </w:rPr>
        <w:t>Železničná spoločnosť Cargo Slovakia, a.s.</w:t>
      </w:r>
      <w:r w:rsidR="3486C481" w:rsidRPr="0085799C">
        <w:rPr>
          <w:rFonts w:eastAsia="Calibri"/>
          <w:b w:val="0"/>
          <w:sz w:val="22"/>
          <w:szCs w:val="22"/>
        </w:rPr>
        <w:t xml:space="preserve"> v hodnote 36</w:t>
      </w:r>
      <w:r w:rsidR="00A247F4" w:rsidRPr="2BA33496">
        <w:rPr>
          <w:rFonts w:eastAsia="Calibri"/>
          <w:b w:val="0"/>
          <w:sz w:val="22"/>
          <w:szCs w:val="22"/>
        </w:rPr>
        <w:t> </w:t>
      </w:r>
      <w:r w:rsidR="3486C481" w:rsidRPr="0085799C">
        <w:rPr>
          <w:rFonts w:eastAsia="Calibri"/>
          <w:b w:val="0"/>
          <w:sz w:val="22"/>
          <w:szCs w:val="22"/>
        </w:rPr>
        <w:t>22</w:t>
      </w:r>
      <w:r w:rsidR="00A247F4" w:rsidRPr="2BA33496">
        <w:rPr>
          <w:rFonts w:eastAsia="Calibri"/>
          <w:b w:val="0"/>
          <w:sz w:val="22"/>
          <w:szCs w:val="22"/>
        </w:rPr>
        <w:t>7 tis.</w:t>
      </w:r>
      <w:r w:rsidR="3486C481" w:rsidRPr="2BA33496">
        <w:rPr>
          <w:rFonts w:eastAsia="Calibri"/>
          <w:b w:val="0"/>
          <w:sz w:val="22"/>
          <w:szCs w:val="22"/>
        </w:rPr>
        <w:t xml:space="preserve"> </w:t>
      </w:r>
      <w:r w:rsidR="3486C481" w:rsidRPr="0085799C">
        <w:rPr>
          <w:rFonts w:eastAsia="Calibri"/>
          <w:b w:val="0"/>
          <w:sz w:val="22"/>
          <w:szCs w:val="22"/>
        </w:rPr>
        <w:t xml:space="preserve">eur, </w:t>
      </w:r>
      <w:r w:rsidR="3486C481" w:rsidRPr="0085799C">
        <w:rPr>
          <w:rFonts w:eastAsia="Calibri"/>
          <w:b w:val="0"/>
          <w:sz w:val="22"/>
          <w:szCs w:val="22"/>
          <w:u w:val="single"/>
        </w:rPr>
        <w:t xml:space="preserve">Slovenská pošta, a.s. </w:t>
      </w:r>
      <w:r w:rsidR="3486C481" w:rsidRPr="00A7107D">
        <w:rPr>
          <w:rFonts w:eastAsia="Calibri"/>
          <w:b w:val="0"/>
          <w:sz w:val="22"/>
          <w:szCs w:val="22"/>
        </w:rPr>
        <w:t>v hodnote 34</w:t>
      </w:r>
      <w:r w:rsidR="00A247F4" w:rsidRPr="00A7107D">
        <w:rPr>
          <w:rFonts w:eastAsia="Calibri"/>
          <w:b w:val="0"/>
          <w:sz w:val="22"/>
          <w:szCs w:val="22"/>
        </w:rPr>
        <w:t> </w:t>
      </w:r>
      <w:r w:rsidR="3486C481" w:rsidRPr="00A7107D">
        <w:rPr>
          <w:rFonts w:eastAsia="Calibri"/>
          <w:b w:val="0"/>
          <w:sz w:val="22"/>
          <w:szCs w:val="22"/>
        </w:rPr>
        <w:t>83</w:t>
      </w:r>
      <w:r w:rsidR="00A247F4" w:rsidRPr="00A7107D">
        <w:rPr>
          <w:rFonts w:eastAsia="Calibri"/>
          <w:b w:val="0"/>
          <w:sz w:val="22"/>
          <w:szCs w:val="22"/>
        </w:rPr>
        <w:t>5 tis.</w:t>
      </w:r>
      <w:r w:rsidR="3486C481" w:rsidRPr="00A7107D">
        <w:rPr>
          <w:rFonts w:eastAsia="Calibri"/>
          <w:b w:val="0"/>
          <w:sz w:val="22"/>
          <w:szCs w:val="22"/>
        </w:rPr>
        <w:t xml:space="preserve"> eur,</w:t>
      </w:r>
      <w:r w:rsidR="3486C481" w:rsidRPr="0085799C">
        <w:rPr>
          <w:rFonts w:eastAsia="Calibri"/>
          <w:b w:val="0"/>
          <w:sz w:val="22"/>
          <w:szCs w:val="22"/>
          <w:u w:val="single"/>
        </w:rPr>
        <w:t xml:space="preserve"> </w:t>
      </w:r>
      <w:r w:rsidR="0036187D" w:rsidRPr="0036187D">
        <w:rPr>
          <w:rFonts w:eastAsia="Calibri"/>
          <w:b w:val="0"/>
          <w:sz w:val="22"/>
          <w:szCs w:val="22"/>
          <w:u w:val="single"/>
        </w:rPr>
        <w:t>LESY Slovenskej republiky, štátny podnik</w:t>
      </w:r>
      <w:r w:rsidR="002A6189">
        <w:rPr>
          <w:rFonts w:eastAsia="Calibri"/>
          <w:b w:val="0"/>
          <w:sz w:val="22"/>
          <w:szCs w:val="22"/>
          <w:u w:val="single"/>
        </w:rPr>
        <w:t xml:space="preserve"> </w:t>
      </w:r>
      <w:r w:rsidR="3486C481" w:rsidRPr="00A7107D">
        <w:rPr>
          <w:rFonts w:eastAsia="Calibri"/>
          <w:b w:val="0"/>
          <w:sz w:val="22"/>
          <w:szCs w:val="22"/>
        </w:rPr>
        <w:t xml:space="preserve">v hodnote 27 584 </w:t>
      </w:r>
      <w:r w:rsidR="00A247F4" w:rsidRPr="00A7107D">
        <w:rPr>
          <w:rFonts w:eastAsia="Calibri"/>
          <w:b w:val="0"/>
          <w:sz w:val="22"/>
          <w:szCs w:val="22"/>
        </w:rPr>
        <w:t>tis.</w:t>
      </w:r>
      <w:r w:rsidR="3486C481" w:rsidRPr="00A7107D">
        <w:rPr>
          <w:rFonts w:eastAsia="Calibri"/>
          <w:b w:val="0"/>
          <w:sz w:val="22"/>
          <w:szCs w:val="22"/>
        </w:rPr>
        <w:t xml:space="preserve"> eur a</w:t>
      </w:r>
      <w:r w:rsidR="3486C481" w:rsidRPr="0085799C">
        <w:rPr>
          <w:rFonts w:eastAsia="Calibri"/>
          <w:b w:val="0"/>
          <w:sz w:val="22"/>
          <w:szCs w:val="22"/>
          <w:u w:val="single"/>
        </w:rPr>
        <w:t xml:space="preserve"> Vodohospodárska výstavba </w:t>
      </w:r>
      <w:proofErr w:type="spellStart"/>
      <w:r w:rsidR="3486C481" w:rsidRPr="0085799C">
        <w:rPr>
          <w:rFonts w:eastAsia="Calibri"/>
          <w:b w:val="0"/>
          <w:sz w:val="22"/>
          <w:szCs w:val="22"/>
          <w:u w:val="single"/>
        </w:rPr>
        <w:t>š.p</w:t>
      </w:r>
      <w:proofErr w:type="spellEnd"/>
      <w:r w:rsidR="3486C481" w:rsidRPr="0085799C">
        <w:rPr>
          <w:rFonts w:eastAsia="Calibri"/>
          <w:b w:val="0"/>
          <w:sz w:val="22"/>
          <w:szCs w:val="22"/>
          <w:u w:val="single"/>
        </w:rPr>
        <w:t xml:space="preserve">. </w:t>
      </w:r>
      <w:r w:rsidR="3486C481" w:rsidRPr="00A7107D">
        <w:rPr>
          <w:rFonts w:eastAsia="Calibri"/>
          <w:b w:val="0"/>
          <w:sz w:val="22"/>
          <w:szCs w:val="22"/>
        </w:rPr>
        <w:t>v hodnote 27</w:t>
      </w:r>
      <w:r w:rsidR="00A247F4" w:rsidRPr="00A7107D">
        <w:rPr>
          <w:rFonts w:eastAsia="Calibri"/>
          <w:b w:val="0"/>
          <w:sz w:val="22"/>
          <w:szCs w:val="22"/>
        </w:rPr>
        <w:t> </w:t>
      </w:r>
      <w:r w:rsidR="3486C481" w:rsidRPr="00A7107D">
        <w:rPr>
          <w:rFonts w:eastAsia="Calibri"/>
          <w:b w:val="0"/>
          <w:sz w:val="22"/>
          <w:szCs w:val="22"/>
        </w:rPr>
        <w:t>27</w:t>
      </w:r>
      <w:r w:rsidR="00A247F4" w:rsidRPr="00A7107D">
        <w:rPr>
          <w:rFonts w:eastAsia="Calibri"/>
          <w:b w:val="0"/>
          <w:sz w:val="22"/>
          <w:szCs w:val="22"/>
        </w:rPr>
        <w:t>1 tis.</w:t>
      </w:r>
      <w:r w:rsidR="3486C481" w:rsidRPr="00A7107D">
        <w:rPr>
          <w:rFonts w:eastAsia="Calibri"/>
          <w:b w:val="0"/>
          <w:sz w:val="22"/>
          <w:szCs w:val="22"/>
        </w:rPr>
        <w:t xml:space="preserve"> eur.</w:t>
      </w:r>
    </w:p>
    <w:p w14:paraId="5BA686EA" w14:textId="216BAFAF" w:rsidR="004F5D59" w:rsidRPr="0085799C" w:rsidRDefault="0088660B" w:rsidP="0085799C">
      <w:pPr>
        <w:pStyle w:val="Nadpis4"/>
        <w:numPr>
          <w:ilvl w:val="0"/>
          <w:numId w:val="54"/>
        </w:numPr>
        <w:ind w:left="426" w:hanging="426"/>
      </w:pPr>
      <w:bookmarkStart w:id="30" w:name="_Poskytnuté_preddavky_1"/>
      <w:bookmarkEnd w:id="30"/>
      <w:r>
        <w:t>Poskytnuté preddavky</w:t>
      </w:r>
    </w:p>
    <w:p w14:paraId="1B0028FD" w14:textId="497F4904" w:rsidR="00647542" w:rsidRPr="0085799C" w:rsidRDefault="00647542" w:rsidP="0085799C">
      <w:pPr>
        <w:pStyle w:val="Pismenka"/>
        <w:tabs>
          <w:tab w:val="clear" w:pos="426"/>
        </w:tabs>
        <w:spacing w:after="120"/>
        <w:ind w:left="0" w:firstLine="0"/>
        <w:rPr>
          <w:rFonts w:eastAsia="Calibri"/>
          <w:sz w:val="20"/>
          <w:szCs w:val="20"/>
        </w:rPr>
      </w:pPr>
      <w:r w:rsidRPr="0085799C">
        <w:rPr>
          <w:b w:val="0"/>
          <w:sz w:val="22"/>
          <w:szCs w:val="22"/>
        </w:rPr>
        <w:t xml:space="preserve">Krátkodobé poskytnuté prevádzkové preddavky </w:t>
      </w:r>
      <w:r w:rsidR="00062A68" w:rsidRPr="0085799C">
        <w:rPr>
          <w:b w:val="0"/>
          <w:sz w:val="22"/>
          <w:szCs w:val="22"/>
        </w:rPr>
        <w:t xml:space="preserve">za súhrnný celok sú v sume </w:t>
      </w:r>
      <w:r w:rsidR="00E7580B" w:rsidRPr="0085799C">
        <w:rPr>
          <w:b w:val="0"/>
          <w:sz w:val="22"/>
          <w:szCs w:val="22"/>
        </w:rPr>
        <w:t>1 344</w:t>
      </w:r>
      <w:r w:rsidR="007814C9">
        <w:rPr>
          <w:b w:val="0"/>
          <w:sz w:val="22"/>
          <w:szCs w:val="22"/>
        </w:rPr>
        <w:t> </w:t>
      </w:r>
      <w:r w:rsidR="00E7580B" w:rsidRPr="0085799C">
        <w:rPr>
          <w:b w:val="0"/>
          <w:sz w:val="22"/>
          <w:szCs w:val="22"/>
        </w:rPr>
        <w:t>624</w:t>
      </w:r>
      <w:r w:rsidR="007814C9">
        <w:rPr>
          <w:b w:val="0"/>
          <w:sz w:val="22"/>
          <w:szCs w:val="22"/>
        </w:rPr>
        <w:t> </w:t>
      </w:r>
      <w:r w:rsidR="00E7580B" w:rsidRPr="0085799C">
        <w:rPr>
          <w:b w:val="0"/>
          <w:sz w:val="22"/>
          <w:szCs w:val="22"/>
        </w:rPr>
        <w:t>tis.</w:t>
      </w:r>
      <w:r w:rsidR="007814C9">
        <w:rPr>
          <w:b w:val="0"/>
          <w:sz w:val="22"/>
          <w:szCs w:val="22"/>
        </w:rPr>
        <w:t> </w:t>
      </w:r>
      <w:r w:rsidR="00E7580B" w:rsidRPr="0085799C">
        <w:rPr>
          <w:b w:val="0"/>
          <w:sz w:val="22"/>
          <w:szCs w:val="22"/>
        </w:rPr>
        <w:t xml:space="preserve">eur s medziročným poklesom o 68 226 tis. eur. </w:t>
      </w:r>
      <w:r w:rsidR="00565891" w:rsidRPr="0085799C">
        <w:rPr>
          <w:b w:val="0"/>
          <w:sz w:val="22"/>
          <w:szCs w:val="22"/>
        </w:rPr>
        <w:t xml:space="preserve">Najvyššiu hodnotu </w:t>
      </w:r>
      <w:r w:rsidRPr="0085799C">
        <w:rPr>
          <w:b w:val="0"/>
          <w:sz w:val="22"/>
          <w:szCs w:val="22"/>
        </w:rPr>
        <w:t>vykazuje ústredná správa</w:t>
      </w:r>
      <w:r w:rsidR="00A750BA" w:rsidRPr="0085799C">
        <w:rPr>
          <w:b w:val="0"/>
          <w:sz w:val="22"/>
          <w:szCs w:val="22"/>
        </w:rPr>
        <w:t xml:space="preserve"> </w:t>
      </w:r>
      <w:r w:rsidR="00565891" w:rsidRPr="0085799C">
        <w:rPr>
          <w:rFonts w:eastAsia="Calibri"/>
          <w:b w:val="0"/>
          <w:sz w:val="22"/>
          <w:szCs w:val="22"/>
        </w:rPr>
        <w:t>v</w:t>
      </w:r>
      <w:r w:rsidR="5199A245" w:rsidRPr="0085799C">
        <w:rPr>
          <w:rFonts w:eastAsia="Calibri"/>
          <w:b w:val="0"/>
          <w:sz w:val="22"/>
          <w:szCs w:val="22"/>
        </w:rPr>
        <w:t xml:space="preserve"> netto hodnot</w:t>
      </w:r>
      <w:r w:rsidR="00A750BA">
        <w:rPr>
          <w:rFonts w:eastAsia="Calibri"/>
          <w:b w:val="0"/>
          <w:sz w:val="22"/>
          <w:szCs w:val="22"/>
        </w:rPr>
        <w:t>e</w:t>
      </w:r>
      <w:r w:rsidR="5199A245" w:rsidRPr="0085799C">
        <w:rPr>
          <w:rFonts w:eastAsia="Calibri"/>
          <w:b w:val="0"/>
          <w:sz w:val="22"/>
          <w:szCs w:val="22"/>
        </w:rPr>
        <w:t xml:space="preserve"> 1</w:t>
      </w:r>
      <w:r w:rsidR="00E04FB2">
        <w:rPr>
          <w:rFonts w:eastAsia="Calibri"/>
          <w:b w:val="0"/>
          <w:sz w:val="22"/>
          <w:szCs w:val="22"/>
        </w:rPr>
        <w:t> 334</w:t>
      </w:r>
      <w:r w:rsidR="00CE3548">
        <w:rPr>
          <w:rFonts w:eastAsia="Calibri"/>
          <w:b w:val="0"/>
          <w:sz w:val="22"/>
          <w:szCs w:val="22"/>
        </w:rPr>
        <w:t> 376 tis.</w:t>
      </w:r>
      <w:r w:rsidR="00A750BA">
        <w:rPr>
          <w:rFonts w:eastAsia="Calibri"/>
          <w:b w:val="0"/>
          <w:sz w:val="22"/>
          <w:szCs w:val="22"/>
        </w:rPr>
        <w:t xml:space="preserve"> eur.</w:t>
      </w:r>
      <w:r w:rsidR="5199A245" w:rsidRPr="0085799C">
        <w:rPr>
          <w:rFonts w:eastAsia="Calibri"/>
          <w:b w:val="0"/>
          <w:sz w:val="22"/>
          <w:szCs w:val="22"/>
        </w:rPr>
        <w:t xml:space="preserve"> Najvyššiu sumu poskytnutých prevádzkových preddavkov dlhodobo eviduje Ministerstvo obrany SR v hodnote 722</w:t>
      </w:r>
      <w:r w:rsidR="00CE3548">
        <w:rPr>
          <w:rFonts w:eastAsia="Calibri"/>
          <w:b w:val="0"/>
          <w:sz w:val="22"/>
          <w:szCs w:val="22"/>
        </w:rPr>
        <w:t> </w:t>
      </w:r>
      <w:r w:rsidR="5199A245" w:rsidRPr="0085799C">
        <w:rPr>
          <w:rFonts w:eastAsia="Calibri"/>
          <w:b w:val="0"/>
          <w:sz w:val="22"/>
          <w:szCs w:val="22"/>
        </w:rPr>
        <w:t>11</w:t>
      </w:r>
      <w:r w:rsidR="00CE3548">
        <w:rPr>
          <w:rFonts w:eastAsia="Calibri"/>
          <w:b w:val="0"/>
          <w:sz w:val="22"/>
          <w:szCs w:val="22"/>
        </w:rPr>
        <w:t>2 tis.</w:t>
      </w:r>
      <w:r w:rsidR="5199A245">
        <w:rPr>
          <w:rFonts w:eastAsia="Calibri"/>
          <w:b w:val="0"/>
          <w:sz w:val="22"/>
          <w:szCs w:val="22"/>
        </w:rPr>
        <w:t xml:space="preserve"> </w:t>
      </w:r>
      <w:r w:rsidR="5199A245" w:rsidRPr="0085799C">
        <w:rPr>
          <w:rFonts w:eastAsia="Calibri"/>
          <w:b w:val="0"/>
          <w:sz w:val="22"/>
          <w:szCs w:val="22"/>
        </w:rPr>
        <w:t>eur s medziročným prírastkom o 218</w:t>
      </w:r>
      <w:r w:rsidR="007814C9">
        <w:rPr>
          <w:rFonts w:eastAsia="Calibri"/>
          <w:b w:val="0"/>
          <w:sz w:val="22"/>
          <w:szCs w:val="22"/>
        </w:rPr>
        <w:t> </w:t>
      </w:r>
      <w:r w:rsidR="5199A245" w:rsidRPr="0085799C">
        <w:rPr>
          <w:rFonts w:eastAsia="Calibri"/>
          <w:b w:val="0"/>
          <w:sz w:val="22"/>
          <w:szCs w:val="22"/>
        </w:rPr>
        <w:t>30</w:t>
      </w:r>
      <w:r w:rsidR="00CE3548">
        <w:rPr>
          <w:rFonts w:eastAsia="Calibri"/>
          <w:b w:val="0"/>
          <w:sz w:val="22"/>
          <w:szCs w:val="22"/>
        </w:rPr>
        <w:t>7</w:t>
      </w:r>
      <w:r w:rsidR="007814C9">
        <w:rPr>
          <w:rFonts w:eastAsia="Calibri"/>
          <w:b w:val="0"/>
          <w:sz w:val="22"/>
          <w:szCs w:val="22"/>
        </w:rPr>
        <w:t> </w:t>
      </w:r>
      <w:r w:rsidR="00CE3548">
        <w:rPr>
          <w:rFonts w:eastAsia="Calibri"/>
          <w:b w:val="0"/>
          <w:sz w:val="22"/>
          <w:szCs w:val="22"/>
        </w:rPr>
        <w:t>tis.</w:t>
      </w:r>
      <w:r w:rsidR="007814C9">
        <w:rPr>
          <w:rFonts w:eastAsia="Calibri"/>
          <w:b w:val="0"/>
          <w:sz w:val="22"/>
          <w:szCs w:val="22"/>
        </w:rPr>
        <w:t> </w:t>
      </w:r>
      <w:r w:rsidR="5199A245" w:rsidRPr="0085799C">
        <w:rPr>
          <w:rFonts w:eastAsia="Calibri"/>
          <w:b w:val="0"/>
          <w:sz w:val="22"/>
          <w:szCs w:val="22"/>
        </w:rPr>
        <w:t>eur.</w:t>
      </w:r>
      <w:r w:rsidR="007814C9">
        <w:rPr>
          <w:rFonts w:eastAsia="Calibri"/>
          <w:b w:val="0"/>
          <w:sz w:val="22"/>
          <w:szCs w:val="22"/>
        </w:rPr>
        <w:t xml:space="preserve"> </w:t>
      </w:r>
      <w:r w:rsidR="5199A245" w:rsidRPr="0085799C">
        <w:rPr>
          <w:rFonts w:eastAsia="Calibri"/>
          <w:b w:val="0"/>
          <w:sz w:val="22"/>
          <w:szCs w:val="22"/>
        </w:rPr>
        <w:t>Poskytnuté prevádzkové preddavky sú poskytnuté zahraničným spoločnostiam predovšetkým na logistickú podporu a iné služby k obstarávaným taktickým stíhacím lietadlám F-16 (441</w:t>
      </w:r>
      <w:r w:rsidR="007814C9">
        <w:rPr>
          <w:rFonts w:eastAsia="Calibri"/>
          <w:b w:val="0"/>
          <w:sz w:val="22"/>
          <w:szCs w:val="22"/>
        </w:rPr>
        <w:t> </w:t>
      </w:r>
      <w:r w:rsidR="5199A245" w:rsidRPr="0085799C">
        <w:rPr>
          <w:rFonts w:eastAsia="Calibri"/>
          <w:b w:val="0"/>
          <w:sz w:val="22"/>
          <w:szCs w:val="22"/>
        </w:rPr>
        <w:t>599</w:t>
      </w:r>
      <w:r w:rsidR="007814C9">
        <w:rPr>
          <w:rFonts w:eastAsia="Calibri"/>
          <w:b w:val="0"/>
          <w:sz w:val="22"/>
          <w:szCs w:val="22"/>
        </w:rPr>
        <w:t> </w:t>
      </w:r>
      <w:r w:rsidR="00334B7E">
        <w:rPr>
          <w:rFonts w:eastAsia="Calibri"/>
          <w:b w:val="0"/>
          <w:sz w:val="22"/>
          <w:szCs w:val="22"/>
        </w:rPr>
        <w:t>tis.</w:t>
      </w:r>
      <w:r w:rsidR="007814C9">
        <w:rPr>
          <w:rFonts w:eastAsia="Calibri"/>
          <w:b w:val="0"/>
          <w:sz w:val="22"/>
          <w:szCs w:val="22"/>
        </w:rPr>
        <w:t> </w:t>
      </w:r>
      <w:r w:rsidR="5199A245" w:rsidRPr="0085799C">
        <w:rPr>
          <w:rFonts w:eastAsia="Calibri"/>
          <w:b w:val="0"/>
          <w:sz w:val="22"/>
          <w:szCs w:val="22"/>
        </w:rPr>
        <w:t xml:space="preserve">eur), na muníciu (158 669 </w:t>
      </w:r>
      <w:r w:rsidR="00334B7E">
        <w:rPr>
          <w:rFonts w:eastAsia="Calibri"/>
          <w:b w:val="0"/>
          <w:sz w:val="22"/>
          <w:szCs w:val="22"/>
        </w:rPr>
        <w:t>tis.</w:t>
      </w:r>
      <w:r w:rsidR="5199A245">
        <w:rPr>
          <w:rFonts w:eastAsia="Calibri"/>
          <w:b w:val="0"/>
          <w:sz w:val="22"/>
          <w:szCs w:val="22"/>
        </w:rPr>
        <w:t xml:space="preserve"> </w:t>
      </w:r>
      <w:r w:rsidR="5199A245" w:rsidRPr="0085799C">
        <w:rPr>
          <w:rFonts w:eastAsia="Calibri"/>
          <w:b w:val="0"/>
          <w:sz w:val="22"/>
          <w:szCs w:val="22"/>
        </w:rPr>
        <w:t>eur) a viacúčelovým vrtuľníkom UH-60 (40</w:t>
      </w:r>
      <w:r w:rsidR="00334B7E">
        <w:rPr>
          <w:rFonts w:eastAsia="Calibri"/>
          <w:b w:val="0"/>
          <w:sz w:val="22"/>
          <w:szCs w:val="22"/>
        </w:rPr>
        <w:t> </w:t>
      </w:r>
      <w:r w:rsidR="5199A245" w:rsidRPr="0085799C">
        <w:rPr>
          <w:rFonts w:eastAsia="Calibri"/>
          <w:b w:val="0"/>
          <w:sz w:val="22"/>
          <w:szCs w:val="22"/>
        </w:rPr>
        <w:t>67</w:t>
      </w:r>
      <w:r w:rsidR="00334B7E">
        <w:rPr>
          <w:rFonts w:eastAsia="Calibri"/>
          <w:b w:val="0"/>
          <w:sz w:val="22"/>
          <w:szCs w:val="22"/>
        </w:rPr>
        <w:t>6 tis.</w:t>
      </w:r>
      <w:r w:rsidR="5199A245">
        <w:rPr>
          <w:rFonts w:eastAsia="Calibri"/>
          <w:b w:val="0"/>
          <w:sz w:val="22"/>
          <w:szCs w:val="22"/>
        </w:rPr>
        <w:t xml:space="preserve"> </w:t>
      </w:r>
      <w:r w:rsidR="5199A245" w:rsidRPr="0085799C">
        <w:rPr>
          <w:rFonts w:eastAsia="Calibri"/>
          <w:b w:val="0"/>
          <w:sz w:val="22"/>
          <w:szCs w:val="22"/>
        </w:rPr>
        <w:t>eur). Oproti roku 2023 stúpli poskytnuté prevádzkové preddavky o 218</w:t>
      </w:r>
      <w:r w:rsidR="00491E1E">
        <w:rPr>
          <w:rFonts w:eastAsia="Calibri"/>
          <w:b w:val="0"/>
          <w:sz w:val="22"/>
          <w:szCs w:val="22"/>
        </w:rPr>
        <w:t> </w:t>
      </w:r>
      <w:r w:rsidR="5199A245" w:rsidRPr="0085799C">
        <w:rPr>
          <w:rFonts w:eastAsia="Calibri"/>
          <w:b w:val="0"/>
          <w:sz w:val="22"/>
          <w:szCs w:val="22"/>
        </w:rPr>
        <w:t>35</w:t>
      </w:r>
      <w:r w:rsidR="00491E1E">
        <w:rPr>
          <w:rFonts w:eastAsia="Calibri"/>
          <w:b w:val="0"/>
          <w:sz w:val="22"/>
          <w:szCs w:val="22"/>
        </w:rPr>
        <w:t>1 tis.</w:t>
      </w:r>
      <w:r w:rsidR="5199A245">
        <w:rPr>
          <w:rFonts w:eastAsia="Calibri"/>
          <w:b w:val="0"/>
          <w:sz w:val="22"/>
          <w:szCs w:val="22"/>
        </w:rPr>
        <w:t xml:space="preserve"> e</w:t>
      </w:r>
      <w:r w:rsidR="5199A245" w:rsidRPr="0085799C">
        <w:rPr>
          <w:rFonts w:eastAsia="Calibri"/>
          <w:b w:val="0"/>
          <w:sz w:val="22"/>
          <w:szCs w:val="22"/>
        </w:rPr>
        <w:t>ur, najmä na stíhačky F-16 (157</w:t>
      </w:r>
      <w:r w:rsidR="007814C9">
        <w:rPr>
          <w:rFonts w:eastAsia="Calibri"/>
          <w:b w:val="0"/>
          <w:sz w:val="22"/>
          <w:szCs w:val="22"/>
        </w:rPr>
        <w:t> </w:t>
      </w:r>
      <w:r w:rsidR="5199A245" w:rsidRPr="0085799C">
        <w:rPr>
          <w:rFonts w:eastAsia="Calibri"/>
          <w:b w:val="0"/>
          <w:sz w:val="22"/>
          <w:szCs w:val="22"/>
        </w:rPr>
        <w:t>198</w:t>
      </w:r>
      <w:r w:rsidR="007814C9">
        <w:rPr>
          <w:rFonts w:eastAsia="Calibri"/>
          <w:b w:val="0"/>
          <w:sz w:val="22"/>
          <w:szCs w:val="22"/>
        </w:rPr>
        <w:t> </w:t>
      </w:r>
      <w:r w:rsidR="00491E1E">
        <w:rPr>
          <w:rFonts w:eastAsia="Calibri"/>
          <w:b w:val="0"/>
          <w:sz w:val="22"/>
          <w:szCs w:val="22"/>
        </w:rPr>
        <w:t>tis.</w:t>
      </w:r>
      <w:r w:rsidR="007814C9">
        <w:rPr>
          <w:rFonts w:eastAsia="Calibri"/>
          <w:b w:val="0"/>
          <w:sz w:val="22"/>
          <w:szCs w:val="22"/>
        </w:rPr>
        <w:t> </w:t>
      </w:r>
      <w:r w:rsidR="5199A245" w:rsidRPr="0085799C">
        <w:rPr>
          <w:rFonts w:eastAsia="Calibri"/>
          <w:b w:val="0"/>
          <w:sz w:val="22"/>
          <w:szCs w:val="22"/>
        </w:rPr>
        <w:t xml:space="preserve">eur) a muníciu (11 022 </w:t>
      </w:r>
      <w:r w:rsidR="00491E1E">
        <w:rPr>
          <w:rFonts w:eastAsia="Calibri"/>
          <w:b w:val="0"/>
          <w:sz w:val="22"/>
          <w:szCs w:val="22"/>
        </w:rPr>
        <w:t>tis</w:t>
      </w:r>
      <w:r w:rsidR="009C1A82">
        <w:rPr>
          <w:rFonts w:eastAsia="Calibri"/>
          <w:b w:val="0"/>
          <w:sz w:val="22"/>
          <w:szCs w:val="22"/>
        </w:rPr>
        <w:t>.</w:t>
      </w:r>
      <w:r w:rsidR="5199A245" w:rsidRPr="0085799C">
        <w:rPr>
          <w:rFonts w:eastAsia="Calibri"/>
          <w:b w:val="0"/>
          <w:sz w:val="22"/>
          <w:szCs w:val="22"/>
        </w:rPr>
        <w:t xml:space="preserve"> eur). </w:t>
      </w:r>
    </w:p>
    <w:p w14:paraId="6AA101F4" w14:textId="43BA326D" w:rsidR="00647542" w:rsidRPr="0085799C" w:rsidRDefault="5199A245" w:rsidP="0085799C">
      <w:pPr>
        <w:spacing w:after="120" w:line="240" w:lineRule="auto"/>
        <w:jc w:val="both"/>
        <w:rPr>
          <w:rFonts w:ascii="Times New Roman" w:eastAsia="Calibri" w:hAnsi="Times New Roman"/>
          <w:szCs w:val="22"/>
        </w:rPr>
      </w:pPr>
      <w:r w:rsidRPr="0085799C">
        <w:rPr>
          <w:rFonts w:ascii="Times New Roman" w:eastAsia="Calibri" w:hAnsi="Times New Roman"/>
          <w:u w:val="single"/>
        </w:rPr>
        <w:t>Ministerstvo práce, sociálnych vecí a rodiny SR</w:t>
      </w:r>
      <w:r w:rsidRPr="0085799C">
        <w:rPr>
          <w:rFonts w:ascii="Times New Roman" w:eastAsia="Calibri" w:hAnsi="Times New Roman"/>
          <w:szCs w:val="22"/>
        </w:rPr>
        <w:t xml:space="preserve"> poskytlo preddavky v hodnote 150 187 </w:t>
      </w:r>
      <w:r w:rsidR="009C1A82">
        <w:rPr>
          <w:rFonts w:ascii="Times New Roman" w:eastAsia="Calibri" w:hAnsi="Times New Roman"/>
          <w:szCs w:val="22"/>
        </w:rPr>
        <w:t>tis.</w:t>
      </w:r>
      <w:r w:rsidRPr="0085799C">
        <w:rPr>
          <w:rFonts w:ascii="Times New Roman" w:eastAsia="Calibri" w:hAnsi="Times New Roman"/>
          <w:szCs w:val="22"/>
        </w:rPr>
        <w:t xml:space="preserve"> eur a zároveň dosiahlo medziročný nárast o 97 586 </w:t>
      </w:r>
      <w:r w:rsidR="009C1A82">
        <w:rPr>
          <w:rFonts w:ascii="Times New Roman" w:eastAsia="Calibri" w:hAnsi="Times New Roman"/>
          <w:szCs w:val="22"/>
        </w:rPr>
        <w:t>tis.</w:t>
      </w:r>
      <w:r w:rsidRPr="0085799C">
        <w:rPr>
          <w:rFonts w:ascii="Times New Roman" w:eastAsia="Calibri" w:hAnsi="Times New Roman"/>
          <w:szCs w:val="22"/>
        </w:rPr>
        <w:t xml:space="preserve"> eur. Poskytnuté zálohové platby platobnou jednotkou eviduje v sume 31 062 </w:t>
      </w:r>
      <w:r w:rsidR="009C1A82">
        <w:rPr>
          <w:rFonts w:ascii="Times New Roman" w:eastAsia="Calibri" w:hAnsi="Times New Roman"/>
          <w:szCs w:val="22"/>
        </w:rPr>
        <w:t>tis.</w:t>
      </w:r>
      <w:r w:rsidRPr="0085799C">
        <w:rPr>
          <w:rFonts w:ascii="Times New Roman" w:eastAsia="Calibri" w:hAnsi="Times New Roman"/>
          <w:szCs w:val="22"/>
        </w:rPr>
        <w:t xml:space="preserve"> eur, za Plán obnovy a odolnosti boli poskytnuté zálohové platby prijímateľom vo výške 119 122 </w:t>
      </w:r>
      <w:r w:rsidR="00B7186B">
        <w:rPr>
          <w:rFonts w:ascii="Times New Roman" w:eastAsia="Calibri" w:hAnsi="Times New Roman"/>
          <w:szCs w:val="22"/>
        </w:rPr>
        <w:t>tis.</w:t>
      </w:r>
      <w:r w:rsidRPr="0085799C">
        <w:rPr>
          <w:rFonts w:ascii="Times New Roman" w:eastAsia="Calibri" w:hAnsi="Times New Roman"/>
          <w:szCs w:val="22"/>
        </w:rPr>
        <w:t xml:space="preserve"> eur.</w:t>
      </w:r>
    </w:p>
    <w:p w14:paraId="1B591DA3" w14:textId="238AF23F" w:rsidR="00647542" w:rsidRPr="0085799C" w:rsidRDefault="5199A245" w:rsidP="0085799C">
      <w:pPr>
        <w:spacing w:after="120" w:line="240" w:lineRule="auto"/>
        <w:jc w:val="both"/>
        <w:rPr>
          <w:rFonts w:ascii="Times New Roman" w:eastAsia="Calibri" w:hAnsi="Times New Roman"/>
          <w:szCs w:val="22"/>
        </w:rPr>
      </w:pPr>
      <w:r w:rsidRPr="0085799C">
        <w:rPr>
          <w:rFonts w:ascii="Times New Roman" w:eastAsia="Calibri" w:hAnsi="Times New Roman"/>
          <w:szCs w:val="22"/>
        </w:rPr>
        <w:t xml:space="preserve">Ďalšiu významnú sumu preddavkov poskytla </w:t>
      </w:r>
      <w:r w:rsidRPr="0085799C">
        <w:rPr>
          <w:rFonts w:ascii="Times New Roman" w:eastAsia="Calibri" w:hAnsi="Times New Roman"/>
          <w:u w:val="single"/>
        </w:rPr>
        <w:t>Pôdohospodárska platobná agentúra</w:t>
      </w:r>
      <w:r w:rsidRPr="0085799C">
        <w:rPr>
          <w:rFonts w:ascii="Times New Roman" w:eastAsia="Calibri" w:hAnsi="Times New Roman"/>
          <w:szCs w:val="22"/>
        </w:rPr>
        <w:t xml:space="preserve"> a vykázala zostatok 134</w:t>
      </w:r>
      <w:r w:rsidR="00B7186B">
        <w:rPr>
          <w:rFonts w:ascii="Times New Roman" w:eastAsia="Calibri" w:hAnsi="Times New Roman"/>
          <w:szCs w:val="22"/>
        </w:rPr>
        <w:t> </w:t>
      </w:r>
      <w:r w:rsidRPr="0085799C">
        <w:rPr>
          <w:rFonts w:ascii="Times New Roman" w:eastAsia="Calibri" w:hAnsi="Times New Roman"/>
          <w:szCs w:val="22"/>
        </w:rPr>
        <w:t>8</w:t>
      </w:r>
      <w:r w:rsidR="00B7186B">
        <w:rPr>
          <w:rFonts w:ascii="Times New Roman" w:eastAsia="Calibri" w:hAnsi="Times New Roman"/>
          <w:szCs w:val="22"/>
        </w:rPr>
        <w:t>60 tis.</w:t>
      </w:r>
      <w:r>
        <w:rPr>
          <w:rFonts w:ascii="Times New Roman" w:eastAsia="Calibri" w:hAnsi="Times New Roman"/>
          <w:szCs w:val="22"/>
        </w:rPr>
        <w:t xml:space="preserve"> eur</w:t>
      </w:r>
      <w:r w:rsidRPr="0085799C">
        <w:rPr>
          <w:rFonts w:ascii="Times New Roman" w:eastAsia="Calibri" w:hAnsi="Times New Roman"/>
          <w:szCs w:val="22"/>
        </w:rPr>
        <w:t xml:space="preserve"> a zároveň medziročný nárast o 100</w:t>
      </w:r>
      <w:r w:rsidR="00CF6DEE">
        <w:rPr>
          <w:rFonts w:ascii="Times New Roman" w:eastAsia="Calibri" w:hAnsi="Times New Roman"/>
          <w:szCs w:val="22"/>
        </w:rPr>
        <w:t> </w:t>
      </w:r>
      <w:r w:rsidRPr="0085799C">
        <w:rPr>
          <w:rFonts w:ascii="Times New Roman" w:eastAsia="Calibri" w:hAnsi="Times New Roman"/>
          <w:szCs w:val="22"/>
        </w:rPr>
        <w:t>55</w:t>
      </w:r>
      <w:r w:rsidR="00CF6DEE">
        <w:rPr>
          <w:rFonts w:ascii="Times New Roman" w:eastAsia="Calibri" w:hAnsi="Times New Roman"/>
          <w:szCs w:val="22"/>
        </w:rPr>
        <w:t>9 tis.</w:t>
      </w:r>
      <w:r>
        <w:rPr>
          <w:rFonts w:ascii="Times New Roman" w:eastAsia="Calibri" w:hAnsi="Times New Roman"/>
          <w:szCs w:val="22"/>
        </w:rPr>
        <w:t xml:space="preserve"> </w:t>
      </w:r>
      <w:r w:rsidRPr="0085799C">
        <w:rPr>
          <w:rFonts w:ascii="Times New Roman" w:eastAsia="Calibri" w:hAnsi="Times New Roman"/>
          <w:szCs w:val="22"/>
        </w:rPr>
        <w:t>eur, z dôvodu poskytnutých zálohových platieb a poskytnutých preddavkov v rámci Európskeho poľnohospodárskeho a záručného fondu a</w:t>
      </w:r>
      <w:r w:rsidR="00841DAE">
        <w:rPr>
          <w:rFonts w:ascii="Times New Roman" w:eastAsia="Calibri" w:hAnsi="Times New Roman"/>
          <w:szCs w:val="22"/>
        </w:rPr>
        <w:t> </w:t>
      </w:r>
      <w:r w:rsidRPr="0085799C">
        <w:rPr>
          <w:rFonts w:ascii="Times New Roman" w:eastAsia="Calibri" w:hAnsi="Times New Roman"/>
          <w:szCs w:val="22"/>
        </w:rPr>
        <w:t>v</w:t>
      </w:r>
      <w:r w:rsidR="00841DAE">
        <w:rPr>
          <w:rFonts w:ascii="Times New Roman" w:eastAsia="Calibri" w:hAnsi="Times New Roman"/>
          <w:szCs w:val="22"/>
        </w:rPr>
        <w:t> </w:t>
      </w:r>
      <w:r w:rsidRPr="0085799C">
        <w:rPr>
          <w:rFonts w:ascii="Times New Roman" w:eastAsia="Calibri" w:hAnsi="Times New Roman"/>
          <w:szCs w:val="22"/>
        </w:rPr>
        <w:t>rámci Európskeho poľnohospodárskeho fondu pre rozvoj vidieka pre farmárov.</w:t>
      </w:r>
    </w:p>
    <w:p w14:paraId="0EE5C0EF" w14:textId="4A2B0A52" w:rsidR="00647542" w:rsidRPr="0085799C" w:rsidRDefault="5199A245" w:rsidP="0085799C">
      <w:pPr>
        <w:spacing w:after="120" w:line="240" w:lineRule="auto"/>
        <w:jc w:val="both"/>
        <w:rPr>
          <w:rFonts w:ascii="Times New Roman" w:eastAsia="Calibri" w:hAnsi="Times New Roman"/>
          <w:szCs w:val="22"/>
        </w:rPr>
      </w:pPr>
      <w:r w:rsidRPr="0085799C">
        <w:rPr>
          <w:rFonts w:ascii="Times New Roman" w:eastAsia="Calibri" w:hAnsi="Times New Roman"/>
          <w:u w:val="single"/>
        </w:rPr>
        <w:t>Ministerstvo školstva, vedy, výskumu a športu SR</w:t>
      </w:r>
      <w:r w:rsidRPr="0085799C">
        <w:rPr>
          <w:rFonts w:ascii="Times New Roman" w:eastAsia="Calibri" w:hAnsi="Times New Roman"/>
          <w:szCs w:val="22"/>
        </w:rPr>
        <w:t xml:space="preserve"> poskytlo preddavky v hodnote 132 740 </w:t>
      </w:r>
      <w:r w:rsidR="00CF6DEE">
        <w:rPr>
          <w:rFonts w:ascii="Times New Roman" w:eastAsia="Calibri" w:hAnsi="Times New Roman"/>
          <w:szCs w:val="22"/>
        </w:rPr>
        <w:t>tis.</w:t>
      </w:r>
      <w:r w:rsidRPr="0085799C">
        <w:rPr>
          <w:rFonts w:ascii="Times New Roman" w:eastAsia="Calibri" w:hAnsi="Times New Roman"/>
          <w:szCs w:val="22"/>
        </w:rPr>
        <w:t xml:space="preserve"> eur a zároveň dosiahlo medziročný nárast o 80</w:t>
      </w:r>
      <w:r w:rsidR="00CF6DEE">
        <w:rPr>
          <w:rFonts w:ascii="Times New Roman" w:eastAsia="Calibri" w:hAnsi="Times New Roman"/>
          <w:szCs w:val="22"/>
        </w:rPr>
        <w:t> </w:t>
      </w:r>
      <w:r w:rsidRPr="0085799C">
        <w:rPr>
          <w:rFonts w:ascii="Times New Roman" w:eastAsia="Calibri" w:hAnsi="Times New Roman"/>
          <w:szCs w:val="22"/>
        </w:rPr>
        <w:t>03</w:t>
      </w:r>
      <w:r w:rsidR="00CF6DEE">
        <w:rPr>
          <w:rFonts w:ascii="Times New Roman" w:eastAsia="Calibri" w:hAnsi="Times New Roman"/>
          <w:szCs w:val="22"/>
        </w:rPr>
        <w:t>2 tis.</w:t>
      </w:r>
      <w:r>
        <w:rPr>
          <w:rFonts w:ascii="Times New Roman" w:eastAsia="Calibri" w:hAnsi="Times New Roman"/>
          <w:szCs w:val="22"/>
        </w:rPr>
        <w:t xml:space="preserve"> </w:t>
      </w:r>
      <w:r w:rsidRPr="0085799C">
        <w:rPr>
          <w:rFonts w:ascii="Times New Roman" w:eastAsia="Calibri" w:hAnsi="Times New Roman"/>
          <w:szCs w:val="22"/>
        </w:rPr>
        <w:t xml:space="preserve">eur. Išlo najmä o poskytnuté preddavky platobnou jednotkou prijímateľom z titulu zálohových platieb a z titulu </w:t>
      </w:r>
      <w:proofErr w:type="spellStart"/>
      <w:r w:rsidRPr="0085799C">
        <w:rPr>
          <w:rFonts w:ascii="Times New Roman" w:eastAsia="Calibri" w:hAnsi="Times New Roman"/>
          <w:szCs w:val="22"/>
        </w:rPr>
        <w:t>predfinancovania</w:t>
      </w:r>
      <w:proofErr w:type="spellEnd"/>
      <w:r w:rsidRPr="0085799C">
        <w:rPr>
          <w:rFonts w:ascii="Times New Roman" w:eastAsia="Calibri" w:hAnsi="Times New Roman"/>
          <w:szCs w:val="22"/>
        </w:rPr>
        <w:t>, ktoré boli poskytnuté z</w:t>
      </w:r>
      <w:r w:rsidR="00841DAE">
        <w:rPr>
          <w:rFonts w:ascii="Times New Roman" w:eastAsia="Calibri" w:hAnsi="Times New Roman"/>
          <w:szCs w:val="22"/>
        </w:rPr>
        <w:t> </w:t>
      </w:r>
      <w:r w:rsidRPr="0085799C">
        <w:rPr>
          <w:rFonts w:ascii="Times New Roman" w:eastAsia="Calibri" w:hAnsi="Times New Roman"/>
          <w:szCs w:val="22"/>
        </w:rPr>
        <w:t xml:space="preserve">Plánu obnovy a odolnosti, ako aj z úradu ministerstva. </w:t>
      </w:r>
    </w:p>
    <w:p w14:paraId="73BF0217" w14:textId="7343E29D" w:rsidR="0088660B" w:rsidRDefault="0088660B" w:rsidP="0085799C">
      <w:pPr>
        <w:pStyle w:val="Nadpis4"/>
        <w:numPr>
          <w:ilvl w:val="0"/>
          <w:numId w:val="54"/>
        </w:numPr>
        <w:ind w:left="426" w:hanging="426"/>
      </w:pPr>
      <w:bookmarkStart w:id="31" w:name="_Pohľadávky_zo_zúčtovania"/>
      <w:bookmarkEnd w:id="31"/>
      <w:r>
        <w:lastRenderedPageBreak/>
        <w:t>Pohľadávky zo zúčtovania s EÚ</w:t>
      </w:r>
    </w:p>
    <w:p w14:paraId="6B2A8068" w14:textId="3DDDD790" w:rsidR="00647542" w:rsidRPr="0085799C" w:rsidRDefault="00647542" w:rsidP="0085799C">
      <w:pPr>
        <w:pStyle w:val="Pismenka"/>
        <w:tabs>
          <w:tab w:val="clear" w:pos="426"/>
        </w:tabs>
        <w:spacing w:after="120"/>
        <w:ind w:left="0" w:firstLine="0"/>
        <w:rPr>
          <w:rFonts w:eastAsia="Calibri"/>
          <w:sz w:val="20"/>
          <w:szCs w:val="20"/>
        </w:rPr>
      </w:pPr>
      <w:r w:rsidRPr="00907622">
        <w:rPr>
          <w:b w:val="0"/>
          <w:sz w:val="22"/>
          <w:szCs w:val="22"/>
          <w:lang w:eastAsia="en-US"/>
        </w:rPr>
        <w:t xml:space="preserve">Pohľadávky zo zúčtovania s EÚ dosiahli úhrnom </w:t>
      </w:r>
      <w:r w:rsidR="002E37EF" w:rsidRPr="0085799C">
        <w:rPr>
          <w:b w:val="0"/>
          <w:sz w:val="22"/>
          <w:szCs w:val="22"/>
          <w:lang w:eastAsia="en-US"/>
        </w:rPr>
        <w:t>161 075 tis. eur</w:t>
      </w:r>
      <w:r w:rsidR="000C464A" w:rsidRPr="0085799C">
        <w:rPr>
          <w:b w:val="0"/>
          <w:sz w:val="22"/>
          <w:szCs w:val="22"/>
          <w:lang w:eastAsia="en-US"/>
        </w:rPr>
        <w:t xml:space="preserve"> a medziročne boli vyššie o 68 826 tis.</w:t>
      </w:r>
      <w:r w:rsidR="007814C9">
        <w:rPr>
          <w:b w:val="0"/>
          <w:sz w:val="22"/>
          <w:szCs w:val="22"/>
          <w:lang w:eastAsia="en-US"/>
        </w:rPr>
        <w:t> </w:t>
      </w:r>
      <w:r w:rsidR="000C464A" w:rsidRPr="0085799C">
        <w:rPr>
          <w:b w:val="0"/>
          <w:sz w:val="22"/>
          <w:szCs w:val="22"/>
          <w:lang w:eastAsia="en-US"/>
        </w:rPr>
        <w:t>eur.</w:t>
      </w:r>
      <w:r w:rsidR="00EB2610" w:rsidRPr="0085799C">
        <w:rPr>
          <w:b w:val="0"/>
          <w:sz w:val="22"/>
          <w:szCs w:val="22"/>
          <w:lang w:eastAsia="en-US"/>
        </w:rPr>
        <w:t xml:space="preserve"> </w:t>
      </w:r>
      <w:r w:rsidR="00532F8B" w:rsidRPr="0085799C">
        <w:rPr>
          <w:b w:val="0"/>
          <w:sz w:val="22"/>
          <w:szCs w:val="22"/>
          <w:lang w:eastAsia="en-US"/>
        </w:rPr>
        <w:t xml:space="preserve">Najvyšší podiel </w:t>
      </w:r>
      <w:r w:rsidR="00EB2610" w:rsidRPr="0085799C">
        <w:rPr>
          <w:b w:val="0"/>
          <w:sz w:val="22"/>
          <w:szCs w:val="22"/>
          <w:lang w:eastAsia="en-US"/>
        </w:rPr>
        <w:t xml:space="preserve">v rámci súhrnného celku vykázala ústredná správa v hodnote </w:t>
      </w:r>
      <w:r w:rsidR="7C1E73F5" w:rsidRPr="0085799C">
        <w:rPr>
          <w:rFonts w:eastAsia="Calibri"/>
          <w:b w:val="0"/>
          <w:sz w:val="22"/>
          <w:szCs w:val="22"/>
        </w:rPr>
        <w:t>156</w:t>
      </w:r>
      <w:r w:rsidR="00EB2610">
        <w:rPr>
          <w:rFonts w:eastAsia="Calibri"/>
          <w:b w:val="0"/>
          <w:sz w:val="22"/>
          <w:szCs w:val="22"/>
        </w:rPr>
        <w:t> </w:t>
      </w:r>
      <w:r w:rsidR="7C1E73F5" w:rsidRPr="0085799C">
        <w:rPr>
          <w:rFonts w:eastAsia="Calibri"/>
          <w:b w:val="0"/>
          <w:sz w:val="22"/>
          <w:szCs w:val="22"/>
        </w:rPr>
        <w:t>05</w:t>
      </w:r>
      <w:r w:rsidR="00EB2610">
        <w:rPr>
          <w:rFonts w:eastAsia="Calibri"/>
          <w:b w:val="0"/>
          <w:sz w:val="22"/>
          <w:szCs w:val="22"/>
        </w:rPr>
        <w:t>4 tis.</w:t>
      </w:r>
      <w:r w:rsidR="007814C9">
        <w:rPr>
          <w:rFonts w:eastAsia="Calibri"/>
          <w:b w:val="0"/>
          <w:sz w:val="22"/>
          <w:szCs w:val="22"/>
        </w:rPr>
        <w:t> </w:t>
      </w:r>
      <w:r w:rsidR="7C1E73F5">
        <w:rPr>
          <w:rFonts w:eastAsia="Calibri"/>
          <w:b w:val="0"/>
          <w:sz w:val="22"/>
          <w:szCs w:val="22"/>
        </w:rPr>
        <w:t>e</w:t>
      </w:r>
      <w:r w:rsidR="7C1E73F5" w:rsidRPr="0085799C">
        <w:rPr>
          <w:rFonts w:eastAsia="Calibri"/>
          <w:b w:val="0"/>
          <w:sz w:val="22"/>
          <w:szCs w:val="22"/>
        </w:rPr>
        <w:t xml:space="preserve">ur a medziročne boli vyššie o 72 506 </w:t>
      </w:r>
      <w:r w:rsidR="00EB2610">
        <w:rPr>
          <w:rFonts w:eastAsia="Calibri"/>
          <w:b w:val="0"/>
          <w:sz w:val="22"/>
          <w:szCs w:val="22"/>
        </w:rPr>
        <w:t>tis.</w:t>
      </w:r>
      <w:r w:rsidR="7C1E73F5" w:rsidRPr="0085799C">
        <w:rPr>
          <w:rFonts w:eastAsia="Calibri"/>
          <w:b w:val="0"/>
          <w:sz w:val="22"/>
          <w:szCs w:val="22"/>
        </w:rPr>
        <w:t xml:space="preserve"> eur. Na celkovom objeme, ako aj na celkovom medziročnom zvýšení malo najväčší podiel </w:t>
      </w:r>
      <w:r w:rsidR="7C1E73F5" w:rsidRPr="00A7107D">
        <w:rPr>
          <w:rFonts w:eastAsia="Calibri"/>
          <w:b w:val="0"/>
          <w:iCs/>
          <w:sz w:val="22"/>
          <w:szCs w:val="22"/>
          <w:u w:val="single"/>
        </w:rPr>
        <w:t>Ministerstvo financií SR</w:t>
      </w:r>
      <w:r w:rsidR="7C1E73F5" w:rsidRPr="0085799C">
        <w:rPr>
          <w:rFonts w:eastAsia="Calibri"/>
          <w:b w:val="0"/>
          <w:sz w:val="22"/>
          <w:szCs w:val="22"/>
        </w:rPr>
        <w:t>, ktorého pohľadávky narástli o 131</w:t>
      </w:r>
      <w:r w:rsidR="007814C9">
        <w:rPr>
          <w:rFonts w:eastAsia="Calibri"/>
          <w:b w:val="0"/>
          <w:sz w:val="22"/>
          <w:szCs w:val="22"/>
        </w:rPr>
        <w:t> </w:t>
      </w:r>
      <w:r w:rsidR="7C1E73F5" w:rsidRPr="0085799C">
        <w:rPr>
          <w:rFonts w:eastAsia="Calibri"/>
          <w:b w:val="0"/>
          <w:sz w:val="22"/>
          <w:szCs w:val="22"/>
        </w:rPr>
        <w:t>400</w:t>
      </w:r>
      <w:r w:rsidR="007814C9">
        <w:rPr>
          <w:rFonts w:eastAsia="Calibri"/>
          <w:b w:val="0"/>
          <w:sz w:val="22"/>
          <w:szCs w:val="22"/>
        </w:rPr>
        <w:t> </w:t>
      </w:r>
      <w:r w:rsidR="00EB2610" w:rsidRPr="0085799C">
        <w:rPr>
          <w:rFonts w:eastAsia="Calibri"/>
          <w:b w:val="0"/>
          <w:sz w:val="22"/>
          <w:szCs w:val="22"/>
        </w:rPr>
        <w:t>tis.</w:t>
      </w:r>
      <w:r w:rsidR="007814C9">
        <w:rPr>
          <w:rFonts w:eastAsia="Calibri"/>
          <w:b w:val="0"/>
          <w:sz w:val="22"/>
          <w:szCs w:val="22"/>
        </w:rPr>
        <w:t> </w:t>
      </w:r>
      <w:r w:rsidR="7C1E73F5" w:rsidRPr="0085799C">
        <w:rPr>
          <w:rFonts w:eastAsia="Calibri"/>
          <w:b w:val="0"/>
          <w:sz w:val="22"/>
          <w:szCs w:val="22"/>
        </w:rPr>
        <w:t>eur a</w:t>
      </w:r>
      <w:r w:rsidR="006A4767">
        <w:rPr>
          <w:rFonts w:eastAsia="Calibri"/>
          <w:b w:val="0"/>
          <w:sz w:val="22"/>
          <w:szCs w:val="22"/>
        </w:rPr>
        <w:t> </w:t>
      </w:r>
      <w:r w:rsidR="006A4767" w:rsidRPr="00A7107D">
        <w:rPr>
          <w:rFonts w:eastAsia="Calibri"/>
          <w:b w:val="0"/>
          <w:sz w:val="22"/>
          <w:szCs w:val="22"/>
          <w:u w:val="single"/>
        </w:rPr>
        <w:t>Slovenská elektrizačná prenosová sústava</w:t>
      </w:r>
      <w:r w:rsidR="7C1E73F5" w:rsidRPr="00A7107D">
        <w:rPr>
          <w:rFonts w:eastAsia="Calibri"/>
          <w:b w:val="0"/>
          <w:iCs/>
          <w:sz w:val="22"/>
          <w:szCs w:val="22"/>
          <w:u w:val="single"/>
        </w:rPr>
        <w:t>, a.s.</w:t>
      </w:r>
      <w:r w:rsidR="006A4767">
        <w:rPr>
          <w:rFonts w:eastAsia="Calibri"/>
          <w:b w:val="0"/>
          <w:iCs/>
          <w:sz w:val="22"/>
          <w:szCs w:val="22"/>
          <w:u w:val="single"/>
        </w:rPr>
        <w:t xml:space="preserve"> </w:t>
      </w:r>
      <w:r w:rsidR="006A4767" w:rsidRPr="00A7107D">
        <w:rPr>
          <w:rFonts w:eastAsia="Calibri"/>
          <w:b w:val="0"/>
          <w:iCs/>
          <w:sz w:val="22"/>
          <w:szCs w:val="22"/>
        </w:rPr>
        <w:t>(ďalej aj ako „SEPS, a.s.“)</w:t>
      </w:r>
      <w:r w:rsidR="7C1E73F5" w:rsidRPr="0085799C">
        <w:rPr>
          <w:rFonts w:eastAsia="Calibri"/>
          <w:b w:val="0"/>
          <w:i/>
          <w:sz w:val="22"/>
          <w:szCs w:val="22"/>
        </w:rPr>
        <w:t xml:space="preserve"> </w:t>
      </w:r>
      <w:r w:rsidR="7C1E73F5" w:rsidRPr="0085799C">
        <w:rPr>
          <w:rFonts w:eastAsia="Calibri"/>
          <w:b w:val="0"/>
          <w:sz w:val="22"/>
          <w:szCs w:val="22"/>
        </w:rPr>
        <w:t>v hodnote 13</w:t>
      </w:r>
      <w:r w:rsidR="00EB2610" w:rsidRPr="0085799C">
        <w:rPr>
          <w:rFonts w:eastAsia="Calibri"/>
          <w:b w:val="0"/>
          <w:sz w:val="22"/>
          <w:szCs w:val="22"/>
        </w:rPr>
        <w:t> </w:t>
      </w:r>
      <w:r w:rsidR="7C1E73F5" w:rsidRPr="0085799C">
        <w:rPr>
          <w:rFonts w:eastAsia="Calibri"/>
          <w:b w:val="0"/>
          <w:sz w:val="22"/>
          <w:szCs w:val="22"/>
        </w:rPr>
        <w:t>16</w:t>
      </w:r>
      <w:r w:rsidR="00EB2610" w:rsidRPr="0085799C">
        <w:rPr>
          <w:rFonts w:eastAsia="Calibri"/>
          <w:b w:val="0"/>
          <w:sz w:val="22"/>
          <w:szCs w:val="22"/>
        </w:rPr>
        <w:t>5 tis.</w:t>
      </w:r>
      <w:r w:rsidR="7C1E73F5" w:rsidRPr="0085799C">
        <w:rPr>
          <w:rFonts w:eastAsia="Calibri"/>
          <w:b w:val="0"/>
          <w:sz w:val="22"/>
          <w:szCs w:val="22"/>
        </w:rPr>
        <w:t xml:space="preserve"> eur, ktoré predstavujú nárokované dotácie priamo z Európskej únie.</w:t>
      </w:r>
    </w:p>
    <w:p w14:paraId="637E1705" w14:textId="7DA62F7A" w:rsidR="00647542" w:rsidRDefault="7C1E73F5" w:rsidP="0085799C">
      <w:pPr>
        <w:spacing w:after="120" w:line="240" w:lineRule="auto"/>
        <w:jc w:val="both"/>
        <w:rPr>
          <w:rFonts w:ascii="Times New Roman" w:eastAsia="Calibri" w:hAnsi="Times New Roman"/>
        </w:rPr>
      </w:pPr>
      <w:r w:rsidRPr="0085799C">
        <w:rPr>
          <w:rFonts w:ascii="Times New Roman" w:eastAsia="Calibri" w:hAnsi="Times New Roman"/>
        </w:rPr>
        <w:t xml:space="preserve">U </w:t>
      </w:r>
      <w:r w:rsidRPr="0085799C">
        <w:rPr>
          <w:rFonts w:ascii="Times New Roman" w:eastAsia="Calibri" w:hAnsi="Times New Roman"/>
          <w:u w:val="single"/>
        </w:rPr>
        <w:t>Jadrovej a vyraďovacej spoločnosti, a.s.</w:t>
      </w:r>
      <w:r w:rsidRPr="0085799C">
        <w:rPr>
          <w:rFonts w:ascii="Times New Roman" w:eastAsia="Calibri" w:hAnsi="Times New Roman"/>
        </w:rPr>
        <w:t xml:space="preserve"> sa znížili pohľadávky o hodnotu 17</w:t>
      </w:r>
      <w:r w:rsidR="007814C9">
        <w:rPr>
          <w:rFonts w:ascii="Times New Roman" w:eastAsia="Calibri" w:hAnsi="Times New Roman"/>
        </w:rPr>
        <w:t> </w:t>
      </w:r>
      <w:r w:rsidRPr="0085799C">
        <w:rPr>
          <w:rFonts w:ascii="Times New Roman" w:eastAsia="Calibri" w:hAnsi="Times New Roman"/>
        </w:rPr>
        <w:t>903</w:t>
      </w:r>
      <w:r w:rsidR="007814C9">
        <w:rPr>
          <w:rFonts w:ascii="Times New Roman" w:eastAsia="Calibri" w:hAnsi="Times New Roman"/>
        </w:rPr>
        <w:t> </w:t>
      </w:r>
      <w:r w:rsidR="00EB2610" w:rsidRPr="699A3D07">
        <w:rPr>
          <w:rFonts w:ascii="Times New Roman" w:eastAsia="Calibri" w:hAnsi="Times New Roman"/>
        </w:rPr>
        <w:t>tis.</w:t>
      </w:r>
      <w:r w:rsidR="007814C9">
        <w:rPr>
          <w:rFonts w:ascii="Times New Roman" w:eastAsia="Calibri" w:hAnsi="Times New Roman"/>
        </w:rPr>
        <w:t> </w:t>
      </w:r>
      <w:r w:rsidRPr="0085799C">
        <w:rPr>
          <w:rFonts w:ascii="Times New Roman" w:eastAsia="Calibri" w:hAnsi="Times New Roman"/>
        </w:rPr>
        <w:t xml:space="preserve">eur a dosiahli výšku 11 407 </w:t>
      </w:r>
      <w:r w:rsidR="00EB2610" w:rsidRPr="699A3D07">
        <w:rPr>
          <w:rFonts w:ascii="Times New Roman" w:eastAsia="Calibri" w:hAnsi="Times New Roman"/>
        </w:rPr>
        <w:t>tis.</w:t>
      </w:r>
      <w:r w:rsidRPr="0085799C">
        <w:rPr>
          <w:rFonts w:ascii="Times New Roman" w:eastAsia="Calibri" w:hAnsi="Times New Roman"/>
        </w:rPr>
        <w:t xml:space="preserve"> eur. Najvyšší medziročný pokles vykázala Vodohospodárska výstavba, </w:t>
      </w:r>
      <w:proofErr w:type="spellStart"/>
      <w:r w:rsidRPr="0085799C">
        <w:rPr>
          <w:rFonts w:ascii="Times New Roman" w:eastAsia="Calibri" w:hAnsi="Times New Roman"/>
        </w:rPr>
        <w:t>š.p</w:t>
      </w:r>
      <w:proofErr w:type="spellEnd"/>
      <w:r w:rsidRPr="0085799C">
        <w:rPr>
          <w:rFonts w:ascii="Times New Roman" w:eastAsia="Calibri" w:hAnsi="Times New Roman"/>
        </w:rPr>
        <w:t>.</w:t>
      </w:r>
      <w:r w:rsidRPr="0085799C">
        <w:rPr>
          <w:rFonts w:ascii="Times New Roman" w:eastAsia="Calibri" w:hAnsi="Times New Roman"/>
          <w:color w:val="C00000"/>
        </w:rPr>
        <w:t xml:space="preserve"> </w:t>
      </w:r>
      <w:r w:rsidRPr="0085799C">
        <w:rPr>
          <w:rFonts w:ascii="Times New Roman" w:eastAsia="Calibri" w:hAnsi="Times New Roman"/>
        </w:rPr>
        <w:t>v sume 38</w:t>
      </w:r>
      <w:r w:rsidR="00F26C14" w:rsidRPr="699A3D07">
        <w:rPr>
          <w:rFonts w:ascii="Times New Roman" w:eastAsia="Calibri" w:hAnsi="Times New Roman"/>
        </w:rPr>
        <w:t> </w:t>
      </w:r>
      <w:r w:rsidRPr="0085799C">
        <w:rPr>
          <w:rFonts w:ascii="Times New Roman" w:eastAsia="Calibri" w:hAnsi="Times New Roman"/>
        </w:rPr>
        <w:t>4</w:t>
      </w:r>
      <w:r w:rsidR="00F26C14" w:rsidRPr="699A3D07">
        <w:rPr>
          <w:rFonts w:ascii="Times New Roman" w:eastAsia="Calibri" w:hAnsi="Times New Roman"/>
        </w:rPr>
        <w:t>80 tis.</w:t>
      </w:r>
      <w:r w:rsidRPr="699A3D07">
        <w:rPr>
          <w:rFonts w:ascii="Times New Roman" w:eastAsia="Calibri" w:hAnsi="Times New Roman"/>
        </w:rPr>
        <w:t xml:space="preserve"> </w:t>
      </w:r>
      <w:r w:rsidRPr="0085799C">
        <w:rPr>
          <w:rFonts w:ascii="Times New Roman" w:eastAsia="Calibri" w:hAnsi="Times New Roman"/>
        </w:rPr>
        <w:t xml:space="preserve">eur, z dôvodu odúčtovania nároku na dotáciu. Zníženie taktiež spôsobilo zrušenie nevyčerpaného zostatku dotácie LIFE 14 a zrušenie celých projektov </w:t>
      </w:r>
      <w:proofErr w:type="spellStart"/>
      <w:r w:rsidRPr="0085799C">
        <w:rPr>
          <w:rFonts w:ascii="Times New Roman" w:eastAsia="Calibri" w:hAnsi="Times New Roman"/>
        </w:rPr>
        <w:t>IaM</w:t>
      </w:r>
      <w:proofErr w:type="spellEnd"/>
      <w:r w:rsidRPr="0085799C">
        <w:rPr>
          <w:rFonts w:ascii="Times New Roman" w:eastAsia="Calibri" w:hAnsi="Times New Roman"/>
        </w:rPr>
        <w:t xml:space="preserve"> Čunovo a ACC4P06. Zároveň boli prijaté platby k projektom LIFE 12, LIFE 14, Most Dobrohošť – </w:t>
      </w:r>
      <w:proofErr w:type="spellStart"/>
      <w:r w:rsidRPr="0085799C">
        <w:rPr>
          <w:rFonts w:ascii="Times New Roman" w:eastAsia="Calibri" w:hAnsi="Times New Roman"/>
        </w:rPr>
        <w:t>Dunakility</w:t>
      </w:r>
      <w:proofErr w:type="spellEnd"/>
      <w:r w:rsidRPr="0085799C">
        <w:rPr>
          <w:rFonts w:ascii="Times New Roman" w:eastAsia="Calibri" w:hAnsi="Times New Roman"/>
        </w:rPr>
        <w:t xml:space="preserve"> a OPII PLK a dotácie na ubytovanie odídencov.</w:t>
      </w:r>
    </w:p>
    <w:p w14:paraId="627C2341" w14:textId="178B61F9" w:rsidR="00191BB6" w:rsidRDefault="00191BB6" w:rsidP="0085799C">
      <w:pPr>
        <w:spacing w:after="120" w:line="240" w:lineRule="auto"/>
        <w:jc w:val="both"/>
        <w:rPr>
          <w:rFonts w:ascii="Times New Roman" w:eastAsia="Calibri" w:hAnsi="Times New Roman"/>
        </w:rPr>
      </w:pPr>
      <w:r>
        <w:rPr>
          <w:rFonts w:ascii="Times New Roman" w:eastAsia="Calibri" w:hAnsi="Times New Roman"/>
        </w:rPr>
        <w:t xml:space="preserve">Medziročný pokles krátkodobých pohľadávok </w:t>
      </w:r>
      <w:r w:rsidRPr="00A7107D">
        <w:rPr>
          <w:rFonts w:ascii="Times New Roman" w:eastAsia="Calibri" w:hAnsi="Times New Roman"/>
          <w:u w:val="single"/>
        </w:rPr>
        <w:t>Slovenského plynárenského priemyslu, a.s.</w:t>
      </w:r>
      <w:r>
        <w:rPr>
          <w:rFonts w:ascii="Times New Roman" w:eastAsia="Calibri" w:hAnsi="Times New Roman"/>
        </w:rPr>
        <w:t xml:space="preserve"> v hodnote 309 733 tis. eur súvisí najmä s poklesom hodnoty uhradených finančných zábezpek/kolaterálov voči protistranám, s ktorými má táto obchodná spoločnosť uzatvorené zabezpečovacie derivátové zmluvy. </w:t>
      </w:r>
    </w:p>
    <w:p w14:paraId="3F2B2A25" w14:textId="6A192A64" w:rsidR="00DA0FB1" w:rsidRPr="0085799C" w:rsidRDefault="00DA0FB1" w:rsidP="0085799C">
      <w:pPr>
        <w:spacing w:after="120" w:line="240" w:lineRule="auto"/>
        <w:jc w:val="both"/>
        <w:rPr>
          <w:rFonts w:ascii="Times New Roman" w:eastAsia="Calibri" w:hAnsi="Times New Roman"/>
        </w:rPr>
      </w:pPr>
      <w:r>
        <w:rPr>
          <w:rFonts w:ascii="Times New Roman" w:eastAsia="Calibri" w:hAnsi="Times New Roman"/>
        </w:rPr>
        <w:t xml:space="preserve">Významný medziročný pokles pohľadávok </w:t>
      </w:r>
      <w:r w:rsidRPr="00A7107D">
        <w:rPr>
          <w:rFonts w:ascii="Times New Roman" w:eastAsia="Calibri" w:hAnsi="Times New Roman"/>
          <w:u w:val="single"/>
        </w:rPr>
        <w:t>Úradu pre dohľad nad zdravotnou starostlivosťou</w:t>
      </w:r>
      <w:r>
        <w:rPr>
          <w:rFonts w:ascii="Times New Roman" w:eastAsia="Calibri" w:hAnsi="Times New Roman"/>
        </w:rPr>
        <w:t xml:space="preserve"> súvisí so zmenou postupov účtovania, kedy pohľadávky vyplývajúce z jeho činnosti ako styčného orgánu sa vykazujú s účinnosťou od 31. 12. 2024 ako dlhodobé. </w:t>
      </w:r>
    </w:p>
    <w:p w14:paraId="539DE644" w14:textId="5C046F62" w:rsidR="0088660B" w:rsidRPr="0085799C" w:rsidRDefault="00A2505F" w:rsidP="0085799C">
      <w:pPr>
        <w:pStyle w:val="Nadpis4"/>
        <w:numPr>
          <w:ilvl w:val="0"/>
          <w:numId w:val="54"/>
        </w:numPr>
        <w:ind w:left="426" w:hanging="426"/>
        <w:rPr>
          <w:rFonts w:cs="Times New Roman"/>
        </w:rPr>
      </w:pPr>
      <w:bookmarkStart w:id="32" w:name="_Zúčtovanie_medzi_subjektami"/>
      <w:bookmarkEnd w:id="32"/>
      <w:r>
        <w:t>Zúčtovanie medzi subjektmi verejnej správy</w:t>
      </w:r>
    </w:p>
    <w:p w14:paraId="48922CAC" w14:textId="18AD46FD" w:rsidR="00647542" w:rsidRDefault="00647542" w:rsidP="003F5CD1">
      <w:pPr>
        <w:pStyle w:val="Pismenka"/>
        <w:tabs>
          <w:tab w:val="clear" w:pos="426"/>
        </w:tabs>
        <w:spacing w:after="120"/>
        <w:ind w:left="0" w:firstLine="0"/>
        <w:rPr>
          <w:b w:val="0"/>
          <w:sz w:val="22"/>
          <w:szCs w:val="22"/>
        </w:rPr>
      </w:pPr>
      <w:r w:rsidRPr="00907622">
        <w:rPr>
          <w:b w:val="0"/>
          <w:bCs w:val="0"/>
          <w:sz w:val="22"/>
          <w:szCs w:val="22"/>
        </w:rPr>
        <w:t>Zúčtovacie vzťahy sa používajú na zaznamenanie poskytnutých a prijatých bežných a kapitálových transferov medzi subjektmi verejnej správy. Z účtovného pohľadu ide o zaznamenanie prostriedkov štátneho rozpočtu, rozpočtu obce a vyššieho územného celku, ktoré sú poskytované ostatným organizáciám v rámci verejnej správy, a tieto ich majú následne zúčtovať. Hodnota transferov k </w:t>
      </w:r>
      <w:r w:rsidR="00F418A2">
        <w:rPr>
          <w:b w:val="0"/>
          <w:bCs w:val="0"/>
          <w:sz w:val="22"/>
          <w:szCs w:val="22"/>
        </w:rPr>
        <w:t>31.</w:t>
      </w:r>
      <w:r w:rsidR="00867606">
        <w:rPr>
          <w:b w:val="0"/>
          <w:bCs w:val="0"/>
          <w:sz w:val="22"/>
          <w:szCs w:val="22"/>
        </w:rPr>
        <w:t xml:space="preserve"> </w:t>
      </w:r>
      <w:r w:rsidR="00F418A2">
        <w:rPr>
          <w:b w:val="0"/>
          <w:bCs w:val="0"/>
          <w:sz w:val="22"/>
          <w:szCs w:val="22"/>
        </w:rPr>
        <w:t>12.</w:t>
      </w:r>
      <w:r w:rsidR="00867606">
        <w:rPr>
          <w:b w:val="0"/>
          <w:bCs w:val="0"/>
          <w:sz w:val="22"/>
          <w:szCs w:val="22"/>
        </w:rPr>
        <w:t xml:space="preserve"> </w:t>
      </w:r>
      <w:r w:rsidR="00F418A2">
        <w:rPr>
          <w:b w:val="0"/>
          <w:bCs w:val="0"/>
          <w:sz w:val="22"/>
          <w:szCs w:val="22"/>
        </w:rPr>
        <w:t>2024</w:t>
      </w:r>
      <w:r w:rsidRPr="00907622">
        <w:rPr>
          <w:b w:val="0"/>
          <w:bCs w:val="0"/>
          <w:sz w:val="22"/>
          <w:szCs w:val="22"/>
        </w:rPr>
        <w:t xml:space="preserve"> bola </w:t>
      </w:r>
      <w:r w:rsidR="00AA0D90">
        <w:rPr>
          <w:b w:val="0"/>
          <w:sz w:val="22"/>
          <w:szCs w:val="22"/>
        </w:rPr>
        <w:t>8</w:t>
      </w:r>
      <w:r w:rsidR="00E56AA0">
        <w:rPr>
          <w:b w:val="0"/>
          <w:sz w:val="22"/>
          <w:szCs w:val="22"/>
        </w:rPr>
        <w:t>5 049</w:t>
      </w:r>
      <w:r w:rsidRPr="00907622">
        <w:rPr>
          <w:b w:val="0"/>
          <w:bCs w:val="0"/>
          <w:sz w:val="22"/>
          <w:szCs w:val="22"/>
        </w:rPr>
        <w:t xml:space="preserve"> tis. eur, z toho obce </w:t>
      </w:r>
      <w:r w:rsidR="00255F6A">
        <w:rPr>
          <w:b w:val="0"/>
          <w:sz w:val="22"/>
          <w:szCs w:val="22"/>
        </w:rPr>
        <w:t>37 760</w:t>
      </w:r>
      <w:r w:rsidRPr="007253B7">
        <w:rPr>
          <w:b w:val="0"/>
          <w:sz w:val="22"/>
          <w:szCs w:val="22"/>
        </w:rPr>
        <w:t> tis.</w:t>
      </w:r>
      <w:r w:rsidRPr="00907622">
        <w:rPr>
          <w:b w:val="0"/>
          <w:bCs w:val="0"/>
          <w:sz w:val="22"/>
          <w:szCs w:val="22"/>
        </w:rPr>
        <w:t xml:space="preserve"> eur, subjekty ústrednej správy </w:t>
      </w:r>
      <w:r w:rsidR="009B3AF0">
        <w:rPr>
          <w:b w:val="0"/>
          <w:sz w:val="22"/>
          <w:szCs w:val="22"/>
        </w:rPr>
        <w:t>5</w:t>
      </w:r>
      <w:r w:rsidR="007814C9">
        <w:rPr>
          <w:b w:val="0"/>
          <w:sz w:val="22"/>
          <w:szCs w:val="22"/>
        </w:rPr>
        <w:t> </w:t>
      </w:r>
      <w:r w:rsidR="009B3AF0">
        <w:rPr>
          <w:b w:val="0"/>
          <w:sz w:val="22"/>
          <w:szCs w:val="22"/>
        </w:rPr>
        <w:t>368</w:t>
      </w:r>
      <w:r w:rsidRPr="00907622">
        <w:rPr>
          <w:b w:val="0"/>
          <w:bCs w:val="0"/>
          <w:sz w:val="22"/>
          <w:szCs w:val="22"/>
        </w:rPr>
        <w:t xml:space="preserve"> tis. eur, ostatné subjekty verejnej správy </w:t>
      </w:r>
      <w:r w:rsidR="00E4698E">
        <w:rPr>
          <w:b w:val="0"/>
          <w:sz w:val="22"/>
          <w:szCs w:val="22"/>
        </w:rPr>
        <w:t>38 278</w:t>
      </w:r>
      <w:r w:rsidRPr="00907622">
        <w:rPr>
          <w:b w:val="0"/>
          <w:bCs w:val="0"/>
          <w:sz w:val="22"/>
          <w:szCs w:val="22"/>
        </w:rPr>
        <w:t xml:space="preserve"> tis. eur a vyššie územné celky vykázali </w:t>
      </w:r>
      <w:r w:rsidR="00C43819">
        <w:rPr>
          <w:b w:val="0"/>
          <w:sz w:val="22"/>
          <w:szCs w:val="22"/>
        </w:rPr>
        <w:t>3</w:t>
      </w:r>
      <w:r w:rsidR="007814C9">
        <w:rPr>
          <w:b w:val="0"/>
          <w:sz w:val="22"/>
          <w:szCs w:val="22"/>
        </w:rPr>
        <w:t> </w:t>
      </w:r>
      <w:r w:rsidR="00C43819">
        <w:rPr>
          <w:b w:val="0"/>
          <w:sz w:val="22"/>
          <w:szCs w:val="22"/>
        </w:rPr>
        <w:t>643</w:t>
      </w:r>
      <w:r w:rsidR="007814C9">
        <w:rPr>
          <w:b w:val="0"/>
          <w:sz w:val="22"/>
          <w:szCs w:val="22"/>
        </w:rPr>
        <w:t> </w:t>
      </w:r>
      <w:r w:rsidRPr="00907622">
        <w:rPr>
          <w:b w:val="0"/>
          <w:bCs w:val="0"/>
          <w:sz w:val="22"/>
          <w:szCs w:val="22"/>
        </w:rPr>
        <w:t>tis. eur.</w:t>
      </w:r>
    </w:p>
    <w:p w14:paraId="2EDEEB98" w14:textId="1D7B12E6" w:rsidR="003E35E0" w:rsidRDefault="003E35E0" w:rsidP="0085799C">
      <w:pPr>
        <w:pStyle w:val="Nadpis4"/>
        <w:numPr>
          <w:ilvl w:val="0"/>
          <w:numId w:val="54"/>
        </w:numPr>
        <w:ind w:left="426" w:hanging="426"/>
      </w:pPr>
      <w:bookmarkStart w:id="33" w:name="_Ostatné_krátkodobé_pohľadávky"/>
      <w:bookmarkEnd w:id="33"/>
      <w:r>
        <w:t>Ostatné krátkodobé pohľadávky subjektov verejnej správy</w:t>
      </w:r>
    </w:p>
    <w:p w14:paraId="6CE5908A" w14:textId="1B0E1E5D" w:rsidR="00647542" w:rsidRPr="00907622" w:rsidRDefault="00DC6971" w:rsidP="0085799C">
      <w:pPr>
        <w:pStyle w:val="Pismenka"/>
        <w:spacing w:after="120"/>
        <w:ind w:left="0" w:firstLine="0"/>
        <w:rPr>
          <w:b w:val="0"/>
          <w:sz w:val="22"/>
          <w:szCs w:val="22"/>
          <w:lang w:eastAsia="en-US"/>
        </w:rPr>
      </w:pPr>
      <w:r w:rsidRPr="0085799C">
        <w:rPr>
          <w:b w:val="0"/>
          <w:sz w:val="22"/>
          <w:szCs w:val="22"/>
          <w:lang w:eastAsia="en-US"/>
        </w:rPr>
        <w:t xml:space="preserve">V ostatných pohľadávkach bola zaznamenaná hodnota </w:t>
      </w:r>
      <w:r w:rsidR="002B612E">
        <w:rPr>
          <w:b w:val="0"/>
          <w:sz w:val="22"/>
          <w:szCs w:val="22"/>
          <w:lang w:eastAsia="en-US"/>
        </w:rPr>
        <w:t>10</w:t>
      </w:r>
      <w:r w:rsidR="00D14D3A">
        <w:rPr>
          <w:b w:val="0"/>
          <w:sz w:val="22"/>
          <w:szCs w:val="22"/>
          <w:lang w:eastAsia="en-US"/>
        </w:rPr>
        <w:t> 544 918 tis. eu</w:t>
      </w:r>
      <w:r w:rsidRPr="0085799C">
        <w:rPr>
          <w:b w:val="0"/>
          <w:sz w:val="22"/>
          <w:szCs w:val="22"/>
          <w:lang w:eastAsia="en-US"/>
        </w:rPr>
        <w:t>r, čo predstavovalo medziročný nárast o</w:t>
      </w:r>
      <w:r w:rsidR="00D14D3A">
        <w:rPr>
          <w:b w:val="0"/>
          <w:sz w:val="22"/>
          <w:szCs w:val="22"/>
          <w:lang w:eastAsia="en-US"/>
        </w:rPr>
        <w:t> 1 345 968 tis.</w:t>
      </w:r>
      <w:r w:rsidRPr="0085799C">
        <w:rPr>
          <w:b w:val="0"/>
          <w:sz w:val="22"/>
          <w:szCs w:val="22"/>
          <w:lang w:eastAsia="en-US"/>
        </w:rPr>
        <w:t xml:space="preserve"> eur.</w:t>
      </w:r>
      <w:r w:rsidR="00EB1B07">
        <w:rPr>
          <w:b w:val="0"/>
          <w:sz w:val="22"/>
          <w:szCs w:val="22"/>
          <w:lang w:eastAsia="en-US"/>
        </w:rPr>
        <w:t xml:space="preserve"> </w:t>
      </w:r>
      <w:r w:rsidR="00647542" w:rsidRPr="00907622">
        <w:rPr>
          <w:b w:val="0"/>
          <w:sz w:val="22"/>
          <w:szCs w:val="22"/>
          <w:lang w:eastAsia="en-US"/>
        </w:rPr>
        <w:t xml:space="preserve">V rámci nich vykazuje rozhodujúcu hodnotu </w:t>
      </w:r>
      <w:r w:rsidR="00647542" w:rsidRPr="00907622">
        <w:rPr>
          <w:b w:val="0"/>
          <w:sz w:val="22"/>
          <w:szCs w:val="22"/>
          <w:u w:val="single"/>
          <w:lang w:eastAsia="en-US"/>
        </w:rPr>
        <w:t>Ministerstvo financií SR</w:t>
      </w:r>
      <w:r w:rsidR="00647542" w:rsidRPr="00907622">
        <w:rPr>
          <w:b w:val="0"/>
          <w:sz w:val="22"/>
          <w:szCs w:val="22"/>
          <w:lang w:eastAsia="en-US"/>
        </w:rPr>
        <w:t xml:space="preserve"> z titulu špecifických operácií štátu - uloženie voľných finančných prostriedkov v komerčných bankách za účelom ich zhodnotenia </w:t>
      </w:r>
      <w:r w:rsidR="003920D8">
        <w:rPr>
          <w:b w:val="0"/>
          <w:sz w:val="22"/>
          <w:szCs w:val="22"/>
          <w:lang w:eastAsia="en-US"/>
        </w:rPr>
        <w:t> 7 774 974</w:t>
      </w:r>
      <w:r w:rsidR="00647542" w:rsidRPr="00A226FA">
        <w:rPr>
          <w:b w:val="0"/>
          <w:sz w:val="22"/>
          <w:szCs w:val="22"/>
          <w:lang w:eastAsia="en-US"/>
        </w:rPr>
        <w:t xml:space="preserve"> tis. </w:t>
      </w:r>
      <w:r w:rsidR="00647542" w:rsidRPr="00907622">
        <w:rPr>
          <w:b w:val="0"/>
          <w:sz w:val="22"/>
          <w:szCs w:val="22"/>
          <w:lang w:eastAsia="en-US"/>
        </w:rPr>
        <w:t xml:space="preserve">eur, ktoré boli medziročne </w:t>
      </w:r>
      <w:r w:rsidR="006A475C" w:rsidRPr="001C05AC">
        <w:rPr>
          <w:b w:val="0"/>
          <w:sz w:val="22"/>
          <w:szCs w:val="22"/>
          <w:lang w:eastAsia="en-US"/>
        </w:rPr>
        <w:t xml:space="preserve">vyššie </w:t>
      </w:r>
      <w:r w:rsidR="00647542" w:rsidRPr="001C05AC">
        <w:rPr>
          <w:b w:val="0"/>
          <w:sz w:val="22"/>
          <w:szCs w:val="22"/>
          <w:lang w:eastAsia="en-US"/>
        </w:rPr>
        <w:t>o 1 </w:t>
      </w:r>
      <w:r w:rsidR="00BC707C" w:rsidRPr="001C05AC">
        <w:rPr>
          <w:b w:val="0"/>
          <w:sz w:val="22"/>
          <w:szCs w:val="22"/>
          <w:lang w:eastAsia="en-US"/>
        </w:rPr>
        <w:t>465 025</w:t>
      </w:r>
      <w:r w:rsidR="00647542" w:rsidRPr="001C05AC">
        <w:rPr>
          <w:b w:val="0"/>
          <w:sz w:val="22"/>
          <w:szCs w:val="22"/>
          <w:lang w:eastAsia="en-US"/>
        </w:rPr>
        <w:t> tis. eur</w:t>
      </w:r>
      <w:r w:rsidR="00647542" w:rsidRPr="00907622">
        <w:rPr>
          <w:b w:val="0"/>
          <w:sz w:val="22"/>
          <w:szCs w:val="22"/>
          <w:lang w:eastAsia="en-US"/>
        </w:rPr>
        <w:t>.</w:t>
      </w:r>
    </w:p>
    <w:p w14:paraId="3DE6E157" w14:textId="06671C8F" w:rsidR="00647542" w:rsidRPr="00907622" w:rsidRDefault="00647542" w:rsidP="003F5CD1">
      <w:pPr>
        <w:spacing w:after="120" w:line="240" w:lineRule="auto"/>
        <w:jc w:val="both"/>
        <w:rPr>
          <w:rFonts w:ascii="Times New Roman" w:hAnsi="Times New Roman"/>
          <w:color w:val="FF0000"/>
          <w:szCs w:val="22"/>
          <w:lang w:eastAsia="sk-SK"/>
        </w:rPr>
      </w:pPr>
      <w:r w:rsidRPr="001A67CA">
        <w:rPr>
          <w:rFonts w:ascii="Times New Roman" w:hAnsi="Times New Roman"/>
          <w:szCs w:val="22"/>
          <w:u w:val="single"/>
          <w:lang w:eastAsia="sk-SK"/>
        </w:rPr>
        <w:t>Pohľadávky Sociálnej poisťovne a Všeobecnej zdravotnej poisťovne, a.s.</w:t>
      </w:r>
      <w:r w:rsidRPr="001A67CA">
        <w:rPr>
          <w:rFonts w:ascii="Times New Roman" w:hAnsi="Times New Roman"/>
          <w:szCs w:val="22"/>
          <w:lang w:eastAsia="sk-SK"/>
        </w:rPr>
        <w:t xml:space="preserve"> dosiahli úhrnom hodnotu 1</w:t>
      </w:r>
      <w:r w:rsidR="00341D97" w:rsidRPr="0085799C">
        <w:rPr>
          <w:rFonts w:ascii="Times New Roman" w:hAnsi="Times New Roman"/>
          <w:szCs w:val="22"/>
          <w:lang w:eastAsia="sk-SK"/>
        </w:rPr>
        <w:t> 803</w:t>
      </w:r>
      <w:r w:rsidR="007814C9" w:rsidRPr="0085799C">
        <w:rPr>
          <w:rFonts w:ascii="Times New Roman" w:hAnsi="Times New Roman"/>
          <w:szCs w:val="22"/>
          <w:lang w:eastAsia="sk-SK"/>
        </w:rPr>
        <w:t> </w:t>
      </w:r>
      <w:r w:rsidR="00341D97" w:rsidRPr="0085799C">
        <w:rPr>
          <w:rFonts w:ascii="Times New Roman" w:hAnsi="Times New Roman"/>
          <w:szCs w:val="22"/>
          <w:lang w:eastAsia="sk-SK"/>
        </w:rPr>
        <w:t>086</w:t>
      </w:r>
      <w:r w:rsidRPr="001A67CA">
        <w:rPr>
          <w:rFonts w:ascii="Times New Roman" w:hAnsi="Times New Roman"/>
          <w:szCs w:val="22"/>
          <w:lang w:eastAsia="sk-SK"/>
        </w:rPr>
        <w:t> tis. eur (z toho v Sociálnej poisťovni 1</w:t>
      </w:r>
      <w:r w:rsidR="007814C9" w:rsidRPr="0085799C">
        <w:rPr>
          <w:rFonts w:ascii="Times New Roman" w:hAnsi="Times New Roman"/>
          <w:szCs w:val="22"/>
          <w:lang w:eastAsia="sk-SK"/>
        </w:rPr>
        <w:t> </w:t>
      </w:r>
      <w:r w:rsidR="00341D97" w:rsidRPr="0085799C">
        <w:rPr>
          <w:rFonts w:ascii="Times New Roman" w:hAnsi="Times New Roman"/>
          <w:szCs w:val="22"/>
          <w:lang w:eastAsia="sk-SK"/>
        </w:rPr>
        <w:t>380</w:t>
      </w:r>
      <w:r w:rsidR="007814C9" w:rsidRPr="0085799C">
        <w:rPr>
          <w:rFonts w:ascii="Times New Roman" w:hAnsi="Times New Roman"/>
          <w:szCs w:val="22"/>
          <w:lang w:eastAsia="sk-SK"/>
        </w:rPr>
        <w:t> </w:t>
      </w:r>
      <w:r w:rsidR="00341D97" w:rsidRPr="0085799C">
        <w:rPr>
          <w:rFonts w:ascii="Times New Roman" w:hAnsi="Times New Roman"/>
          <w:szCs w:val="22"/>
          <w:lang w:eastAsia="sk-SK"/>
        </w:rPr>
        <w:t>793</w:t>
      </w:r>
      <w:r w:rsidRPr="001A67CA">
        <w:rPr>
          <w:rFonts w:ascii="Times New Roman" w:hAnsi="Times New Roman"/>
          <w:szCs w:val="22"/>
          <w:lang w:eastAsia="sk-SK"/>
        </w:rPr>
        <w:t xml:space="preserve"> tis. eur a vo Všeobecnej zdravotnej poisťovni </w:t>
      </w:r>
      <w:r w:rsidR="006A35B0" w:rsidRPr="001A67CA">
        <w:rPr>
          <w:rFonts w:ascii="Times New Roman" w:hAnsi="Times New Roman"/>
          <w:szCs w:val="22"/>
          <w:lang w:eastAsia="sk-SK"/>
        </w:rPr>
        <w:t>422</w:t>
      </w:r>
      <w:r w:rsidR="007814C9" w:rsidRPr="0085799C">
        <w:rPr>
          <w:rFonts w:ascii="Times New Roman" w:hAnsi="Times New Roman"/>
          <w:szCs w:val="22"/>
          <w:lang w:eastAsia="sk-SK"/>
        </w:rPr>
        <w:t> </w:t>
      </w:r>
      <w:r w:rsidR="006A35B0" w:rsidRPr="001A67CA">
        <w:rPr>
          <w:rFonts w:ascii="Times New Roman" w:hAnsi="Times New Roman"/>
          <w:szCs w:val="22"/>
          <w:lang w:eastAsia="sk-SK"/>
        </w:rPr>
        <w:t>293</w:t>
      </w:r>
      <w:r w:rsidRPr="001A67CA">
        <w:rPr>
          <w:rFonts w:ascii="Times New Roman" w:hAnsi="Times New Roman"/>
          <w:szCs w:val="22"/>
          <w:lang w:eastAsia="sk-SK"/>
        </w:rPr>
        <w:t> </w:t>
      </w:r>
      <w:r w:rsidR="007814C9" w:rsidRPr="001A67CA">
        <w:rPr>
          <w:rFonts w:ascii="Times New Roman" w:hAnsi="Times New Roman"/>
          <w:szCs w:val="22"/>
          <w:lang w:eastAsia="sk-SK"/>
        </w:rPr>
        <w:t>tis. </w:t>
      </w:r>
      <w:r w:rsidRPr="001A67CA">
        <w:rPr>
          <w:rFonts w:ascii="Times New Roman" w:hAnsi="Times New Roman"/>
          <w:szCs w:val="22"/>
          <w:lang w:eastAsia="sk-SK"/>
        </w:rPr>
        <w:t>eur). Išlo najmä o pohľadávky z dôvodu predpisu sociálnych a zdravotných odvodov za bežné obdobie ako aj za predchádzajúce</w:t>
      </w:r>
      <w:r w:rsidRPr="00907622">
        <w:rPr>
          <w:rFonts w:ascii="Times New Roman" w:hAnsi="Times New Roman"/>
          <w:szCs w:val="22"/>
          <w:lang w:eastAsia="sk-SK"/>
        </w:rPr>
        <w:t xml:space="preserve"> obdobia, ktoré neboli splatené. </w:t>
      </w:r>
    </w:p>
    <w:p w14:paraId="5D5F8CF6" w14:textId="56951D0D" w:rsidR="00647542" w:rsidRPr="0092392D" w:rsidRDefault="00647542" w:rsidP="003F5CD1">
      <w:pPr>
        <w:spacing w:after="120" w:line="240" w:lineRule="auto"/>
        <w:jc w:val="both"/>
        <w:rPr>
          <w:rFonts w:ascii="Times New Roman" w:hAnsi="Times New Roman"/>
          <w:szCs w:val="22"/>
          <w:lang w:eastAsia="sk-SK"/>
        </w:rPr>
      </w:pPr>
      <w:r w:rsidRPr="00907622">
        <w:rPr>
          <w:rFonts w:ascii="Times New Roman" w:hAnsi="Times New Roman"/>
          <w:szCs w:val="22"/>
          <w:u w:val="single"/>
          <w:lang w:eastAsia="sk-SK"/>
        </w:rPr>
        <w:t>Pohľadávky Slovenského plynárenského priemyslu, a.s.</w:t>
      </w:r>
      <w:r w:rsidRPr="00907622">
        <w:rPr>
          <w:rFonts w:ascii="Times New Roman" w:hAnsi="Times New Roman"/>
          <w:szCs w:val="22"/>
          <w:lang w:eastAsia="sk-SK"/>
        </w:rPr>
        <w:t xml:space="preserve"> (okrem odberateľov a poskytnutých prevádzkových preddavkov) v objeme </w:t>
      </w:r>
      <w:r w:rsidR="00203810">
        <w:rPr>
          <w:rFonts w:ascii="Times New Roman" w:hAnsi="Times New Roman"/>
          <w:szCs w:val="22"/>
          <w:lang w:eastAsia="sk-SK"/>
        </w:rPr>
        <w:t>336</w:t>
      </w:r>
      <w:r w:rsidR="004B10CC">
        <w:rPr>
          <w:rFonts w:ascii="Times New Roman" w:hAnsi="Times New Roman"/>
          <w:szCs w:val="22"/>
          <w:lang w:eastAsia="sk-SK"/>
        </w:rPr>
        <w:t xml:space="preserve"> 158</w:t>
      </w:r>
      <w:r w:rsidR="00F823E1">
        <w:rPr>
          <w:rFonts w:ascii="Times New Roman" w:hAnsi="Times New Roman"/>
          <w:szCs w:val="22"/>
          <w:lang w:eastAsia="sk-SK"/>
        </w:rPr>
        <w:t xml:space="preserve"> </w:t>
      </w:r>
      <w:r w:rsidRPr="00907622">
        <w:rPr>
          <w:rFonts w:ascii="Times New Roman" w:hAnsi="Times New Roman"/>
          <w:szCs w:val="22"/>
          <w:lang w:eastAsia="sk-SK"/>
        </w:rPr>
        <w:t xml:space="preserve">tis. eur predstavujú najmä ostatné pohľadávky z titulu poskytnutých zábezpek a pohľadávky v súvislosti s burzovými obchodmi (clearing) a zabezpečujúcimi derivátmi. Medziročný </w:t>
      </w:r>
      <w:r w:rsidR="00512723">
        <w:rPr>
          <w:rFonts w:ascii="Times New Roman" w:hAnsi="Times New Roman"/>
          <w:szCs w:val="22"/>
          <w:lang w:eastAsia="sk-SK"/>
        </w:rPr>
        <w:t>pokles</w:t>
      </w:r>
      <w:r w:rsidR="00512723" w:rsidRPr="00A226FA">
        <w:rPr>
          <w:rFonts w:ascii="Times New Roman" w:hAnsi="Times New Roman"/>
          <w:szCs w:val="22"/>
          <w:lang w:eastAsia="sk-SK"/>
        </w:rPr>
        <w:t xml:space="preserve"> </w:t>
      </w:r>
      <w:r w:rsidRPr="00907622">
        <w:rPr>
          <w:rFonts w:ascii="Times New Roman" w:hAnsi="Times New Roman"/>
          <w:szCs w:val="22"/>
          <w:lang w:eastAsia="sk-SK"/>
        </w:rPr>
        <w:t>o </w:t>
      </w:r>
      <w:r w:rsidR="00512723">
        <w:rPr>
          <w:rFonts w:ascii="Times New Roman" w:hAnsi="Times New Roman"/>
          <w:szCs w:val="22"/>
          <w:lang w:eastAsia="sk-SK"/>
        </w:rPr>
        <w:t>309 733</w:t>
      </w:r>
      <w:r w:rsidRPr="00907622">
        <w:rPr>
          <w:rFonts w:ascii="Times New Roman" w:hAnsi="Times New Roman"/>
          <w:szCs w:val="22"/>
          <w:lang w:eastAsia="sk-SK"/>
        </w:rPr>
        <w:t xml:space="preserve"> tis. eur bol spôsobený najmä </w:t>
      </w:r>
      <w:r w:rsidR="00512723">
        <w:rPr>
          <w:rFonts w:ascii="Times New Roman" w:hAnsi="Times New Roman"/>
          <w:szCs w:val="22"/>
          <w:lang w:eastAsia="sk-SK"/>
        </w:rPr>
        <w:t>poklesom</w:t>
      </w:r>
      <w:r w:rsidR="00512723" w:rsidRPr="00A226FA">
        <w:rPr>
          <w:rFonts w:ascii="Times New Roman" w:hAnsi="Times New Roman"/>
          <w:szCs w:val="22"/>
          <w:lang w:eastAsia="sk-SK"/>
        </w:rPr>
        <w:t xml:space="preserve"> </w:t>
      </w:r>
      <w:r w:rsidRPr="00907622">
        <w:rPr>
          <w:rFonts w:ascii="Times New Roman" w:hAnsi="Times New Roman"/>
          <w:szCs w:val="22"/>
          <w:lang w:eastAsia="sk-SK"/>
        </w:rPr>
        <w:t>hodnoty pohľadávok zo </w:t>
      </w:r>
      <w:r w:rsidRPr="0092392D">
        <w:rPr>
          <w:rFonts w:ascii="Times New Roman" w:hAnsi="Times New Roman"/>
          <w:szCs w:val="22"/>
          <w:lang w:eastAsia="sk-SK"/>
        </w:rPr>
        <w:t>zábezpek a burzových obchodov zabezpečovacích derivátov.</w:t>
      </w:r>
    </w:p>
    <w:p w14:paraId="2EE824D0" w14:textId="6B7858E6" w:rsidR="00647542" w:rsidRPr="0085799C" w:rsidRDefault="00647542" w:rsidP="0085799C">
      <w:pPr>
        <w:spacing w:after="120" w:line="240" w:lineRule="auto"/>
        <w:jc w:val="both"/>
        <w:rPr>
          <w:b/>
          <w:szCs w:val="22"/>
        </w:rPr>
      </w:pPr>
      <w:r w:rsidRPr="0085799C">
        <w:rPr>
          <w:rFonts w:ascii="Times New Roman" w:hAnsi="Times New Roman"/>
          <w:szCs w:val="22"/>
          <w:u w:val="single"/>
        </w:rPr>
        <w:t>Pohľadávky z účelovo poskytnutých transferov</w:t>
      </w:r>
      <w:r w:rsidRPr="0085799C">
        <w:rPr>
          <w:rFonts w:ascii="Times New Roman" w:hAnsi="Times New Roman"/>
          <w:szCs w:val="22"/>
        </w:rPr>
        <w:t xml:space="preserve"> predstavujú najmä pohľadávky subjektov ústrednej správy v sume </w:t>
      </w:r>
      <w:r w:rsidR="00BD6322" w:rsidRPr="0085799C">
        <w:rPr>
          <w:rFonts w:ascii="Times New Roman" w:hAnsi="Times New Roman"/>
          <w:szCs w:val="22"/>
        </w:rPr>
        <w:t>28 730</w:t>
      </w:r>
      <w:r w:rsidRPr="0085799C">
        <w:rPr>
          <w:rFonts w:ascii="Times New Roman" w:hAnsi="Times New Roman"/>
          <w:szCs w:val="22"/>
        </w:rPr>
        <w:t xml:space="preserve"> tis. eur, z toho pohľadávky </w:t>
      </w:r>
      <w:r w:rsidR="00354E64">
        <w:rPr>
          <w:rFonts w:ascii="Times New Roman" w:hAnsi="Times New Roman"/>
          <w:szCs w:val="22"/>
        </w:rPr>
        <w:t>SEPS</w:t>
      </w:r>
      <w:r w:rsidRPr="0085799C">
        <w:rPr>
          <w:rFonts w:ascii="Times New Roman" w:hAnsi="Times New Roman"/>
          <w:szCs w:val="22"/>
        </w:rPr>
        <w:t xml:space="preserve">, a.s. tvorili hodnotu </w:t>
      </w:r>
      <w:r w:rsidR="00BD6322" w:rsidRPr="0085799C">
        <w:rPr>
          <w:rFonts w:ascii="Times New Roman" w:hAnsi="Times New Roman"/>
          <w:szCs w:val="22"/>
        </w:rPr>
        <w:t>28 619</w:t>
      </w:r>
      <w:r w:rsidRPr="0085799C">
        <w:rPr>
          <w:rFonts w:ascii="Times New Roman" w:hAnsi="Times New Roman"/>
          <w:szCs w:val="22"/>
        </w:rPr>
        <w:t xml:space="preserve"> tis. eur, </w:t>
      </w:r>
      <w:r w:rsidR="0018561C" w:rsidRPr="0085799C">
        <w:rPr>
          <w:rFonts w:ascii="Times New Roman" w:hAnsi="Times New Roman"/>
          <w:szCs w:val="22"/>
        </w:rPr>
        <w:t>v súvislosti s </w:t>
      </w:r>
      <w:proofErr w:type="spellStart"/>
      <w:r w:rsidR="0018561C" w:rsidRPr="0085799C">
        <w:rPr>
          <w:rFonts w:ascii="Times New Roman" w:hAnsi="Times New Roman"/>
          <w:szCs w:val="22"/>
        </w:rPr>
        <w:t>prefinancovaním</w:t>
      </w:r>
      <w:proofErr w:type="spellEnd"/>
      <w:r w:rsidR="0018561C" w:rsidRPr="0085799C">
        <w:rPr>
          <w:rFonts w:ascii="Times New Roman" w:hAnsi="Times New Roman"/>
          <w:szCs w:val="22"/>
        </w:rPr>
        <w:t xml:space="preserve"> nákladov na investičnú výstavbu voči spoločnosti Západoslovenská distribučná, a.s.</w:t>
      </w:r>
      <w:r w:rsidRPr="0085799C">
        <w:rPr>
          <w:rFonts w:ascii="Times New Roman" w:hAnsi="Times New Roman"/>
          <w:szCs w:val="22"/>
        </w:rPr>
        <w:t xml:space="preserve"> </w:t>
      </w:r>
      <w:r w:rsidR="00062A9C" w:rsidRPr="0085799C">
        <w:rPr>
          <w:rFonts w:ascii="Times New Roman" w:hAnsi="Times New Roman"/>
          <w:szCs w:val="22"/>
        </w:rPr>
        <w:t>P</w:t>
      </w:r>
      <w:r w:rsidRPr="0085799C">
        <w:rPr>
          <w:rFonts w:ascii="Times New Roman" w:hAnsi="Times New Roman"/>
          <w:szCs w:val="22"/>
        </w:rPr>
        <w:t xml:space="preserve">ohľadávky vyšších územných celkov </w:t>
      </w:r>
      <w:r w:rsidR="00D02E14" w:rsidRPr="0085799C">
        <w:rPr>
          <w:rFonts w:ascii="Times New Roman" w:hAnsi="Times New Roman"/>
          <w:szCs w:val="22"/>
        </w:rPr>
        <w:t xml:space="preserve">dosiahli hodnotu </w:t>
      </w:r>
      <w:r w:rsidRPr="0085799C">
        <w:rPr>
          <w:rFonts w:ascii="Times New Roman" w:hAnsi="Times New Roman"/>
          <w:szCs w:val="22"/>
        </w:rPr>
        <w:t xml:space="preserve">v sume </w:t>
      </w:r>
      <w:r w:rsidR="00CB7214" w:rsidRPr="0085799C">
        <w:rPr>
          <w:rFonts w:ascii="Times New Roman" w:hAnsi="Times New Roman"/>
          <w:szCs w:val="22"/>
        </w:rPr>
        <w:t>46</w:t>
      </w:r>
      <w:r w:rsidR="00841DAE" w:rsidRPr="0085799C">
        <w:rPr>
          <w:rFonts w:ascii="Times New Roman" w:hAnsi="Times New Roman"/>
          <w:szCs w:val="22"/>
        </w:rPr>
        <w:t> </w:t>
      </w:r>
      <w:r w:rsidR="00CB7214" w:rsidRPr="0085799C">
        <w:rPr>
          <w:rFonts w:ascii="Times New Roman" w:hAnsi="Times New Roman"/>
          <w:szCs w:val="22"/>
        </w:rPr>
        <w:t>963</w:t>
      </w:r>
      <w:r w:rsidRPr="0085799C">
        <w:rPr>
          <w:rFonts w:ascii="Times New Roman" w:hAnsi="Times New Roman"/>
          <w:szCs w:val="22"/>
        </w:rPr>
        <w:t> tis. eur</w:t>
      </w:r>
      <w:r w:rsidR="00D02E14" w:rsidRPr="0085799C">
        <w:rPr>
          <w:rFonts w:ascii="Times New Roman" w:hAnsi="Times New Roman"/>
          <w:szCs w:val="22"/>
        </w:rPr>
        <w:t>.</w:t>
      </w:r>
    </w:p>
    <w:p w14:paraId="05A43FC9" w14:textId="77777777" w:rsidR="003E35E0" w:rsidRPr="001D3111" w:rsidRDefault="003E35E0" w:rsidP="0085799C">
      <w:pPr>
        <w:pStyle w:val="Pismenka"/>
        <w:tabs>
          <w:tab w:val="clear" w:pos="426"/>
        </w:tabs>
        <w:spacing w:after="120"/>
        <w:ind w:left="0" w:firstLine="0"/>
        <w:rPr>
          <w:szCs w:val="22"/>
        </w:rPr>
      </w:pPr>
    </w:p>
    <w:p w14:paraId="04D111AC" w14:textId="77777777" w:rsidR="002B5E5D" w:rsidRDefault="002B5E5D">
      <w:pPr>
        <w:spacing w:after="160" w:line="259" w:lineRule="auto"/>
        <w:rPr>
          <w:rFonts w:ascii="Times New Roman" w:eastAsiaTheme="majorEastAsia" w:hAnsi="Times New Roman" w:cstheme="majorBidi"/>
          <w:b/>
          <w:szCs w:val="28"/>
        </w:rPr>
      </w:pPr>
      <w:r>
        <w:br w:type="page"/>
      </w:r>
    </w:p>
    <w:p w14:paraId="1AD8F91C" w14:textId="0C35BE45" w:rsidR="00647542" w:rsidRPr="00265F07" w:rsidRDefault="00647542" w:rsidP="0085799C">
      <w:pPr>
        <w:pStyle w:val="Nadpis3"/>
      </w:pPr>
      <w:r w:rsidRPr="00265F07">
        <w:lastRenderedPageBreak/>
        <w:t>B.III. Finančné účty a krátkodobý finančný majetok</w:t>
      </w:r>
    </w:p>
    <w:p w14:paraId="10D96DD5" w14:textId="77777777" w:rsidR="00647542" w:rsidRPr="00907622" w:rsidRDefault="00647542" w:rsidP="003F5CD1">
      <w:pPr>
        <w:pStyle w:val="Pismenka"/>
        <w:tabs>
          <w:tab w:val="clear" w:pos="426"/>
        </w:tabs>
        <w:spacing w:after="120"/>
        <w:ind w:left="0" w:firstLine="0"/>
        <w:rPr>
          <w:b w:val="0"/>
          <w:sz w:val="22"/>
          <w:szCs w:val="22"/>
        </w:rPr>
      </w:pPr>
      <w:r w:rsidRPr="00907622">
        <w:rPr>
          <w:b w:val="0"/>
          <w:sz w:val="22"/>
          <w:szCs w:val="22"/>
        </w:rPr>
        <w:t>Ako finančné účty, resp. krátkodobý finančný majetok sa vykazujú hlavne prostriedky na bankových účtoch, účtoch Štátnej pokladnice, okrem termínovaných účtoch s dobou viazanosti dlhšou ako jeden rok, krátkodobé majetkové a dlhové cenné papiere a zostatok vo fyzických pokladniciach účtovných jednotiek.</w:t>
      </w:r>
    </w:p>
    <w:p w14:paraId="005742E0" w14:textId="396D963A" w:rsidR="00647542" w:rsidRPr="00907622" w:rsidRDefault="00647542" w:rsidP="003F5CD1">
      <w:pPr>
        <w:pStyle w:val="Pismenka"/>
        <w:tabs>
          <w:tab w:val="clear" w:pos="426"/>
        </w:tabs>
        <w:spacing w:after="120"/>
        <w:ind w:left="0" w:firstLine="0"/>
        <w:rPr>
          <w:b w:val="0"/>
          <w:bCs w:val="0"/>
          <w:sz w:val="22"/>
          <w:szCs w:val="22"/>
        </w:rPr>
      </w:pPr>
      <w:r w:rsidRPr="00907622">
        <w:rPr>
          <w:b w:val="0"/>
          <w:bCs w:val="0"/>
          <w:sz w:val="22"/>
          <w:szCs w:val="22"/>
        </w:rPr>
        <w:t>Hodnota finančných účtov a krátkodobého finančného majetku k </w:t>
      </w:r>
      <w:r w:rsidR="00F418A2">
        <w:rPr>
          <w:b w:val="0"/>
          <w:bCs w:val="0"/>
          <w:sz w:val="22"/>
          <w:szCs w:val="22"/>
        </w:rPr>
        <w:t>31.</w:t>
      </w:r>
      <w:r w:rsidR="00867606">
        <w:rPr>
          <w:b w:val="0"/>
          <w:bCs w:val="0"/>
          <w:sz w:val="22"/>
          <w:szCs w:val="22"/>
        </w:rPr>
        <w:t xml:space="preserve"> </w:t>
      </w:r>
      <w:r w:rsidR="00F418A2">
        <w:rPr>
          <w:b w:val="0"/>
          <w:bCs w:val="0"/>
          <w:sz w:val="22"/>
          <w:szCs w:val="22"/>
        </w:rPr>
        <w:t>12.</w:t>
      </w:r>
      <w:r w:rsidR="00867606">
        <w:rPr>
          <w:b w:val="0"/>
          <w:bCs w:val="0"/>
          <w:sz w:val="22"/>
          <w:szCs w:val="22"/>
        </w:rPr>
        <w:t xml:space="preserve"> </w:t>
      </w:r>
      <w:r w:rsidR="00F418A2">
        <w:rPr>
          <w:b w:val="0"/>
          <w:bCs w:val="0"/>
          <w:sz w:val="22"/>
          <w:szCs w:val="22"/>
        </w:rPr>
        <w:t>2024</w:t>
      </w:r>
      <w:r w:rsidRPr="00907622">
        <w:rPr>
          <w:b w:val="0"/>
          <w:bCs w:val="0"/>
          <w:sz w:val="22"/>
          <w:szCs w:val="22"/>
        </w:rPr>
        <w:t xml:space="preserve"> bola 5</w:t>
      </w:r>
      <w:r w:rsidR="000214D2">
        <w:rPr>
          <w:b w:val="0"/>
          <w:sz w:val="22"/>
          <w:szCs w:val="22"/>
        </w:rPr>
        <w:t> 042</w:t>
      </w:r>
      <w:r w:rsidR="007814C9">
        <w:rPr>
          <w:b w:val="0"/>
          <w:sz w:val="22"/>
          <w:szCs w:val="22"/>
        </w:rPr>
        <w:t> </w:t>
      </w:r>
      <w:r w:rsidR="000214D2">
        <w:rPr>
          <w:b w:val="0"/>
          <w:sz w:val="22"/>
          <w:szCs w:val="22"/>
        </w:rPr>
        <w:t>491</w:t>
      </w:r>
      <w:r w:rsidRPr="00907622">
        <w:rPr>
          <w:b w:val="0"/>
          <w:bCs w:val="0"/>
          <w:sz w:val="22"/>
          <w:szCs w:val="22"/>
        </w:rPr>
        <w:t xml:space="preserve"> tis. eur. Z toho najvyššiu sumu tvorili </w:t>
      </w:r>
      <w:r w:rsidRPr="00907622">
        <w:rPr>
          <w:b w:val="0"/>
          <w:bCs w:val="0"/>
          <w:sz w:val="22"/>
          <w:szCs w:val="22"/>
          <w:u w:val="single"/>
        </w:rPr>
        <w:t>bankové účty</w:t>
      </w:r>
      <w:r w:rsidRPr="00907622">
        <w:rPr>
          <w:b w:val="0"/>
          <w:bCs w:val="0"/>
          <w:sz w:val="22"/>
          <w:szCs w:val="22"/>
        </w:rPr>
        <w:t xml:space="preserve"> 4</w:t>
      </w:r>
      <w:r w:rsidR="006823A8">
        <w:rPr>
          <w:b w:val="0"/>
          <w:sz w:val="22"/>
          <w:szCs w:val="22"/>
        </w:rPr>
        <w:t> 920</w:t>
      </w:r>
      <w:r w:rsidR="007814C9">
        <w:rPr>
          <w:b w:val="0"/>
          <w:sz w:val="22"/>
          <w:szCs w:val="22"/>
        </w:rPr>
        <w:t> </w:t>
      </w:r>
      <w:r w:rsidR="006823A8">
        <w:rPr>
          <w:b w:val="0"/>
          <w:sz w:val="22"/>
          <w:szCs w:val="22"/>
        </w:rPr>
        <w:t>469</w:t>
      </w:r>
      <w:r w:rsidRPr="00907622">
        <w:rPr>
          <w:b w:val="0"/>
          <w:bCs w:val="0"/>
          <w:sz w:val="22"/>
          <w:szCs w:val="22"/>
        </w:rPr>
        <w:t> tis.</w:t>
      </w:r>
      <w:r w:rsidR="007814C9">
        <w:rPr>
          <w:b w:val="0"/>
          <w:bCs w:val="0"/>
          <w:sz w:val="22"/>
          <w:szCs w:val="22"/>
        </w:rPr>
        <w:t> </w:t>
      </w:r>
      <w:r w:rsidRPr="00907622">
        <w:rPr>
          <w:b w:val="0"/>
          <w:bCs w:val="0"/>
          <w:sz w:val="22"/>
          <w:szCs w:val="22"/>
        </w:rPr>
        <w:t>eur</w:t>
      </w:r>
      <w:r w:rsidR="00420766">
        <w:rPr>
          <w:b w:val="0"/>
          <w:sz w:val="22"/>
          <w:szCs w:val="22"/>
        </w:rPr>
        <w:t>,</w:t>
      </w:r>
      <w:r w:rsidRPr="00907622">
        <w:rPr>
          <w:b w:val="0"/>
          <w:bCs w:val="0"/>
          <w:sz w:val="22"/>
          <w:szCs w:val="22"/>
        </w:rPr>
        <w:t xml:space="preserve"> </w:t>
      </w:r>
      <w:r w:rsidRPr="00907622">
        <w:rPr>
          <w:b w:val="0"/>
          <w:bCs w:val="0"/>
          <w:sz w:val="22"/>
          <w:szCs w:val="22"/>
          <w:u w:val="single"/>
        </w:rPr>
        <w:t>účty Štátnej pokladnice</w:t>
      </w:r>
      <w:r w:rsidRPr="00907622">
        <w:rPr>
          <w:b w:val="0"/>
          <w:bCs w:val="0"/>
          <w:i/>
          <w:sz w:val="22"/>
          <w:szCs w:val="22"/>
        </w:rPr>
        <w:t xml:space="preserve"> </w:t>
      </w:r>
      <w:r w:rsidRPr="00907622">
        <w:rPr>
          <w:b w:val="0"/>
          <w:bCs w:val="0"/>
          <w:sz w:val="22"/>
          <w:szCs w:val="22"/>
        </w:rPr>
        <w:t xml:space="preserve">v hodnote </w:t>
      </w:r>
      <w:r w:rsidR="006823A8">
        <w:rPr>
          <w:b w:val="0"/>
          <w:sz w:val="22"/>
          <w:szCs w:val="22"/>
        </w:rPr>
        <w:t>23</w:t>
      </w:r>
      <w:r w:rsidR="00841DAE">
        <w:rPr>
          <w:b w:val="0"/>
          <w:sz w:val="22"/>
          <w:szCs w:val="22"/>
        </w:rPr>
        <w:t> </w:t>
      </w:r>
      <w:r w:rsidR="006823A8">
        <w:rPr>
          <w:b w:val="0"/>
          <w:sz w:val="22"/>
          <w:szCs w:val="22"/>
        </w:rPr>
        <w:t>678</w:t>
      </w:r>
      <w:r w:rsidRPr="00907622">
        <w:rPr>
          <w:b w:val="0"/>
          <w:bCs w:val="0"/>
          <w:sz w:val="22"/>
          <w:szCs w:val="22"/>
        </w:rPr>
        <w:t> tis. </w:t>
      </w:r>
      <w:r w:rsidRPr="00A226FA">
        <w:rPr>
          <w:b w:val="0"/>
          <w:sz w:val="22"/>
          <w:szCs w:val="22"/>
        </w:rPr>
        <w:t>eur</w:t>
      </w:r>
      <w:r w:rsidR="00272215" w:rsidRPr="00272215">
        <w:rPr>
          <w:b w:val="0"/>
          <w:sz w:val="22"/>
          <w:szCs w:val="22"/>
        </w:rPr>
        <w:t xml:space="preserve"> </w:t>
      </w:r>
      <w:r w:rsidR="00272215">
        <w:rPr>
          <w:b w:val="0"/>
          <w:sz w:val="22"/>
          <w:szCs w:val="22"/>
        </w:rPr>
        <w:t>a ostatný krátkodobý finančný majetok v</w:t>
      </w:r>
      <w:r w:rsidR="00F01E1E">
        <w:rPr>
          <w:b w:val="0"/>
          <w:sz w:val="22"/>
          <w:szCs w:val="22"/>
        </w:rPr>
        <w:t> </w:t>
      </w:r>
      <w:r w:rsidR="00272215">
        <w:rPr>
          <w:b w:val="0"/>
          <w:sz w:val="22"/>
          <w:szCs w:val="22"/>
        </w:rPr>
        <w:t>hodnote</w:t>
      </w:r>
      <w:r w:rsidR="00F01E1E">
        <w:rPr>
          <w:b w:val="0"/>
          <w:sz w:val="22"/>
          <w:szCs w:val="22"/>
        </w:rPr>
        <w:t xml:space="preserve"> 4 258 tis. eur</w:t>
      </w:r>
      <w:r w:rsidRPr="00A226FA">
        <w:rPr>
          <w:b w:val="0"/>
          <w:sz w:val="22"/>
          <w:szCs w:val="22"/>
        </w:rPr>
        <w:t>.</w:t>
      </w:r>
      <w:r w:rsidRPr="00907622">
        <w:rPr>
          <w:b w:val="0"/>
          <w:bCs w:val="0"/>
          <w:sz w:val="22"/>
          <w:szCs w:val="22"/>
        </w:rPr>
        <w:t xml:space="preserve"> Medziročne mierny celkový </w:t>
      </w:r>
      <w:r w:rsidR="00201FE6">
        <w:rPr>
          <w:b w:val="0"/>
          <w:sz w:val="22"/>
          <w:szCs w:val="22"/>
        </w:rPr>
        <w:t>nárast</w:t>
      </w:r>
      <w:r w:rsidR="00201FE6" w:rsidRPr="00A226FA">
        <w:rPr>
          <w:b w:val="0"/>
          <w:sz w:val="22"/>
          <w:szCs w:val="22"/>
        </w:rPr>
        <w:t xml:space="preserve"> </w:t>
      </w:r>
      <w:r w:rsidRPr="00907622">
        <w:rPr>
          <w:b w:val="0"/>
          <w:bCs w:val="0"/>
          <w:sz w:val="22"/>
          <w:szCs w:val="22"/>
        </w:rPr>
        <w:t>bol spôsobený na jednej strane nárastom zostatku na bankových účtoch o</w:t>
      </w:r>
      <w:r w:rsidR="007814C9">
        <w:rPr>
          <w:b w:val="0"/>
          <w:sz w:val="22"/>
          <w:szCs w:val="22"/>
        </w:rPr>
        <w:t> </w:t>
      </w:r>
      <w:r w:rsidR="00201FE6">
        <w:rPr>
          <w:b w:val="0"/>
          <w:sz w:val="22"/>
          <w:szCs w:val="22"/>
        </w:rPr>
        <w:t>485</w:t>
      </w:r>
      <w:r w:rsidR="007814C9">
        <w:rPr>
          <w:b w:val="0"/>
          <w:sz w:val="22"/>
          <w:szCs w:val="22"/>
        </w:rPr>
        <w:t> </w:t>
      </w:r>
      <w:r w:rsidR="00201FE6">
        <w:rPr>
          <w:b w:val="0"/>
          <w:sz w:val="22"/>
          <w:szCs w:val="22"/>
        </w:rPr>
        <w:t>976</w:t>
      </w:r>
      <w:r w:rsidRPr="00907622">
        <w:rPr>
          <w:b w:val="0"/>
          <w:bCs w:val="0"/>
          <w:sz w:val="22"/>
          <w:szCs w:val="22"/>
        </w:rPr>
        <w:t> tis. eur a na strane druhej poklesom hodnoty účtov Štátnej pokladnice o</w:t>
      </w:r>
      <w:r w:rsidR="007814C9">
        <w:rPr>
          <w:b w:val="0"/>
          <w:sz w:val="22"/>
          <w:szCs w:val="22"/>
        </w:rPr>
        <w:t> </w:t>
      </w:r>
      <w:r w:rsidR="00201FE6">
        <w:rPr>
          <w:b w:val="0"/>
          <w:sz w:val="22"/>
          <w:szCs w:val="22"/>
        </w:rPr>
        <w:t>49</w:t>
      </w:r>
      <w:r w:rsidR="00743A1F">
        <w:rPr>
          <w:b w:val="0"/>
          <w:sz w:val="22"/>
          <w:szCs w:val="22"/>
        </w:rPr>
        <w:t>6</w:t>
      </w:r>
      <w:r w:rsidR="007814C9">
        <w:rPr>
          <w:b w:val="0"/>
          <w:sz w:val="22"/>
          <w:szCs w:val="22"/>
        </w:rPr>
        <w:t> </w:t>
      </w:r>
      <w:r w:rsidR="00743A1F">
        <w:rPr>
          <w:b w:val="0"/>
          <w:sz w:val="22"/>
          <w:szCs w:val="22"/>
        </w:rPr>
        <w:t>721</w:t>
      </w:r>
      <w:r w:rsidRPr="00907622">
        <w:rPr>
          <w:b w:val="0"/>
          <w:bCs w:val="0"/>
          <w:sz w:val="22"/>
          <w:szCs w:val="22"/>
        </w:rPr>
        <w:t> tis. eur.</w:t>
      </w:r>
      <w:r w:rsidR="006F779C">
        <w:rPr>
          <w:b w:val="0"/>
          <w:sz w:val="22"/>
          <w:szCs w:val="22"/>
        </w:rPr>
        <w:t xml:space="preserve"> </w:t>
      </w:r>
    </w:p>
    <w:p w14:paraId="2EAD2B39" w14:textId="7AA07AD1" w:rsidR="00647542" w:rsidRPr="00907622" w:rsidRDefault="00647542" w:rsidP="00647542">
      <w:pPr>
        <w:pStyle w:val="Popis"/>
        <w:keepNext/>
        <w:rPr>
          <w:noProof/>
        </w:rPr>
      </w:pPr>
      <w:r w:rsidRPr="00907622">
        <w:t xml:space="preserve">Tabuľka </w:t>
      </w:r>
      <w:r w:rsidRPr="00907622">
        <w:fldChar w:fldCharType="begin"/>
      </w:r>
      <w:r w:rsidRPr="00907622">
        <w:instrText xml:space="preserve"> SEQ Tabuľka \* ARABIC </w:instrText>
      </w:r>
      <w:r w:rsidRPr="00907622">
        <w:fldChar w:fldCharType="separate"/>
      </w:r>
      <w:r w:rsidRPr="00907622">
        <w:rPr>
          <w:noProof/>
        </w:rPr>
        <w:t>11</w:t>
      </w:r>
      <w:r w:rsidRPr="00907622">
        <w:rPr>
          <w:noProof/>
        </w:rPr>
        <w:fldChar w:fldCharType="end"/>
      </w:r>
    </w:p>
    <w:tbl>
      <w:tblPr>
        <w:tblW w:w="5000" w:type="pct"/>
        <w:jc w:val="center"/>
        <w:tblCellMar>
          <w:left w:w="70" w:type="dxa"/>
          <w:right w:w="70" w:type="dxa"/>
        </w:tblCellMar>
        <w:tblLook w:val="04A0" w:firstRow="1" w:lastRow="0" w:firstColumn="1" w:lastColumn="0" w:noHBand="0" w:noVBand="1"/>
      </w:tblPr>
      <w:tblGrid>
        <w:gridCol w:w="5016"/>
        <w:gridCol w:w="1351"/>
        <w:gridCol w:w="1351"/>
        <w:gridCol w:w="1353"/>
      </w:tblGrid>
      <w:tr w:rsidR="00541071" w:rsidRPr="00541071" w14:paraId="277EEF1F" w14:textId="77777777" w:rsidTr="0085799C">
        <w:trPr>
          <w:trHeight w:val="227"/>
          <w:jc w:val="center"/>
        </w:trPr>
        <w:tc>
          <w:tcPr>
            <w:tcW w:w="2719" w:type="pct"/>
            <w:tcBorders>
              <w:top w:val="single" w:sz="4" w:space="0" w:color="auto"/>
              <w:left w:val="nil"/>
              <w:bottom w:val="single" w:sz="4" w:space="0" w:color="auto"/>
              <w:right w:val="nil"/>
            </w:tcBorders>
            <w:shd w:val="clear" w:color="000000" w:fill="F4B084"/>
            <w:noWrap/>
            <w:vAlign w:val="center"/>
            <w:hideMark/>
          </w:tcPr>
          <w:p w14:paraId="1D4269D5" w14:textId="77777777" w:rsidR="00541071" w:rsidRPr="00541071" w:rsidRDefault="00541071" w:rsidP="00541071">
            <w:pPr>
              <w:spacing w:after="0" w:line="240" w:lineRule="auto"/>
              <w:rPr>
                <w:rFonts w:ascii="Times New Roman" w:hAnsi="Times New Roman"/>
                <w:b/>
                <w:bCs/>
                <w:color w:val="000000"/>
                <w:sz w:val="18"/>
                <w:szCs w:val="18"/>
                <w:lang w:eastAsia="sk-SK"/>
              </w:rPr>
            </w:pPr>
            <w:r w:rsidRPr="00541071">
              <w:rPr>
                <w:rFonts w:ascii="Times New Roman" w:hAnsi="Times New Roman"/>
                <w:b/>
                <w:bCs/>
                <w:color w:val="000000"/>
                <w:sz w:val="18"/>
                <w:szCs w:val="18"/>
                <w:lang w:eastAsia="sk-SK"/>
              </w:rPr>
              <w:t>Finančné účty a krátkodobý finančný majetok súhrnného celku</w:t>
            </w:r>
          </w:p>
        </w:tc>
        <w:tc>
          <w:tcPr>
            <w:tcW w:w="760" w:type="pct"/>
            <w:tcBorders>
              <w:top w:val="single" w:sz="4" w:space="0" w:color="auto"/>
              <w:left w:val="nil"/>
              <w:bottom w:val="single" w:sz="4" w:space="0" w:color="auto"/>
              <w:right w:val="nil"/>
            </w:tcBorders>
            <w:shd w:val="clear" w:color="000000" w:fill="F4B084"/>
            <w:noWrap/>
            <w:vAlign w:val="center"/>
            <w:hideMark/>
          </w:tcPr>
          <w:p w14:paraId="17E2C0EF" w14:textId="77777777" w:rsidR="00541071" w:rsidRPr="00541071" w:rsidRDefault="00541071" w:rsidP="00541071">
            <w:pPr>
              <w:spacing w:after="0" w:line="240" w:lineRule="auto"/>
              <w:rPr>
                <w:rFonts w:ascii="Times New Roman" w:hAnsi="Times New Roman"/>
                <w:b/>
                <w:bCs/>
                <w:color w:val="000000"/>
                <w:sz w:val="18"/>
                <w:szCs w:val="18"/>
                <w:lang w:eastAsia="sk-SK"/>
              </w:rPr>
            </w:pPr>
            <w:r w:rsidRPr="00541071">
              <w:rPr>
                <w:rFonts w:ascii="Times New Roman" w:hAnsi="Times New Roman"/>
                <w:b/>
                <w:bCs/>
                <w:color w:val="000000"/>
                <w:sz w:val="18"/>
                <w:szCs w:val="18"/>
                <w:lang w:eastAsia="sk-SK"/>
              </w:rPr>
              <w:t> </w:t>
            </w:r>
          </w:p>
        </w:tc>
        <w:tc>
          <w:tcPr>
            <w:tcW w:w="760" w:type="pct"/>
            <w:tcBorders>
              <w:top w:val="single" w:sz="4" w:space="0" w:color="auto"/>
              <w:left w:val="nil"/>
              <w:bottom w:val="single" w:sz="4" w:space="0" w:color="auto"/>
              <w:right w:val="nil"/>
            </w:tcBorders>
            <w:shd w:val="clear" w:color="000000" w:fill="F4B084"/>
            <w:noWrap/>
            <w:vAlign w:val="center"/>
            <w:hideMark/>
          </w:tcPr>
          <w:p w14:paraId="71105F45" w14:textId="77777777" w:rsidR="00541071" w:rsidRPr="00541071" w:rsidRDefault="00541071" w:rsidP="00541071">
            <w:pPr>
              <w:spacing w:after="0" w:line="240" w:lineRule="auto"/>
              <w:jc w:val="center"/>
              <w:rPr>
                <w:rFonts w:ascii="Times New Roman" w:hAnsi="Times New Roman"/>
                <w:b/>
                <w:bCs/>
                <w:color w:val="000000"/>
                <w:sz w:val="18"/>
                <w:szCs w:val="18"/>
                <w:lang w:eastAsia="sk-SK"/>
              </w:rPr>
            </w:pPr>
            <w:r w:rsidRPr="00541071">
              <w:rPr>
                <w:rFonts w:ascii="Times New Roman" w:hAnsi="Times New Roman"/>
                <w:b/>
                <w:bCs/>
                <w:color w:val="000000"/>
                <w:sz w:val="18"/>
                <w:szCs w:val="18"/>
                <w:lang w:eastAsia="sk-SK"/>
              </w:rPr>
              <w:t>(v tis. eur)</w:t>
            </w:r>
          </w:p>
        </w:tc>
        <w:tc>
          <w:tcPr>
            <w:tcW w:w="760" w:type="pct"/>
            <w:tcBorders>
              <w:top w:val="single" w:sz="4" w:space="0" w:color="auto"/>
              <w:left w:val="nil"/>
              <w:bottom w:val="single" w:sz="4" w:space="0" w:color="auto"/>
              <w:right w:val="nil"/>
            </w:tcBorders>
            <w:shd w:val="clear" w:color="000000" w:fill="F4B084"/>
            <w:noWrap/>
            <w:vAlign w:val="center"/>
            <w:hideMark/>
          </w:tcPr>
          <w:p w14:paraId="1C23E117" w14:textId="77777777" w:rsidR="00541071" w:rsidRPr="00541071" w:rsidRDefault="00541071" w:rsidP="00541071">
            <w:pPr>
              <w:spacing w:after="0" w:line="240" w:lineRule="auto"/>
              <w:rPr>
                <w:rFonts w:ascii="Times New Roman" w:hAnsi="Times New Roman"/>
                <w:b/>
                <w:bCs/>
                <w:color w:val="000000"/>
                <w:sz w:val="18"/>
                <w:szCs w:val="18"/>
                <w:lang w:eastAsia="sk-SK"/>
              </w:rPr>
            </w:pPr>
            <w:r w:rsidRPr="00541071">
              <w:rPr>
                <w:rFonts w:ascii="Times New Roman" w:hAnsi="Times New Roman"/>
                <w:b/>
                <w:bCs/>
                <w:color w:val="000000"/>
                <w:sz w:val="18"/>
                <w:szCs w:val="18"/>
                <w:lang w:eastAsia="sk-SK"/>
              </w:rPr>
              <w:t> </w:t>
            </w:r>
          </w:p>
        </w:tc>
      </w:tr>
      <w:tr w:rsidR="00541071" w:rsidRPr="00541071" w14:paraId="3FB13CDA" w14:textId="77777777" w:rsidTr="0085799C">
        <w:trPr>
          <w:trHeight w:val="227"/>
          <w:jc w:val="center"/>
        </w:trPr>
        <w:tc>
          <w:tcPr>
            <w:tcW w:w="2719" w:type="pct"/>
            <w:tcBorders>
              <w:top w:val="nil"/>
              <w:left w:val="nil"/>
              <w:bottom w:val="single" w:sz="4" w:space="0" w:color="auto"/>
              <w:right w:val="nil"/>
            </w:tcBorders>
            <w:shd w:val="clear" w:color="000000" w:fill="BDD7EE"/>
            <w:noWrap/>
            <w:vAlign w:val="center"/>
            <w:hideMark/>
          </w:tcPr>
          <w:p w14:paraId="4BA841D7" w14:textId="77777777" w:rsidR="00541071" w:rsidRPr="00541071" w:rsidRDefault="00541071" w:rsidP="00541071">
            <w:pPr>
              <w:spacing w:after="0" w:line="240" w:lineRule="auto"/>
              <w:rPr>
                <w:rFonts w:ascii="Times New Roman" w:hAnsi="Times New Roman"/>
                <w:b/>
                <w:bCs/>
                <w:color w:val="000000"/>
                <w:sz w:val="18"/>
                <w:szCs w:val="18"/>
                <w:lang w:eastAsia="sk-SK"/>
              </w:rPr>
            </w:pPr>
            <w:r w:rsidRPr="00541071">
              <w:rPr>
                <w:rFonts w:ascii="Times New Roman" w:hAnsi="Times New Roman"/>
                <w:b/>
                <w:bCs/>
                <w:color w:val="000000"/>
                <w:sz w:val="18"/>
                <w:szCs w:val="18"/>
                <w:lang w:eastAsia="sk-SK"/>
              </w:rPr>
              <w:t>Finančné účty</w:t>
            </w:r>
          </w:p>
        </w:tc>
        <w:tc>
          <w:tcPr>
            <w:tcW w:w="760" w:type="pct"/>
            <w:tcBorders>
              <w:top w:val="nil"/>
              <w:left w:val="nil"/>
              <w:bottom w:val="single" w:sz="4" w:space="0" w:color="auto"/>
              <w:right w:val="nil"/>
            </w:tcBorders>
            <w:shd w:val="clear" w:color="000000" w:fill="BDD7EE"/>
            <w:noWrap/>
            <w:vAlign w:val="center"/>
            <w:hideMark/>
          </w:tcPr>
          <w:p w14:paraId="10F2BD2F" w14:textId="77777777" w:rsidR="00541071" w:rsidRPr="00541071" w:rsidRDefault="00541071" w:rsidP="00541071">
            <w:pPr>
              <w:spacing w:after="0" w:line="240" w:lineRule="auto"/>
              <w:jc w:val="center"/>
              <w:rPr>
                <w:rFonts w:ascii="Times New Roman" w:hAnsi="Times New Roman"/>
                <w:b/>
                <w:bCs/>
                <w:color w:val="000000"/>
                <w:sz w:val="18"/>
                <w:szCs w:val="18"/>
                <w:lang w:eastAsia="sk-SK"/>
              </w:rPr>
            </w:pPr>
            <w:r w:rsidRPr="00541071">
              <w:rPr>
                <w:rFonts w:ascii="Times New Roman" w:hAnsi="Times New Roman"/>
                <w:b/>
                <w:bCs/>
                <w:color w:val="000000"/>
                <w:sz w:val="18"/>
                <w:szCs w:val="18"/>
                <w:lang w:eastAsia="sk-SK"/>
              </w:rPr>
              <w:t>2024</w:t>
            </w:r>
          </w:p>
        </w:tc>
        <w:tc>
          <w:tcPr>
            <w:tcW w:w="760" w:type="pct"/>
            <w:tcBorders>
              <w:top w:val="nil"/>
              <w:left w:val="nil"/>
              <w:bottom w:val="single" w:sz="4" w:space="0" w:color="auto"/>
              <w:right w:val="nil"/>
            </w:tcBorders>
            <w:shd w:val="clear" w:color="000000" w:fill="BDD7EE"/>
            <w:noWrap/>
            <w:vAlign w:val="center"/>
            <w:hideMark/>
          </w:tcPr>
          <w:p w14:paraId="4B507303" w14:textId="77777777" w:rsidR="00541071" w:rsidRPr="00541071" w:rsidRDefault="00541071" w:rsidP="00541071">
            <w:pPr>
              <w:spacing w:after="0" w:line="240" w:lineRule="auto"/>
              <w:jc w:val="center"/>
              <w:rPr>
                <w:rFonts w:ascii="Times New Roman" w:hAnsi="Times New Roman"/>
                <w:b/>
                <w:bCs/>
                <w:color w:val="000000"/>
                <w:sz w:val="18"/>
                <w:szCs w:val="18"/>
                <w:lang w:eastAsia="sk-SK"/>
              </w:rPr>
            </w:pPr>
            <w:r w:rsidRPr="00541071">
              <w:rPr>
                <w:rFonts w:ascii="Times New Roman" w:hAnsi="Times New Roman"/>
                <w:b/>
                <w:bCs/>
                <w:color w:val="000000"/>
                <w:sz w:val="18"/>
                <w:szCs w:val="18"/>
                <w:lang w:eastAsia="sk-SK"/>
              </w:rPr>
              <w:t>2023</w:t>
            </w:r>
          </w:p>
        </w:tc>
        <w:tc>
          <w:tcPr>
            <w:tcW w:w="760" w:type="pct"/>
            <w:tcBorders>
              <w:top w:val="nil"/>
              <w:left w:val="nil"/>
              <w:bottom w:val="single" w:sz="4" w:space="0" w:color="auto"/>
              <w:right w:val="nil"/>
            </w:tcBorders>
            <w:shd w:val="clear" w:color="000000" w:fill="BDD7EE"/>
            <w:vAlign w:val="center"/>
            <w:hideMark/>
          </w:tcPr>
          <w:p w14:paraId="68592A1B" w14:textId="77777777" w:rsidR="00541071" w:rsidRPr="00541071" w:rsidRDefault="00541071" w:rsidP="00541071">
            <w:pPr>
              <w:spacing w:after="0" w:line="240" w:lineRule="auto"/>
              <w:jc w:val="center"/>
              <w:rPr>
                <w:rFonts w:ascii="Times New Roman" w:hAnsi="Times New Roman"/>
                <w:b/>
                <w:bCs/>
                <w:color w:val="000000"/>
                <w:sz w:val="18"/>
                <w:szCs w:val="18"/>
                <w:lang w:eastAsia="sk-SK"/>
              </w:rPr>
            </w:pPr>
            <w:r w:rsidRPr="00541071">
              <w:rPr>
                <w:rFonts w:ascii="Times New Roman" w:hAnsi="Times New Roman"/>
                <w:b/>
                <w:bCs/>
                <w:color w:val="000000"/>
                <w:sz w:val="18"/>
                <w:szCs w:val="18"/>
                <w:lang w:eastAsia="sk-SK"/>
              </w:rPr>
              <w:t>Δ 2024-2023</w:t>
            </w:r>
          </w:p>
        </w:tc>
      </w:tr>
      <w:tr w:rsidR="00541071" w:rsidRPr="00541071" w14:paraId="0F5B8836" w14:textId="77777777" w:rsidTr="0085799C">
        <w:trPr>
          <w:trHeight w:val="227"/>
          <w:jc w:val="center"/>
        </w:trPr>
        <w:tc>
          <w:tcPr>
            <w:tcW w:w="2719" w:type="pct"/>
            <w:tcBorders>
              <w:top w:val="nil"/>
              <w:left w:val="nil"/>
              <w:bottom w:val="nil"/>
              <w:right w:val="nil"/>
            </w:tcBorders>
            <w:vAlign w:val="center"/>
            <w:hideMark/>
          </w:tcPr>
          <w:p w14:paraId="0D785861" w14:textId="77777777" w:rsidR="00541071" w:rsidRPr="00541071" w:rsidRDefault="00541071" w:rsidP="00541071">
            <w:pPr>
              <w:spacing w:after="0" w:line="240" w:lineRule="auto"/>
              <w:rPr>
                <w:rFonts w:ascii="Times New Roman" w:hAnsi="Times New Roman"/>
                <w:color w:val="000000"/>
                <w:sz w:val="18"/>
                <w:szCs w:val="18"/>
                <w:lang w:eastAsia="sk-SK"/>
              </w:rPr>
            </w:pPr>
            <w:r w:rsidRPr="00541071">
              <w:rPr>
                <w:rFonts w:ascii="Times New Roman" w:hAnsi="Times New Roman"/>
                <w:color w:val="000000"/>
                <w:sz w:val="18"/>
                <w:szCs w:val="18"/>
                <w:lang w:eastAsia="sk-SK"/>
              </w:rPr>
              <w:t>Bankové účty</w:t>
            </w:r>
          </w:p>
        </w:tc>
        <w:tc>
          <w:tcPr>
            <w:tcW w:w="760" w:type="pct"/>
            <w:tcBorders>
              <w:top w:val="nil"/>
              <w:left w:val="nil"/>
              <w:bottom w:val="nil"/>
              <w:right w:val="nil"/>
            </w:tcBorders>
            <w:vAlign w:val="center"/>
            <w:hideMark/>
          </w:tcPr>
          <w:p w14:paraId="5CE34B44" w14:textId="77777777" w:rsidR="00541071" w:rsidRPr="00541071" w:rsidRDefault="00541071" w:rsidP="00541071">
            <w:pPr>
              <w:spacing w:after="0" w:line="240" w:lineRule="auto"/>
              <w:jc w:val="right"/>
              <w:rPr>
                <w:rFonts w:ascii="Times New Roman" w:hAnsi="Times New Roman"/>
                <w:color w:val="000000"/>
                <w:sz w:val="18"/>
                <w:szCs w:val="18"/>
                <w:lang w:eastAsia="sk-SK"/>
              </w:rPr>
            </w:pPr>
            <w:r w:rsidRPr="00541071">
              <w:rPr>
                <w:rFonts w:ascii="Times New Roman" w:hAnsi="Times New Roman"/>
                <w:color w:val="000000"/>
                <w:sz w:val="18"/>
                <w:szCs w:val="18"/>
                <w:lang w:eastAsia="sk-SK"/>
              </w:rPr>
              <w:t>4 920 469</w:t>
            </w:r>
          </w:p>
        </w:tc>
        <w:tc>
          <w:tcPr>
            <w:tcW w:w="760" w:type="pct"/>
            <w:tcBorders>
              <w:top w:val="nil"/>
              <w:left w:val="nil"/>
              <w:bottom w:val="nil"/>
              <w:right w:val="nil"/>
            </w:tcBorders>
            <w:vAlign w:val="center"/>
            <w:hideMark/>
          </w:tcPr>
          <w:p w14:paraId="16CB5B3A" w14:textId="77777777" w:rsidR="00541071" w:rsidRPr="00541071" w:rsidRDefault="00541071" w:rsidP="00541071">
            <w:pPr>
              <w:spacing w:after="0" w:line="240" w:lineRule="auto"/>
              <w:jc w:val="right"/>
              <w:rPr>
                <w:rFonts w:ascii="Times New Roman" w:hAnsi="Times New Roman"/>
                <w:color w:val="000000"/>
                <w:sz w:val="18"/>
                <w:szCs w:val="18"/>
                <w:lang w:eastAsia="sk-SK"/>
              </w:rPr>
            </w:pPr>
            <w:r w:rsidRPr="00541071">
              <w:rPr>
                <w:rFonts w:ascii="Times New Roman" w:hAnsi="Times New Roman"/>
                <w:color w:val="000000"/>
                <w:sz w:val="18"/>
                <w:szCs w:val="18"/>
                <w:lang w:eastAsia="sk-SK"/>
              </w:rPr>
              <w:t>4 434 493</w:t>
            </w:r>
          </w:p>
        </w:tc>
        <w:tc>
          <w:tcPr>
            <w:tcW w:w="760" w:type="pct"/>
            <w:tcBorders>
              <w:top w:val="nil"/>
              <w:left w:val="nil"/>
              <w:bottom w:val="nil"/>
              <w:right w:val="nil"/>
            </w:tcBorders>
            <w:vAlign w:val="center"/>
            <w:hideMark/>
          </w:tcPr>
          <w:p w14:paraId="12778CA6" w14:textId="77777777" w:rsidR="00541071" w:rsidRPr="00541071" w:rsidRDefault="00541071" w:rsidP="00541071">
            <w:pPr>
              <w:spacing w:after="0" w:line="240" w:lineRule="auto"/>
              <w:jc w:val="right"/>
              <w:rPr>
                <w:rFonts w:ascii="Times New Roman" w:hAnsi="Times New Roman"/>
                <w:color w:val="000000"/>
                <w:sz w:val="18"/>
                <w:szCs w:val="18"/>
                <w:lang w:eastAsia="sk-SK"/>
              </w:rPr>
            </w:pPr>
            <w:r w:rsidRPr="00541071">
              <w:rPr>
                <w:rFonts w:ascii="Times New Roman" w:hAnsi="Times New Roman"/>
                <w:color w:val="000000"/>
                <w:sz w:val="18"/>
                <w:szCs w:val="18"/>
                <w:lang w:eastAsia="sk-SK"/>
              </w:rPr>
              <w:t>485 976</w:t>
            </w:r>
          </w:p>
        </w:tc>
      </w:tr>
      <w:tr w:rsidR="00541071" w:rsidRPr="00541071" w14:paraId="2F4284A9" w14:textId="77777777" w:rsidTr="0085799C">
        <w:trPr>
          <w:trHeight w:val="227"/>
          <w:jc w:val="center"/>
        </w:trPr>
        <w:tc>
          <w:tcPr>
            <w:tcW w:w="2719" w:type="pct"/>
            <w:tcBorders>
              <w:top w:val="nil"/>
              <w:left w:val="nil"/>
              <w:bottom w:val="nil"/>
              <w:right w:val="nil"/>
            </w:tcBorders>
            <w:vAlign w:val="center"/>
            <w:hideMark/>
          </w:tcPr>
          <w:p w14:paraId="4585332B" w14:textId="77777777" w:rsidR="00541071" w:rsidRPr="00541071" w:rsidRDefault="00541071" w:rsidP="00541071">
            <w:pPr>
              <w:spacing w:after="0" w:line="240" w:lineRule="auto"/>
              <w:rPr>
                <w:rFonts w:ascii="Times New Roman" w:hAnsi="Times New Roman"/>
                <w:color w:val="000000"/>
                <w:sz w:val="18"/>
                <w:szCs w:val="18"/>
                <w:lang w:eastAsia="sk-SK"/>
              </w:rPr>
            </w:pPr>
            <w:r w:rsidRPr="00541071">
              <w:rPr>
                <w:rFonts w:ascii="Times New Roman" w:hAnsi="Times New Roman"/>
                <w:color w:val="000000"/>
                <w:sz w:val="18"/>
                <w:szCs w:val="18"/>
                <w:lang w:eastAsia="sk-SK"/>
              </w:rPr>
              <w:t>Pokladnica a ceniny</w:t>
            </w:r>
          </w:p>
        </w:tc>
        <w:tc>
          <w:tcPr>
            <w:tcW w:w="760" w:type="pct"/>
            <w:tcBorders>
              <w:top w:val="nil"/>
              <w:left w:val="nil"/>
              <w:bottom w:val="nil"/>
              <w:right w:val="nil"/>
            </w:tcBorders>
            <w:vAlign w:val="center"/>
            <w:hideMark/>
          </w:tcPr>
          <w:p w14:paraId="2208D143" w14:textId="77777777" w:rsidR="00541071" w:rsidRPr="00541071" w:rsidRDefault="00541071" w:rsidP="00541071">
            <w:pPr>
              <w:spacing w:after="0" w:line="240" w:lineRule="auto"/>
              <w:jc w:val="right"/>
              <w:rPr>
                <w:rFonts w:ascii="Times New Roman" w:hAnsi="Times New Roman"/>
                <w:color w:val="000000"/>
                <w:sz w:val="18"/>
                <w:szCs w:val="18"/>
                <w:lang w:eastAsia="sk-SK"/>
              </w:rPr>
            </w:pPr>
            <w:r w:rsidRPr="00541071">
              <w:rPr>
                <w:rFonts w:ascii="Times New Roman" w:hAnsi="Times New Roman"/>
                <w:color w:val="000000"/>
                <w:sz w:val="18"/>
                <w:szCs w:val="18"/>
                <w:lang w:eastAsia="sk-SK"/>
              </w:rPr>
              <w:t>94 086</w:t>
            </w:r>
          </w:p>
        </w:tc>
        <w:tc>
          <w:tcPr>
            <w:tcW w:w="760" w:type="pct"/>
            <w:tcBorders>
              <w:top w:val="nil"/>
              <w:left w:val="nil"/>
              <w:bottom w:val="nil"/>
              <w:right w:val="nil"/>
            </w:tcBorders>
            <w:vAlign w:val="center"/>
            <w:hideMark/>
          </w:tcPr>
          <w:p w14:paraId="4750CC9C" w14:textId="77777777" w:rsidR="00541071" w:rsidRPr="00541071" w:rsidRDefault="00541071" w:rsidP="00541071">
            <w:pPr>
              <w:spacing w:after="0" w:line="240" w:lineRule="auto"/>
              <w:jc w:val="right"/>
              <w:rPr>
                <w:rFonts w:ascii="Times New Roman" w:hAnsi="Times New Roman"/>
                <w:color w:val="000000"/>
                <w:sz w:val="18"/>
                <w:szCs w:val="18"/>
                <w:lang w:eastAsia="sk-SK"/>
              </w:rPr>
            </w:pPr>
            <w:r w:rsidRPr="00541071">
              <w:rPr>
                <w:rFonts w:ascii="Times New Roman" w:hAnsi="Times New Roman"/>
                <w:color w:val="000000"/>
                <w:sz w:val="18"/>
                <w:szCs w:val="18"/>
                <w:lang w:eastAsia="sk-SK"/>
              </w:rPr>
              <w:t>72 083</w:t>
            </w:r>
          </w:p>
        </w:tc>
        <w:tc>
          <w:tcPr>
            <w:tcW w:w="760" w:type="pct"/>
            <w:tcBorders>
              <w:top w:val="nil"/>
              <w:left w:val="nil"/>
              <w:bottom w:val="nil"/>
              <w:right w:val="nil"/>
            </w:tcBorders>
            <w:vAlign w:val="center"/>
            <w:hideMark/>
          </w:tcPr>
          <w:p w14:paraId="01C64B47" w14:textId="77777777" w:rsidR="00541071" w:rsidRPr="00541071" w:rsidRDefault="00541071" w:rsidP="00541071">
            <w:pPr>
              <w:spacing w:after="0" w:line="240" w:lineRule="auto"/>
              <w:jc w:val="right"/>
              <w:rPr>
                <w:rFonts w:ascii="Times New Roman" w:hAnsi="Times New Roman"/>
                <w:color w:val="000000"/>
                <w:sz w:val="18"/>
                <w:szCs w:val="18"/>
                <w:lang w:eastAsia="sk-SK"/>
              </w:rPr>
            </w:pPr>
            <w:r w:rsidRPr="00541071">
              <w:rPr>
                <w:rFonts w:ascii="Times New Roman" w:hAnsi="Times New Roman"/>
                <w:color w:val="000000"/>
                <w:sz w:val="18"/>
                <w:szCs w:val="18"/>
                <w:lang w:eastAsia="sk-SK"/>
              </w:rPr>
              <w:t>22 003</w:t>
            </w:r>
          </w:p>
        </w:tc>
      </w:tr>
      <w:tr w:rsidR="00541071" w:rsidRPr="00541071" w14:paraId="2AE6821F" w14:textId="77777777" w:rsidTr="0085799C">
        <w:trPr>
          <w:trHeight w:val="227"/>
          <w:jc w:val="center"/>
        </w:trPr>
        <w:tc>
          <w:tcPr>
            <w:tcW w:w="2719" w:type="pct"/>
            <w:tcBorders>
              <w:top w:val="nil"/>
              <w:left w:val="nil"/>
              <w:bottom w:val="single" w:sz="4" w:space="0" w:color="auto"/>
              <w:right w:val="nil"/>
            </w:tcBorders>
            <w:vAlign w:val="center"/>
            <w:hideMark/>
          </w:tcPr>
          <w:p w14:paraId="25E82522" w14:textId="77777777" w:rsidR="00541071" w:rsidRPr="00541071" w:rsidRDefault="00541071" w:rsidP="00541071">
            <w:pPr>
              <w:spacing w:after="0" w:line="240" w:lineRule="auto"/>
              <w:rPr>
                <w:rFonts w:ascii="Times New Roman" w:hAnsi="Times New Roman"/>
                <w:color w:val="000000"/>
                <w:sz w:val="18"/>
                <w:szCs w:val="18"/>
                <w:lang w:eastAsia="sk-SK"/>
              </w:rPr>
            </w:pPr>
            <w:r w:rsidRPr="00541071">
              <w:rPr>
                <w:rFonts w:ascii="Times New Roman" w:hAnsi="Times New Roman"/>
                <w:color w:val="000000"/>
                <w:sz w:val="18"/>
                <w:szCs w:val="18"/>
                <w:lang w:eastAsia="sk-SK"/>
              </w:rPr>
              <w:t>Účty Štátnej pokladnice</w:t>
            </w:r>
          </w:p>
        </w:tc>
        <w:tc>
          <w:tcPr>
            <w:tcW w:w="760" w:type="pct"/>
            <w:tcBorders>
              <w:top w:val="nil"/>
              <w:left w:val="nil"/>
              <w:bottom w:val="single" w:sz="4" w:space="0" w:color="auto"/>
              <w:right w:val="nil"/>
            </w:tcBorders>
            <w:vAlign w:val="center"/>
            <w:hideMark/>
          </w:tcPr>
          <w:p w14:paraId="55E55CBF" w14:textId="77777777" w:rsidR="00541071" w:rsidRPr="00541071" w:rsidRDefault="00541071" w:rsidP="00541071">
            <w:pPr>
              <w:spacing w:after="0" w:line="240" w:lineRule="auto"/>
              <w:jc w:val="right"/>
              <w:rPr>
                <w:rFonts w:ascii="Times New Roman" w:hAnsi="Times New Roman"/>
                <w:color w:val="000000"/>
                <w:sz w:val="18"/>
                <w:szCs w:val="18"/>
                <w:lang w:eastAsia="sk-SK"/>
              </w:rPr>
            </w:pPr>
            <w:r w:rsidRPr="00541071">
              <w:rPr>
                <w:rFonts w:ascii="Times New Roman" w:hAnsi="Times New Roman"/>
                <w:color w:val="000000"/>
                <w:sz w:val="18"/>
                <w:szCs w:val="18"/>
                <w:lang w:eastAsia="sk-SK"/>
              </w:rPr>
              <w:t>23 678</w:t>
            </w:r>
          </w:p>
        </w:tc>
        <w:tc>
          <w:tcPr>
            <w:tcW w:w="760" w:type="pct"/>
            <w:tcBorders>
              <w:top w:val="nil"/>
              <w:left w:val="nil"/>
              <w:bottom w:val="single" w:sz="4" w:space="0" w:color="auto"/>
              <w:right w:val="nil"/>
            </w:tcBorders>
            <w:vAlign w:val="center"/>
            <w:hideMark/>
          </w:tcPr>
          <w:p w14:paraId="5B23EB98" w14:textId="77777777" w:rsidR="00541071" w:rsidRPr="00541071" w:rsidRDefault="00541071" w:rsidP="00541071">
            <w:pPr>
              <w:spacing w:after="0" w:line="240" w:lineRule="auto"/>
              <w:jc w:val="right"/>
              <w:rPr>
                <w:rFonts w:ascii="Times New Roman" w:hAnsi="Times New Roman"/>
                <w:color w:val="000000"/>
                <w:sz w:val="18"/>
                <w:szCs w:val="18"/>
                <w:lang w:eastAsia="sk-SK"/>
              </w:rPr>
            </w:pPr>
            <w:r w:rsidRPr="00541071">
              <w:rPr>
                <w:rFonts w:ascii="Times New Roman" w:hAnsi="Times New Roman"/>
                <w:color w:val="000000"/>
                <w:sz w:val="18"/>
                <w:szCs w:val="18"/>
                <w:lang w:eastAsia="sk-SK"/>
              </w:rPr>
              <w:t>520 399</w:t>
            </w:r>
          </w:p>
        </w:tc>
        <w:tc>
          <w:tcPr>
            <w:tcW w:w="760" w:type="pct"/>
            <w:tcBorders>
              <w:top w:val="nil"/>
              <w:left w:val="nil"/>
              <w:bottom w:val="single" w:sz="4" w:space="0" w:color="auto"/>
              <w:right w:val="nil"/>
            </w:tcBorders>
            <w:vAlign w:val="center"/>
            <w:hideMark/>
          </w:tcPr>
          <w:p w14:paraId="0C1208C1" w14:textId="77777777" w:rsidR="00541071" w:rsidRPr="00541071" w:rsidRDefault="00541071" w:rsidP="00541071">
            <w:pPr>
              <w:spacing w:after="0" w:line="240" w:lineRule="auto"/>
              <w:jc w:val="right"/>
              <w:rPr>
                <w:rFonts w:ascii="Times New Roman" w:hAnsi="Times New Roman"/>
                <w:color w:val="000000"/>
                <w:sz w:val="18"/>
                <w:szCs w:val="18"/>
                <w:lang w:eastAsia="sk-SK"/>
              </w:rPr>
            </w:pPr>
            <w:r w:rsidRPr="00541071">
              <w:rPr>
                <w:rFonts w:ascii="Times New Roman" w:hAnsi="Times New Roman"/>
                <w:color w:val="000000"/>
                <w:sz w:val="18"/>
                <w:szCs w:val="18"/>
                <w:lang w:eastAsia="sk-SK"/>
              </w:rPr>
              <w:t>-496 721</w:t>
            </w:r>
          </w:p>
        </w:tc>
      </w:tr>
      <w:tr w:rsidR="00541071" w:rsidRPr="00541071" w14:paraId="3AD34BA1" w14:textId="77777777" w:rsidTr="0085799C">
        <w:trPr>
          <w:trHeight w:val="227"/>
          <w:jc w:val="center"/>
        </w:trPr>
        <w:tc>
          <w:tcPr>
            <w:tcW w:w="2719" w:type="pct"/>
            <w:tcBorders>
              <w:top w:val="nil"/>
              <w:left w:val="nil"/>
              <w:bottom w:val="single" w:sz="4" w:space="0" w:color="auto"/>
              <w:right w:val="nil"/>
            </w:tcBorders>
            <w:vAlign w:val="center"/>
            <w:hideMark/>
          </w:tcPr>
          <w:p w14:paraId="681AA6F7" w14:textId="77777777" w:rsidR="00541071" w:rsidRPr="00541071" w:rsidRDefault="00541071" w:rsidP="00541071">
            <w:pPr>
              <w:spacing w:after="0" w:line="240" w:lineRule="auto"/>
              <w:rPr>
                <w:rFonts w:ascii="Times New Roman" w:hAnsi="Times New Roman"/>
                <w:b/>
                <w:bCs/>
                <w:color w:val="000000"/>
                <w:sz w:val="18"/>
                <w:szCs w:val="18"/>
                <w:lang w:eastAsia="sk-SK"/>
              </w:rPr>
            </w:pPr>
            <w:r w:rsidRPr="00541071">
              <w:rPr>
                <w:rFonts w:ascii="Times New Roman" w:hAnsi="Times New Roman"/>
                <w:b/>
                <w:bCs/>
                <w:color w:val="000000"/>
                <w:sz w:val="18"/>
                <w:szCs w:val="18"/>
                <w:lang w:eastAsia="sk-SK"/>
              </w:rPr>
              <w:t>Spolu</w:t>
            </w:r>
          </w:p>
        </w:tc>
        <w:tc>
          <w:tcPr>
            <w:tcW w:w="760" w:type="pct"/>
            <w:tcBorders>
              <w:top w:val="nil"/>
              <w:left w:val="nil"/>
              <w:bottom w:val="single" w:sz="4" w:space="0" w:color="auto"/>
              <w:right w:val="nil"/>
            </w:tcBorders>
            <w:vAlign w:val="center"/>
            <w:hideMark/>
          </w:tcPr>
          <w:p w14:paraId="61844B6A" w14:textId="02F759E2" w:rsidR="00541071" w:rsidRPr="00541071" w:rsidRDefault="005C3EFB" w:rsidP="00541071">
            <w:pPr>
              <w:spacing w:after="0" w:line="240" w:lineRule="auto"/>
              <w:jc w:val="right"/>
              <w:rPr>
                <w:rFonts w:ascii="Times New Roman" w:hAnsi="Times New Roman"/>
                <w:b/>
                <w:bCs/>
                <w:color w:val="000000"/>
                <w:sz w:val="18"/>
                <w:szCs w:val="18"/>
                <w:lang w:eastAsia="sk-SK"/>
              </w:rPr>
            </w:pPr>
            <w:r>
              <w:rPr>
                <w:rFonts w:ascii="Times New Roman" w:hAnsi="Times New Roman"/>
                <w:b/>
                <w:bCs/>
                <w:color w:val="000000"/>
                <w:sz w:val="18"/>
                <w:szCs w:val="18"/>
                <w:lang w:eastAsia="sk-SK"/>
              </w:rPr>
              <w:t>5 038 233</w:t>
            </w:r>
          </w:p>
        </w:tc>
        <w:tc>
          <w:tcPr>
            <w:tcW w:w="760" w:type="pct"/>
            <w:tcBorders>
              <w:top w:val="nil"/>
              <w:left w:val="nil"/>
              <w:bottom w:val="single" w:sz="4" w:space="0" w:color="auto"/>
              <w:right w:val="nil"/>
            </w:tcBorders>
            <w:vAlign w:val="center"/>
            <w:hideMark/>
          </w:tcPr>
          <w:p w14:paraId="2B4DFAC0" w14:textId="3B0D9DFF" w:rsidR="00541071" w:rsidRPr="00541071" w:rsidRDefault="005C3EFB" w:rsidP="00541071">
            <w:pPr>
              <w:spacing w:after="0" w:line="240" w:lineRule="auto"/>
              <w:jc w:val="right"/>
              <w:rPr>
                <w:rFonts w:ascii="Times New Roman" w:hAnsi="Times New Roman"/>
                <w:b/>
                <w:bCs/>
                <w:color w:val="000000"/>
                <w:sz w:val="18"/>
                <w:szCs w:val="18"/>
                <w:lang w:eastAsia="sk-SK"/>
              </w:rPr>
            </w:pPr>
            <w:r>
              <w:rPr>
                <w:rFonts w:ascii="Times New Roman" w:hAnsi="Times New Roman"/>
                <w:b/>
                <w:bCs/>
                <w:color w:val="000000"/>
                <w:sz w:val="18"/>
                <w:szCs w:val="18"/>
                <w:lang w:eastAsia="sk-SK"/>
              </w:rPr>
              <w:t>5 026 975</w:t>
            </w:r>
          </w:p>
        </w:tc>
        <w:tc>
          <w:tcPr>
            <w:tcW w:w="760" w:type="pct"/>
            <w:tcBorders>
              <w:top w:val="nil"/>
              <w:left w:val="nil"/>
              <w:bottom w:val="single" w:sz="4" w:space="0" w:color="auto"/>
              <w:right w:val="nil"/>
            </w:tcBorders>
            <w:vAlign w:val="center"/>
            <w:hideMark/>
          </w:tcPr>
          <w:p w14:paraId="69995809" w14:textId="14730014" w:rsidR="00541071" w:rsidRPr="00541071" w:rsidRDefault="005C3EFB" w:rsidP="00541071">
            <w:pPr>
              <w:spacing w:after="0" w:line="240" w:lineRule="auto"/>
              <w:jc w:val="right"/>
              <w:rPr>
                <w:rFonts w:ascii="Times New Roman" w:hAnsi="Times New Roman"/>
                <w:b/>
                <w:bCs/>
                <w:color w:val="000000"/>
                <w:sz w:val="18"/>
                <w:szCs w:val="18"/>
                <w:lang w:eastAsia="sk-SK"/>
              </w:rPr>
            </w:pPr>
            <w:r>
              <w:rPr>
                <w:rFonts w:ascii="Times New Roman" w:hAnsi="Times New Roman"/>
                <w:b/>
                <w:bCs/>
                <w:color w:val="000000"/>
                <w:sz w:val="18"/>
                <w:szCs w:val="18"/>
                <w:lang w:eastAsia="sk-SK"/>
              </w:rPr>
              <w:t>11 258</w:t>
            </w:r>
          </w:p>
        </w:tc>
      </w:tr>
      <w:tr w:rsidR="00541071" w:rsidRPr="00541071" w14:paraId="0CE8DB53" w14:textId="77777777" w:rsidTr="0085799C">
        <w:trPr>
          <w:trHeight w:val="227"/>
          <w:jc w:val="center"/>
        </w:trPr>
        <w:tc>
          <w:tcPr>
            <w:tcW w:w="2719" w:type="pct"/>
            <w:tcBorders>
              <w:top w:val="nil"/>
              <w:left w:val="nil"/>
              <w:bottom w:val="single" w:sz="4" w:space="0" w:color="auto"/>
              <w:right w:val="nil"/>
            </w:tcBorders>
            <w:shd w:val="clear" w:color="000000" w:fill="BDD7EE"/>
            <w:vAlign w:val="center"/>
            <w:hideMark/>
          </w:tcPr>
          <w:p w14:paraId="57092AB7" w14:textId="77777777" w:rsidR="00541071" w:rsidRPr="00541071" w:rsidRDefault="00541071" w:rsidP="00541071">
            <w:pPr>
              <w:spacing w:after="0" w:line="240" w:lineRule="auto"/>
              <w:rPr>
                <w:rFonts w:ascii="Times New Roman" w:hAnsi="Times New Roman"/>
                <w:b/>
                <w:bCs/>
                <w:color w:val="000000"/>
                <w:sz w:val="18"/>
                <w:szCs w:val="18"/>
                <w:lang w:eastAsia="sk-SK"/>
              </w:rPr>
            </w:pPr>
            <w:r w:rsidRPr="00541071">
              <w:rPr>
                <w:rFonts w:ascii="Times New Roman" w:hAnsi="Times New Roman"/>
                <w:b/>
                <w:bCs/>
                <w:color w:val="000000"/>
                <w:sz w:val="18"/>
                <w:szCs w:val="18"/>
                <w:lang w:eastAsia="sk-SK"/>
              </w:rPr>
              <w:t>Krátkodobý finančný majetok</w:t>
            </w:r>
          </w:p>
        </w:tc>
        <w:tc>
          <w:tcPr>
            <w:tcW w:w="760" w:type="pct"/>
            <w:tcBorders>
              <w:top w:val="nil"/>
              <w:left w:val="nil"/>
              <w:bottom w:val="single" w:sz="4" w:space="0" w:color="auto"/>
              <w:right w:val="nil"/>
            </w:tcBorders>
            <w:shd w:val="clear" w:color="000000" w:fill="BDD7EE"/>
            <w:vAlign w:val="center"/>
            <w:hideMark/>
          </w:tcPr>
          <w:p w14:paraId="15B89669" w14:textId="77777777" w:rsidR="00541071" w:rsidRPr="00541071" w:rsidRDefault="00541071" w:rsidP="00541071">
            <w:pPr>
              <w:spacing w:after="0" w:line="240" w:lineRule="auto"/>
              <w:jc w:val="center"/>
              <w:rPr>
                <w:rFonts w:ascii="Times New Roman" w:hAnsi="Times New Roman"/>
                <w:b/>
                <w:bCs/>
                <w:color w:val="000000"/>
                <w:sz w:val="18"/>
                <w:szCs w:val="18"/>
                <w:lang w:eastAsia="sk-SK"/>
              </w:rPr>
            </w:pPr>
            <w:r w:rsidRPr="00541071">
              <w:rPr>
                <w:rFonts w:ascii="Times New Roman" w:hAnsi="Times New Roman"/>
                <w:b/>
                <w:bCs/>
                <w:color w:val="000000"/>
                <w:sz w:val="18"/>
                <w:szCs w:val="18"/>
                <w:lang w:eastAsia="sk-SK"/>
              </w:rPr>
              <w:t>2024</w:t>
            </w:r>
          </w:p>
        </w:tc>
        <w:tc>
          <w:tcPr>
            <w:tcW w:w="760" w:type="pct"/>
            <w:tcBorders>
              <w:top w:val="nil"/>
              <w:left w:val="nil"/>
              <w:bottom w:val="single" w:sz="4" w:space="0" w:color="auto"/>
              <w:right w:val="nil"/>
            </w:tcBorders>
            <w:shd w:val="clear" w:color="000000" w:fill="BDD7EE"/>
            <w:vAlign w:val="center"/>
            <w:hideMark/>
          </w:tcPr>
          <w:p w14:paraId="656EEB25" w14:textId="77777777" w:rsidR="00541071" w:rsidRPr="00541071" w:rsidRDefault="00541071" w:rsidP="00541071">
            <w:pPr>
              <w:spacing w:after="0" w:line="240" w:lineRule="auto"/>
              <w:jc w:val="center"/>
              <w:rPr>
                <w:rFonts w:ascii="Times New Roman" w:hAnsi="Times New Roman"/>
                <w:b/>
                <w:bCs/>
                <w:color w:val="000000"/>
                <w:sz w:val="18"/>
                <w:szCs w:val="18"/>
                <w:lang w:eastAsia="sk-SK"/>
              </w:rPr>
            </w:pPr>
            <w:r w:rsidRPr="00541071">
              <w:rPr>
                <w:rFonts w:ascii="Times New Roman" w:hAnsi="Times New Roman"/>
                <w:b/>
                <w:bCs/>
                <w:color w:val="000000"/>
                <w:sz w:val="18"/>
                <w:szCs w:val="18"/>
                <w:lang w:eastAsia="sk-SK"/>
              </w:rPr>
              <w:t>2023</w:t>
            </w:r>
          </w:p>
        </w:tc>
        <w:tc>
          <w:tcPr>
            <w:tcW w:w="760" w:type="pct"/>
            <w:tcBorders>
              <w:top w:val="nil"/>
              <w:left w:val="nil"/>
              <w:bottom w:val="single" w:sz="4" w:space="0" w:color="auto"/>
              <w:right w:val="nil"/>
            </w:tcBorders>
            <w:shd w:val="clear" w:color="000000" w:fill="BDD7EE"/>
            <w:vAlign w:val="center"/>
            <w:hideMark/>
          </w:tcPr>
          <w:p w14:paraId="6B3FE2B3" w14:textId="77777777" w:rsidR="00541071" w:rsidRPr="00541071" w:rsidRDefault="00541071" w:rsidP="00541071">
            <w:pPr>
              <w:spacing w:after="0" w:line="240" w:lineRule="auto"/>
              <w:jc w:val="center"/>
              <w:rPr>
                <w:rFonts w:ascii="Times New Roman" w:hAnsi="Times New Roman"/>
                <w:b/>
                <w:bCs/>
                <w:color w:val="000000"/>
                <w:sz w:val="18"/>
                <w:szCs w:val="18"/>
                <w:lang w:eastAsia="sk-SK"/>
              </w:rPr>
            </w:pPr>
            <w:r w:rsidRPr="00541071">
              <w:rPr>
                <w:rFonts w:ascii="Times New Roman" w:hAnsi="Times New Roman"/>
                <w:b/>
                <w:bCs/>
                <w:color w:val="000000"/>
                <w:sz w:val="18"/>
                <w:szCs w:val="18"/>
                <w:lang w:eastAsia="sk-SK"/>
              </w:rPr>
              <w:t>Δ 2024-2023</w:t>
            </w:r>
          </w:p>
        </w:tc>
      </w:tr>
      <w:tr w:rsidR="00541071" w:rsidRPr="00541071" w14:paraId="00D871FE" w14:textId="77777777" w:rsidTr="0085799C">
        <w:trPr>
          <w:trHeight w:val="227"/>
          <w:jc w:val="center"/>
        </w:trPr>
        <w:tc>
          <w:tcPr>
            <w:tcW w:w="2719" w:type="pct"/>
            <w:tcBorders>
              <w:top w:val="nil"/>
              <w:left w:val="nil"/>
              <w:bottom w:val="nil"/>
              <w:right w:val="nil"/>
            </w:tcBorders>
            <w:vAlign w:val="center"/>
            <w:hideMark/>
          </w:tcPr>
          <w:p w14:paraId="5C32C103" w14:textId="77777777" w:rsidR="00541071" w:rsidRPr="00541071" w:rsidRDefault="00541071" w:rsidP="00541071">
            <w:pPr>
              <w:spacing w:after="0" w:line="240" w:lineRule="auto"/>
              <w:rPr>
                <w:rFonts w:ascii="Times New Roman" w:hAnsi="Times New Roman"/>
                <w:color w:val="000000"/>
                <w:sz w:val="18"/>
                <w:szCs w:val="18"/>
                <w:lang w:eastAsia="sk-SK"/>
              </w:rPr>
            </w:pPr>
            <w:r w:rsidRPr="00541071">
              <w:rPr>
                <w:rFonts w:ascii="Times New Roman" w:hAnsi="Times New Roman"/>
                <w:color w:val="000000"/>
                <w:sz w:val="18"/>
                <w:szCs w:val="18"/>
                <w:lang w:eastAsia="sk-SK"/>
              </w:rPr>
              <w:t>Realizovateľné cenné papiere</w:t>
            </w:r>
          </w:p>
        </w:tc>
        <w:tc>
          <w:tcPr>
            <w:tcW w:w="760" w:type="pct"/>
            <w:tcBorders>
              <w:top w:val="nil"/>
              <w:left w:val="nil"/>
              <w:bottom w:val="nil"/>
              <w:right w:val="nil"/>
            </w:tcBorders>
            <w:vAlign w:val="center"/>
            <w:hideMark/>
          </w:tcPr>
          <w:p w14:paraId="22238355" w14:textId="77777777" w:rsidR="00541071" w:rsidRPr="00541071" w:rsidRDefault="00541071" w:rsidP="00541071">
            <w:pPr>
              <w:spacing w:after="0" w:line="240" w:lineRule="auto"/>
              <w:jc w:val="right"/>
              <w:rPr>
                <w:rFonts w:ascii="Times New Roman" w:hAnsi="Times New Roman"/>
                <w:color w:val="000000"/>
                <w:sz w:val="18"/>
                <w:szCs w:val="18"/>
                <w:lang w:eastAsia="sk-SK"/>
              </w:rPr>
            </w:pPr>
            <w:r w:rsidRPr="00541071">
              <w:rPr>
                <w:rFonts w:ascii="Times New Roman" w:hAnsi="Times New Roman"/>
                <w:color w:val="000000"/>
                <w:sz w:val="18"/>
                <w:szCs w:val="18"/>
                <w:lang w:eastAsia="sk-SK"/>
              </w:rPr>
              <w:t>1 799</w:t>
            </w:r>
          </w:p>
        </w:tc>
        <w:tc>
          <w:tcPr>
            <w:tcW w:w="760" w:type="pct"/>
            <w:tcBorders>
              <w:top w:val="nil"/>
              <w:left w:val="nil"/>
              <w:bottom w:val="nil"/>
              <w:right w:val="nil"/>
            </w:tcBorders>
            <w:vAlign w:val="center"/>
            <w:hideMark/>
          </w:tcPr>
          <w:p w14:paraId="4772154B" w14:textId="77777777" w:rsidR="00541071" w:rsidRPr="00541071" w:rsidRDefault="00541071" w:rsidP="00541071">
            <w:pPr>
              <w:spacing w:after="0" w:line="240" w:lineRule="auto"/>
              <w:jc w:val="right"/>
              <w:rPr>
                <w:rFonts w:ascii="Times New Roman" w:hAnsi="Times New Roman"/>
                <w:color w:val="000000"/>
                <w:sz w:val="18"/>
                <w:szCs w:val="18"/>
                <w:lang w:eastAsia="sk-SK"/>
              </w:rPr>
            </w:pPr>
            <w:r w:rsidRPr="00541071">
              <w:rPr>
                <w:rFonts w:ascii="Times New Roman" w:hAnsi="Times New Roman"/>
                <w:color w:val="000000"/>
                <w:sz w:val="18"/>
                <w:szCs w:val="18"/>
                <w:lang w:eastAsia="sk-SK"/>
              </w:rPr>
              <w:t>2 646</w:t>
            </w:r>
          </w:p>
        </w:tc>
        <w:tc>
          <w:tcPr>
            <w:tcW w:w="760" w:type="pct"/>
            <w:tcBorders>
              <w:top w:val="nil"/>
              <w:left w:val="nil"/>
              <w:bottom w:val="nil"/>
              <w:right w:val="nil"/>
            </w:tcBorders>
            <w:vAlign w:val="center"/>
            <w:hideMark/>
          </w:tcPr>
          <w:p w14:paraId="7EA7A7AC" w14:textId="77777777" w:rsidR="00541071" w:rsidRPr="00541071" w:rsidRDefault="00541071" w:rsidP="00541071">
            <w:pPr>
              <w:spacing w:after="0" w:line="240" w:lineRule="auto"/>
              <w:jc w:val="right"/>
              <w:rPr>
                <w:rFonts w:ascii="Times New Roman" w:hAnsi="Times New Roman"/>
                <w:color w:val="000000"/>
                <w:sz w:val="18"/>
                <w:szCs w:val="18"/>
                <w:lang w:eastAsia="sk-SK"/>
              </w:rPr>
            </w:pPr>
            <w:r w:rsidRPr="00541071">
              <w:rPr>
                <w:rFonts w:ascii="Times New Roman" w:hAnsi="Times New Roman"/>
                <w:color w:val="000000"/>
                <w:sz w:val="18"/>
                <w:szCs w:val="18"/>
                <w:lang w:eastAsia="sk-SK"/>
              </w:rPr>
              <w:t>-847</w:t>
            </w:r>
          </w:p>
        </w:tc>
      </w:tr>
      <w:tr w:rsidR="00541071" w:rsidRPr="00541071" w14:paraId="564E4617" w14:textId="77777777" w:rsidTr="0085799C">
        <w:trPr>
          <w:trHeight w:val="227"/>
          <w:jc w:val="center"/>
        </w:trPr>
        <w:tc>
          <w:tcPr>
            <w:tcW w:w="2719" w:type="pct"/>
            <w:tcBorders>
              <w:top w:val="nil"/>
              <w:left w:val="nil"/>
              <w:bottom w:val="nil"/>
              <w:right w:val="nil"/>
            </w:tcBorders>
            <w:vAlign w:val="center"/>
            <w:hideMark/>
          </w:tcPr>
          <w:p w14:paraId="0A99BE2C" w14:textId="77777777" w:rsidR="00541071" w:rsidRPr="00541071" w:rsidRDefault="00541071" w:rsidP="00541071">
            <w:pPr>
              <w:spacing w:after="0" w:line="240" w:lineRule="auto"/>
              <w:rPr>
                <w:rFonts w:ascii="Times New Roman" w:hAnsi="Times New Roman"/>
                <w:color w:val="000000"/>
                <w:sz w:val="18"/>
                <w:szCs w:val="18"/>
                <w:lang w:eastAsia="sk-SK"/>
              </w:rPr>
            </w:pPr>
            <w:r w:rsidRPr="00541071">
              <w:rPr>
                <w:rFonts w:ascii="Times New Roman" w:hAnsi="Times New Roman"/>
                <w:color w:val="000000"/>
                <w:sz w:val="18"/>
                <w:szCs w:val="18"/>
                <w:lang w:eastAsia="sk-SK"/>
              </w:rPr>
              <w:t>Dlhové cenné papiere</w:t>
            </w:r>
          </w:p>
        </w:tc>
        <w:tc>
          <w:tcPr>
            <w:tcW w:w="760" w:type="pct"/>
            <w:tcBorders>
              <w:top w:val="nil"/>
              <w:left w:val="nil"/>
              <w:bottom w:val="nil"/>
              <w:right w:val="nil"/>
            </w:tcBorders>
            <w:vAlign w:val="center"/>
            <w:hideMark/>
          </w:tcPr>
          <w:p w14:paraId="4721477F" w14:textId="77777777" w:rsidR="00541071" w:rsidRPr="00541071" w:rsidRDefault="00541071" w:rsidP="00541071">
            <w:pPr>
              <w:spacing w:after="0" w:line="240" w:lineRule="auto"/>
              <w:jc w:val="right"/>
              <w:rPr>
                <w:rFonts w:ascii="Times New Roman" w:hAnsi="Times New Roman"/>
                <w:color w:val="000000"/>
                <w:sz w:val="18"/>
                <w:szCs w:val="18"/>
                <w:lang w:eastAsia="sk-SK"/>
              </w:rPr>
            </w:pPr>
            <w:r w:rsidRPr="00541071">
              <w:rPr>
                <w:rFonts w:ascii="Times New Roman" w:hAnsi="Times New Roman"/>
                <w:color w:val="000000"/>
                <w:sz w:val="18"/>
                <w:szCs w:val="18"/>
                <w:lang w:eastAsia="sk-SK"/>
              </w:rPr>
              <w:t>867</w:t>
            </w:r>
          </w:p>
        </w:tc>
        <w:tc>
          <w:tcPr>
            <w:tcW w:w="760" w:type="pct"/>
            <w:tcBorders>
              <w:top w:val="nil"/>
              <w:left w:val="nil"/>
              <w:bottom w:val="nil"/>
              <w:right w:val="nil"/>
            </w:tcBorders>
            <w:vAlign w:val="center"/>
            <w:hideMark/>
          </w:tcPr>
          <w:p w14:paraId="62C0AA3D" w14:textId="77777777" w:rsidR="00541071" w:rsidRPr="00541071" w:rsidRDefault="00541071" w:rsidP="00541071">
            <w:pPr>
              <w:spacing w:after="0" w:line="240" w:lineRule="auto"/>
              <w:jc w:val="right"/>
              <w:rPr>
                <w:rFonts w:ascii="Times New Roman" w:hAnsi="Times New Roman"/>
                <w:color w:val="000000"/>
                <w:sz w:val="18"/>
                <w:szCs w:val="18"/>
                <w:lang w:eastAsia="sk-SK"/>
              </w:rPr>
            </w:pPr>
            <w:r w:rsidRPr="00541071">
              <w:rPr>
                <w:rFonts w:ascii="Times New Roman" w:hAnsi="Times New Roman"/>
                <w:color w:val="000000"/>
                <w:sz w:val="18"/>
                <w:szCs w:val="18"/>
                <w:lang w:eastAsia="sk-SK"/>
              </w:rPr>
              <w:t>897</w:t>
            </w:r>
          </w:p>
        </w:tc>
        <w:tc>
          <w:tcPr>
            <w:tcW w:w="760" w:type="pct"/>
            <w:tcBorders>
              <w:top w:val="nil"/>
              <w:left w:val="nil"/>
              <w:bottom w:val="nil"/>
              <w:right w:val="nil"/>
            </w:tcBorders>
            <w:vAlign w:val="center"/>
            <w:hideMark/>
          </w:tcPr>
          <w:p w14:paraId="144FD941" w14:textId="77777777" w:rsidR="00541071" w:rsidRPr="00541071" w:rsidRDefault="00541071" w:rsidP="00541071">
            <w:pPr>
              <w:spacing w:after="0" w:line="240" w:lineRule="auto"/>
              <w:jc w:val="right"/>
              <w:rPr>
                <w:rFonts w:ascii="Times New Roman" w:hAnsi="Times New Roman"/>
                <w:color w:val="000000"/>
                <w:sz w:val="18"/>
                <w:szCs w:val="18"/>
                <w:lang w:eastAsia="sk-SK"/>
              </w:rPr>
            </w:pPr>
            <w:r w:rsidRPr="00541071">
              <w:rPr>
                <w:rFonts w:ascii="Times New Roman" w:hAnsi="Times New Roman"/>
                <w:color w:val="000000"/>
                <w:sz w:val="18"/>
                <w:szCs w:val="18"/>
                <w:lang w:eastAsia="sk-SK"/>
              </w:rPr>
              <w:t>-30</w:t>
            </w:r>
          </w:p>
        </w:tc>
      </w:tr>
      <w:tr w:rsidR="00541071" w:rsidRPr="00541071" w14:paraId="39EDBC4C" w14:textId="77777777" w:rsidTr="0085799C">
        <w:trPr>
          <w:trHeight w:val="227"/>
          <w:jc w:val="center"/>
        </w:trPr>
        <w:tc>
          <w:tcPr>
            <w:tcW w:w="2719" w:type="pct"/>
            <w:tcBorders>
              <w:top w:val="nil"/>
              <w:left w:val="nil"/>
              <w:bottom w:val="nil"/>
              <w:right w:val="nil"/>
            </w:tcBorders>
            <w:vAlign w:val="center"/>
            <w:hideMark/>
          </w:tcPr>
          <w:p w14:paraId="13E3B208" w14:textId="77777777" w:rsidR="00541071" w:rsidRPr="00541071" w:rsidRDefault="00541071" w:rsidP="00541071">
            <w:pPr>
              <w:spacing w:after="0" w:line="240" w:lineRule="auto"/>
              <w:rPr>
                <w:rFonts w:ascii="Times New Roman" w:hAnsi="Times New Roman"/>
                <w:color w:val="000000"/>
                <w:sz w:val="18"/>
                <w:szCs w:val="18"/>
                <w:lang w:eastAsia="sk-SK"/>
              </w:rPr>
            </w:pPr>
            <w:r w:rsidRPr="00541071">
              <w:rPr>
                <w:rFonts w:ascii="Times New Roman" w:hAnsi="Times New Roman"/>
                <w:color w:val="000000"/>
                <w:sz w:val="18"/>
                <w:szCs w:val="18"/>
                <w:lang w:eastAsia="sk-SK"/>
              </w:rPr>
              <w:t>Majetkové cenné papiere</w:t>
            </w:r>
          </w:p>
        </w:tc>
        <w:tc>
          <w:tcPr>
            <w:tcW w:w="760" w:type="pct"/>
            <w:tcBorders>
              <w:top w:val="nil"/>
              <w:left w:val="nil"/>
              <w:bottom w:val="nil"/>
              <w:right w:val="nil"/>
            </w:tcBorders>
            <w:vAlign w:val="center"/>
            <w:hideMark/>
          </w:tcPr>
          <w:p w14:paraId="21318FEF" w14:textId="77777777" w:rsidR="00541071" w:rsidRPr="00541071" w:rsidRDefault="00541071" w:rsidP="00541071">
            <w:pPr>
              <w:spacing w:after="0" w:line="240" w:lineRule="auto"/>
              <w:jc w:val="right"/>
              <w:rPr>
                <w:rFonts w:ascii="Times New Roman" w:hAnsi="Times New Roman"/>
                <w:color w:val="000000"/>
                <w:sz w:val="18"/>
                <w:szCs w:val="18"/>
                <w:lang w:eastAsia="sk-SK"/>
              </w:rPr>
            </w:pPr>
            <w:r w:rsidRPr="00541071">
              <w:rPr>
                <w:rFonts w:ascii="Times New Roman" w:hAnsi="Times New Roman"/>
                <w:color w:val="000000"/>
                <w:sz w:val="18"/>
                <w:szCs w:val="18"/>
                <w:lang w:eastAsia="sk-SK"/>
              </w:rPr>
              <w:t>78</w:t>
            </w:r>
          </w:p>
        </w:tc>
        <w:tc>
          <w:tcPr>
            <w:tcW w:w="760" w:type="pct"/>
            <w:tcBorders>
              <w:top w:val="nil"/>
              <w:left w:val="nil"/>
              <w:bottom w:val="nil"/>
              <w:right w:val="nil"/>
            </w:tcBorders>
            <w:vAlign w:val="center"/>
            <w:hideMark/>
          </w:tcPr>
          <w:p w14:paraId="056B920E" w14:textId="77777777" w:rsidR="00541071" w:rsidRPr="00541071" w:rsidRDefault="00541071" w:rsidP="00541071">
            <w:pPr>
              <w:spacing w:after="0" w:line="240" w:lineRule="auto"/>
              <w:jc w:val="right"/>
              <w:rPr>
                <w:rFonts w:ascii="Times New Roman" w:hAnsi="Times New Roman"/>
                <w:color w:val="000000"/>
                <w:sz w:val="18"/>
                <w:szCs w:val="18"/>
                <w:lang w:eastAsia="sk-SK"/>
              </w:rPr>
            </w:pPr>
            <w:r w:rsidRPr="00541071">
              <w:rPr>
                <w:rFonts w:ascii="Times New Roman" w:hAnsi="Times New Roman"/>
                <w:color w:val="000000"/>
                <w:sz w:val="18"/>
                <w:szCs w:val="18"/>
                <w:lang w:eastAsia="sk-SK"/>
              </w:rPr>
              <w:t>76</w:t>
            </w:r>
          </w:p>
        </w:tc>
        <w:tc>
          <w:tcPr>
            <w:tcW w:w="760" w:type="pct"/>
            <w:tcBorders>
              <w:top w:val="nil"/>
              <w:left w:val="nil"/>
              <w:bottom w:val="nil"/>
              <w:right w:val="nil"/>
            </w:tcBorders>
            <w:vAlign w:val="center"/>
            <w:hideMark/>
          </w:tcPr>
          <w:p w14:paraId="0ACEC87B" w14:textId="77777777" w:rsidR="00541071" w:rsidRPr="00541071" w:rsidRDefault="00541071" w:rsidP="00541071">
            <w:pPr>
              <w:spacing w:after="0" w:line="240" w:lineRule="auto"/>
              <w:jc w:val="right"/>
              <w:rPr>
                <w:rFonts w:ascii="Times New Roman" w:hAnsi="Times New Roman"/>
                <w:color w:val="000000"/>
                <w:sz w:val="18"/>
                <w:szCs w:val="18"/>
                <w:lang w:eastAsia="sk-SK"/>
              </w:rPr>
            </w:pPr>
            <w:r w:rsidRPr="00541071">
              <w:rPr>
                <w:rFonts w:ascii="Times New Roman" w:hAnsi="Times New Roman"/>
                <w:color w:val="000000"/>
                <w:sz w:val="18"/>
                <w:szCs w:val="18"/>
                <w:lang w:eastAsia="sk-SK"/>
              </w:rPr>
              <w:t>2</w:t>
            </w:r>
          </w:p>
        </w:tc>
      </w:tr>
      <w:tr w:rsidR="00541071" w:rsidRPr="00541071" w14:paraId="1DEDDF46" w14:textId="77777777" w:rsidTr="0085799C">
        <w:trPr>
          <w:trHeight w:val="227"/>
          <w:jc w:val="center"/>
        </w:trPr>
        <w:tc>
          <w:tcPr>
            <w:tcW w:w="2719" w:type="pct"/>
            <w:tcBorders>
              <w:top w:val="nil"/>
              <w:left w:val="nil"/>
              <w:bottom w:val="single" w:sz="4" w:space="0" w:color="auto"/>
              <w:right w:val="nil"/>
            </w:tcBorders>
            <w:vAlign w:val="center"/>
            <w:hideMark/>
          </w:tcPr>
          <w:p w14:paraId="705D907D" w14:textId="77777777" w:rsidR="00541071" w:rsidRPr="00541071" w:rsidRDefault="00541071" w:rsidP="00541071">
            <w:pPr>
              <w:spacing w:after="0" w:line="240" w:lineRule="auto"/>
              <w:rPr>
                <w:rFonts w:ascii="Times New Roman" w:hAnsi="Times New Roman"/>
                <w:color w:val="000000"/>
                <w:sz w:val="18"/>
                <w:szCs w:val="18"/>
                <w:lang w:eastAsia="sk-SK"/>
              </w:rPr>
            </w:pPr>
            <w:r w:rsidRPr="00541071">
              <w:rPr>
                <w:rFonts w:ascii="Times New Roman" w:hAnsi="Times New Roman"/>
                <w:color w:val="000000"/>
                <w:sz w:val="18"/>
                <w:szCs w:val="18"/>
                <w:lang w:eastAsia="sk-SK"/>
              </w:rPr>
              <w:t>Ostatný krátkodobý finančný majetok</w:t>
            </w:r>
          </w:p>
        </w:tc>
        <w:tc>
          <w:tcPr>
            <w:tcW w:w="760" w:type="pct"/>
            <w:tcBorders>
              <w:top w:val="nil"/>
              <w:left w:val="nil"/>
              <w:bottom w:val="single" w:sz="4" w:space="0" w:color="auto"/>
              <w:right w:val="nil"/>
            </w:tcBorders>
            <w:vAlign w:val="center"/>
            <w:hideMark/>
          </w:tcPr>
          <w:p w14:paraId="507D064B" w14:textId="77777777" w:rsidR="00541071" w:rsidRPr="00541071" w:rsidRDefault="00541071" w:rsidP="00541071">
            <w:pPr>
              <w:spacing w:after="0" w:line="240" w:lineRule="auto"/>
              <w:jc w:val="right"/>
              <w:rPr>
                <w:rFonts w:ascii="Times New Roman" w:hAnsi="Times New Roman"/>
                <w:color w:val="000000"/>
                <w:sz w:val="18"/>
                <w:szCs w:val="18"/>
                <w:lang w:eastAsia="sk-SK"/>
              </w:rPr>
            </w:pPr>
            <w:r w:rsidRPr="00541071">
              <w:rPr>
                <w:rFonts w:ascii="Times New Roman" w:hAnsi="Times New Roman"/>
                <w:color w:val="000000"/>
                <w:sz w:val="18"/>
                <w:szCs w:val="18"/>
                <w:lang w:eastAsia="sk-SK"/>
              </w:rPr>
              <w:t>1 514</w:t>
            </w:r>
          </w:p>
        </w:tc>
        <w:tc>
          <w:tcPr>
            <w:tcW w:w="760" w:type="pct"/>
            <w:tcBorders>
              <w:top w:val="nil"/>
              <w:left w:val="nil"/>
              <w:bottom w:val="single" w:sz="4" w:space="0" w:color="auto"/>
              <w:right w:val="nil"/>
            </w:tcBorders>
            <w:vAlign w:val="center"/>
            <w:hideMark/>
          </w:tcPr>
          <w:p w14:paraId="676740E3" w14:textId="77777777" w:rsidR="00541071" w:rsidRPr="00541071" w:rsidRDefault="00541071" w:rsidP="00541071">
            <w:pPr>
              <w:spacing w:after="0" w:line="240" w:lineRule="auto"/>
              <w:jc w:val="right"/>
              <w:rPr>
                <w:rFonts w:ascii="Times New Roman" w:hAnsi="Times New Roman"/>
                <w:color w:val="000000"/>
                <w:sz w:val="18"/>
                <w:szCs w:val="18"/>
                <w:lang w:eastAsia="sk-SK"/>
              </w:rPr>
            </w:pPr>
            <w:r w:rsidRPr="00541071">
              <w:rPr>
                <w:rFonts w:ascii="Times New Roman" w:hAnsi="Times New Roman"/>
                <w:color w:val="000000"/>
                <w:sz w:val="18"/>
                <w:szCs w:val="18"/>
                <w:lang w:eastAsia="sk-SK"/>
              </w:rPr>
              <w:t>1 103</w:t>
            </w:r>
          </w:p>
        </w:tc>
        <w:tc>
          <w:tcPr>
            <w:tcW w:w="760" w:type="pct"/>
            <w:tcBorders>
              <w:top w:val="nil"/>
              <w:left w:val="nil"/>
              <w:bottom w:val="single" w:sz="4" w:space="0" w:color="auto"/>
              <w:right w:val="nil"/>
            </w:tcBorders>
            <w:vAlign w:val="center"/>
            <w:hideMark/>
          </w:tcPr>
          <w:p w14:paraId="7F3135E7" w14:textId="77777777" w:rsidR="00541071" w:rsidRPr="00541071" w:rsidRDefault="00541071" w:rsidP="00541071">
            <w:pPr>
              <w:spacing w:after="0" w:line="240" w:lineRule="auto"/>
              <w:jc w:val="right"/>
              <w:rPr>
                <w:rFonts w:ascii="Times New Roman" w:hAnsi="Times New Roman"/>
                <w:color w:val="000000"/>
                <w:sz w:val="18"/>
                <w:szCs w:val="18"/>
                <w:lang w:eastAsia="sk-SK"/>
              </w:rPr>
            </w:pPr>
            <w:r w:rsidRPr="00541071">
              <w:rPr>
                <w:rFonts w:ascii="Times New Roman" w:hAnsi="Times New Roman"/>
                <w:color w:val="000000"/>
                <w:sz w:val="18"/>
                <w:szCs w:val="18"/>
                <w:lang w:eastAsia="sk-SK"/>
              </w:rPr>
              <w:t>411</w:t>
            </w:r>
          </w:p>
        </w:tc>
      </w:tr>
      <w:tr w:rsidR="00541071" w:rsidRPr="00541071" w14:paraId="5FEDA5E2" w14:textId="77777777" w:rsidTr="0085799C">
        <w:trPr>
          <w:trHeight w:val="227"/>
          <w:jc w:val="center"/>
        </w:trPr>
        <w:tc>
          <w:tcPr>
            <w:tcW w:w="2719" w:type="pct"/>
            <w:tcBorders>
              <w:top w:val="nil"/>
              <w:left w:val="nil"/>
              <w:bottom w:val="single" w:sz="4" w:space="0" w:color="auto"/>
              <w:right w:val="nil"/>
            </w:tcBorders>
            <w:vAlign w:val="center"/>
            <w:hideMark/>
          </w:tcPr>
          <w:p w14:paraId="499B39C0" w14:textId="77777777" w:rsidR="00541071" w:rsidRPr="00541071" w:rsidRDefault="00541071" w:rsidP="00541071">
            <w:pPr>
              <w:spacing w:after="0" w:line="240" w:lineRule="auto"/>
              <w:rPr>
                <w:rFonts w:ascii="Times New Roman" w:hAnsi="Times New Roman"/>
                <w:b/>
                <w:bCs/>
                <w:color w:val="000000"/>
                <w:sz w:val="18"/>
                <w:szCs w:val="18"/>
                <w:lang w:eastAsia="sk-SK"/>
              </w:rPr>
            </w:pPr>
            <w:r w:rsidRPr="00541071">
              <w:rPr>
                <w:rFonts w:ascii="Times New Roman" w:hAnsi="Times New Roman"/>
                <w:b/>
                <w:bCs/>
                <w:color w:val="000000"/>
                <w:sz w:val="18"/>
                <w:szCs w:val="18"/>
                <w:lang w:eastAsia="sk-SK"/>
              </w:rPr>
              <w:t>Spolu</w:t>
            </w:r>
          </w:p>
        </w:tc>
        <w:tc>
          <w:tcPr>
            <w:tcW w:w="760" w:type="pct"/>
            <w:tcBorders>
              <w:top w:val="nil"/>
              <w:left w:val="nil"/>
              <w:bottom w:val="single" w:sz="4" w:space="0" w:color="auto"/>
              <w:right w:val="nil"/>
            </w:tcBorders>
            <w:vAlign w:val="center"/>
            <w:hideMark/>
          </w:tcPr>
          <w:p w14:paraId="630352DD" w14:textId="77777777" w:rsidR="00541071" w:rsidRPr="00541071" w:rsidRDefault="00541071" w:rsidP="00541071">
            <w:pPr>
              <w:spacing w:after="0" w:line="240" w:lineRule="auto"/>
              <w:jc w:val="right"/>
              <w:rPr>
                <w:rFonts w:ascii="Times New Roman" w:hAnsi="Times New Roman"/>
                <w:b/>
                <w:bCs/>
                <w:color w:val="000000"/>
                <w:sz w:val="18"/>
                <w:szCs w:val="18"/>
                <w:lang w:eastAsia="sk-SK"/>
              </w:rPr>
            </w:pPr>
            <w:r w:rsidRPr="00541071">
              <w:rPr>
                <w:rFonts w:ascii="Times New Roman" w:hAnsi="Times New Roman"/>
                <w:b/>
                <w:bCs/>
                <w:color w:val="000000"/>
                <w:sz w:val="18"/>
                <w:szCs w:val="18"/>
                <w:lang w:eastAsia="sk-SK"/>
              </w:rPr>
              <w:t>4 258</w:t>
            </w:r>
          </w:p>
        </w:tc>
        <w:tc>
          <w:tcPr>
            <w:tcW w:w="760" w:type="pct"/>
            <w:tcBorders>
              <w:top w:val="nil"/>
              <w:left w:val="nil"/>
              <w:bottom w:val="single" w:sz="4" w:space="0" w:color="auto"/>
              <w:right w:val="nil"/>
            </w:tcBorders>
            <w:vAlign w:val="center"/>
            <w:hideMark/>
          </w:tcPr>
          <w:p w14:paraId="118ED981" w14:textId="77777777" w:rsidR="00541071" w:rsidRPr="00541071" w:rsidRDefault="00541071" w:rsidP="00541071">
            <w:pPr>
              <w:spacing w:after="0" w:line="240" w:lineRule="auto"/>
              <w:jc w:val="right"/>
              <w:rPr>
                <w:rFonts w:ascii="Times New Roman" w:hAnsi="Times New Roman"/>
                <w:b/>
                <w:bCs/>
                <w:color w:val="000000"/>
                <w:sz w:val="18"/>
                <w:szCs w:val="18"/>
                <w:lang w:eastAsia="sk-SK"/>
              </w:rPr>
            </w:pPr>
            <w:r w:rsidRPr="00541071">
              <w:rPr>
                <w:rFonts w:ascii="Times New Roman" w:hAnsi="Times New Roman"/>
                <w:b/>
                <w:bCs/>
                <w:color w:val="000000"/>
                <w:sz w:val="18"/>
                <w:szCs w:val="18"/>
                <w:lang w:eastAsia="sk-SK"/>
              </w:rPr>
              <w:t>4 722</w:t>
            </w:r>
          </w:p>
        </w:tc>
        <w:tc>
          <w:tcPr>
            <w:tcW w:w="760" w:type="pct"/>
            <w:tcBorders>
              <w:top w:val="nil"/>
              <w:left w:val="nil"/>
              <w:bottom w:val="single" w:sz="4" w:space="0" w:color="auto"/>
              <w:right w:val="nil"/>
            </w:tcBorders>
            <w:vAlign w:val="center"/>
            <w:hideMark/>
          </w:tcPr>
          <w:p w14:paraId="303AEEF3" w14:textId="77777777" w:rsidR="00541071" w:rsidRPr="00541071" w:rsidRDefault="00541071" w:rsidP="00541071">
            <w:pPr>
              <w:spacing w:after="0" w:line="240" w:lineRule="auto"/>
              <w:jc w:val="right"/>
              <w:rPr>
                <w:rFonts w:ascii="Times New Roman" w:hAnsi="Times New Roman"/>
                <w:b/>
                <w:bCs/>
                <w:color w:val="000000"/>
                <w:sz w:val="18"/>
                <w:szCs w:val="18"/>
                <w:lang w:eastAsia="sk-SK"/>
              </w:rPr>
            </w:pPr>
            <w:r w:rsidRPr="00541071">
              <w:rPr>
                <w:rFonts w:ascii="Times New Roman" w:hAnsi="Times New Roman"/>
                <w:b/>
                <w:bCs/>
                <w:color w:val="000000"/>
                <w:sz w:val="18"/>
                <w:szCs w:val="18"/>
                <w:lang w:eastAsia="sk-SK"/>
              </w:rPr>
              <w:t>-464</w:t>
            </w:r>
          </w:p>
        </w:tc>
      </w:tr>
      <w:tr w:rsidR="00541071" w:rsidRPr="00541071" w14:paraId="4E0225F3" w14:textId="77777777" w:rsidTr="0085799C">
        <w:trPr>
          <w:trHeight w:val="227"/>
          <w:jc w:val="center"/>
        </w:trPr>
        <w:tc>
          <w:tcPr>
            <w:tcW w:w="5000" w:type="pct"/>
            <w:gridSpan w:val="4"/>
            <w:tcBorders>
              <w:top w:val="nil"/>
              <w:left w:val="nil"/>
              <w:bottom w:val="nil"/>
              <w:right w:val="nil"/>
            </w:tcBorders>
            <w:noWrap/>
            <w:vAlign w:val="center"/>
            <w:hideMark/>
          </w:tcPr>
          <w:p w14:paraId="3B01C57D" w14:textId="77777777" w:rsidR="00541071" w:rsidRPr="00541071" w:rsidRDefault="00541071" w:rsidP="00541071">
            <w:pPr>
              <w:spacing w:after="0" w:line="240" w:lineRule="auto"/>
              <w:jc w:val="right"/>
              <w:rPr>
                <w:rFonts w:ascii="Times New Roman" w:hAnsi="Times New Roman"/>
                <w:color w:val="000000"/>
                <w:sz w:val="16"/>
                <w:szCs w:val="16"/>
                <w:lang w:eastAsia="sk-SK"/>
              </w:rPr>
            </w:pPr>
            <w:r w:rsidRPr="00541071">
              <w:rPr>
                <w:rFonts w:ascii="Times New Roman" w:hAnsi="Times New Roman"/>
                <w:color w:val="000000"/>
                <w:sz w:val="16"/>
                <w:szCs w:val="16"/>
                <w:lang w:eastAsia="sk-SK"/>
              </w:rPr>
              <w:t>Zdroj: MF SR, Centrálny konsolidačný systém</w:t>
            </w:r>
          </w:p>
        </w:tc>
      </w:tr>
    </w:tbl>
    <w:p w14:paraId="3D64103D" w14:textId="77777777" w:rsidR="003E35E0" w:rsidRDefault="003E35E0" w:rsidP="00647542">
      <w:pPr>
        <w:pStyle w:val="Pismenka"/>
        <w:tabs>
          <w:tab w:val="clear" w:pos="426"/>
        </w:tabs>
        <w:spacing w:after="120"/>
        <w:ind w:left="0" w:firstLine="0"/>
        <w:rPr>
          <w:b w:val="0"/>
          <w:sz w:val="22"/>
          <w:szCs w:val="22"/>
        </w:rPr>
      </w:pPr>
    </w:p>
    <w:p w14:paraId="60FE8240" w14:textId="4CB3D301" w:rsidR="00AF1F09" w:rsidRDefault="00AF1F09" w:rsidP="0085799C">
      <w:pPr>
        <w:pStyle w:val="Nadpis4"/>
        <w:numPr>
          <w:ilvl w:val="0"/>
          <w:numId w:val="54"/>
        </w:numPr>
        <w:ind w:left="426" w:hanging="426"/>
      </w:pPr>
      <w:r>
        <w:t xml:space="preserve">Bežné </w:t>
      </w:r>
      <w:r w:rsidR="00636877">
        <w:t>bankové účty, pokladnica a ceniny</w:t>
      </w:r>
    </w:p>
    <w:p w14:paraId="646D27F2" w14:textId="04FB0DA6" w:rsidR="00647542" w:rsidRDefault="00647542" w:rsidP="003F5CD1">
      <w:pPr>
        <w:pStyle w:val="Pismenka"/>
        <w:tabs>
          <w:tab w:val="clear" w:pos="426"/>
        </w:tabs>
        <w:spacing w:after="120"/>
        <w:ind w:left="0" w:firstLine="0"/>
        <w:rPr>
          <w:b w:val="0"/>
          <w:sz w:val="22"/>
          <w:szCs w:val="22"/>
          <w:lang w:eastAsia="en-US"/>
        </w:rPr>
      </w:pPr>
      <w:r w:rsidRPr="00907622">
        <w:rPr>
          <w:b w:val="0"/>
          <w:bCs w:val="0"/>
          <w:sz w:val="22"/>
          <w:szCs w:val="22"/>
        </w:rPr>
        <w:t>Zostatky na bankových účtoch, hotovosti a cenín dosiahli úhrnom</w:t>
      </w:r>
      <w:r w:rsidRPr="00907622">
        <w:rPr>
          <w:b w:val="0"/>
          <w:bCs w:val="0"/>
          <w:color w:val="FF0000"/>
          <w:sz w:val="22"/>
          <w:szCs w:val="22"/>
        </w:rPr>
        <w:t xml:space="preserve"> </w:t>
      </w:r>
      <w:r w:rsidR="004552E8">
        <w:rPr>
          <w:b w:val="0"/>
          <w:sz w:val="22"/>
          <w:szCs w:val="22"/>
        </w:rPr>
        <w:t>5</w:t>
      </w:r>
      <w:r w:rsidR="007814C9">
        <w:rPr>
          <w:b w:val="0"/>
          <w:sz w:val="22"/>
          <w:szCs w:val="22"/>
        </w:rPr>
        <w:t> </w:t>
      </w:r>
      <w:r w:rsidR="004552E8">
        <w:rPr>
          <w:b w:val="0"/>
          <w:sz w:val="22"/>
          <w:szCs w:val="22"/>
        </w:rPr>
        <w:t>014</w:t>
      </w:r>
      <w:r w:rsidR="007814C9">
        <w:rPr>
          <w:b w:val="0"/>
          <w:sz w:val="22"/>
          <w:szCs w:val="22"/>
        </w:rPr>
        <w:t> </w:t>
      </w:r>
      <w:r w:rsidR="004552E8">
        <w:rPr>
          <w:b w:val="0"/>
          <w:sz w:val="22"/>
          <w:szCs w:val="22"/>
        </w:rPr>
        <w:t>555</w:t>
      </w:r>
      <w:r w:rsidRPr="00907622">
        <w:rPr>
          <w:b w:val="0"/>
          <w:bCs w:val="0"/>
          <w:sz w:val="22"/>
          <w:szCs w:val="22"/>
        </w:rPr>
        <w:t xml:space="preserve"> tis. eur a v porovnaní s rokom </w:t>
      </w:r>
      <w:r w:rsidRPr="007253B7">
        <w:rPr>
          <w:b w:val="0"/>
          <w:sz w:val="22"/>
          <w:szCs w:val="22"/>
        </w:rPr>
        <w:t>202</w:t>
      </w:r>
      <w:r w:rsidR="004552E8">
        <w:rPr>
          <w:b w:val="0"/>
          <w:sz w:val="22"/>
          <w:szCs w:val="22"/>
        </w:rPr>
        <w:t>3</w:t>
      </w:r>
      <w:r w:rsidRPr="00907622">
        <w:rPr>
          <w:b w:val="0"/>
          <w:bCs w:val="0"/>
          <w:sz w:val="22"/>
          <w:szCs w:val="22"/>
        </w:rPr>
        <w:t xml:space="preserve"> boli vyššie o</w:t>
      </w:r>
      <w:r w:rsidR="00204896">
        <w:rPr>
          <w:b w:val="0"/>
          <w:sz w:val="22"/>
          <w:szCs w:val="22"/>
        </w:rPr>
        <w:t> 507 979</w:t>
      </w:r>
      <w:r w:rsidRPr="00907622">
        <w:rPr>
          <w:b w:val="0"/>
          <w:bCs w:val="0"/>
          <w:sz w:val="22"/>
          <w:szCs w:val="22"/>
        </w:rPr>
        <w:t xml:space="preserve"> tis. eur. Najvýznamnejšiu položku predstavujú zostatky na bankových účtoch v sume </w:t>
      </w:r>
      <w:r w:rsidR="00204896">
        <w:rPr>
          <w:b w:val="0"/>
          <w:sz w:val="22"/>
          <w:szCs w:val="22"/>
        </w:rPr>
        <w:t>4</w:t>
      </w:r>
      <w:r w:rsidR="00894FA8">
        <w:rPr>
          <w:b w:val="0"/>
          <w:sz w:val="22"/>
          <w:szCs w:val="22"/>
        </w:rPr>
        <w:t xml:space="preserve"> </w:t>
      </w:r>
      <w:r w:rsidR="00204896">
        <w:rPr>
          <w:b w:val="0"/>
          <w:sz w:val="22"/>
          <w:szCs w:val="22"/>
        </w:rPr>
        <w:t>920 469</w:t>
      </w:r>
      <w:r w:rsidRPr="00907622">
        <w:rPr>
          <w:b w:val="0"/>
          <w:bCs w:val="0"/>
          <w:sz w:val="22"/>
          <w:szCs w:val="22"/>
        </w:rPr>
        <w:t xml:space="preserve"> tis. eur, v tom sú zostatky na bežných bankových účtoch obcí vrátane zostatku účtov všetkých podriadených </w:t>
      </w:r>
      <w:r w:rsidRPr="00CE6916">
        <w:rPr>
          <w:b w:val="0"/>
          <w:bCs w:val="0"/>
          <w:sz w:val="22"/>
          <w:szCs w:val="22"/>
        </w:rPr>
        <w:t>organizácií tvoriacich konsolidované celky obcí (okrem zostatku na výdavkových a príjmových rozpočtových účtoch)</w:t>
      </w:r>
      <w:r w:rsidR="009872A1">
        <w:rPr>
          <w:b w:val="0"/>
          <w:bCs w:val="0"/>
          <w:sz w:val="22"/>
          <w:szCs w:val="22"/>
        </w:rPr>
        <w:t xml:space="preserve"> vo výške</w:t>
      </w:r>
      <w:r w:rsidRPr="00CE6916">
        <w:rPr>
          <w:b w:val="0"/>
          <w:bCs w:val="0"/>
          <w:sz w:val="22"/>
          <w:szCs w:val="22"/>
        </w:rPr>
        <w:t xml:space="preserve"> </w:t>
      </w:r>
      <w:r w:rsidR="000203E0" w:rsidRPr="00CE6916">
        <w:rPr>
          <w:b w:val="0"/>
          <w:sz w:val="22"/>
          <w:szCs w:val="22"/>
        </w:rPr>
        <w:t>2</w:t>
      </w:r>
      <w:r w:rsidR="007814C9">
        <w:rPr>
          <w:b w:val="0"/>
          <w:sz w:val="22"/>
          <w:szCs w:val="22"/>
        </w:rPr>
        <w:t> </w:t>
      </w:r>
      <w:r w:rsidR="000203E0" w:rsidRPr="00CE6916">
        <w:rPr>
          <w:b w:val="0"/>
          <w:sz w:val="22"/>
          <w:szCs w:val="22"/>
        </w:rPr>
        <w:t>572</w:t>
      </w:r>
      <w:r w:rsidRPr="00CE6916">
        <w:rPr>
          <w:b w:val="0"/>
          <w:bCs w:val="0"/>
          <w:sz w:val="22"/>
          <w:szCs w:val="22"/>
        </w:rPr>
        <w:t> tis. eur.</w:t>
      </w:r>
      <w:r w:rsidR="00CE6916">
        <w:rPr>
          <w:b w:val="0"/>
          <w:sz w:val="22"/>
          <w:szCs w:val="22"/>
          <w:lang w:eastAsia="en-US"/>
        </w:rPr>
        <w:t xml:space="preserve"> </w:t>
      </w:r>
      <w:r w:rsidRPr="00CE6916">
        <w:rPr>
          <w:b w:val="0"/>
          <w:sz w:val="22"/>
          <w:szCs w:val="22"/>
          <w:lang w:eastAsia="en-US"/>
        </w:rPr>
        <w:t xml:space="preserve">Hodnota pokladničnej hotovosti dosiahla </w:t>
      </w:r>
      <w:r w:rsidR="00CE6916" w:rsidRPr="0085799C">
        <w:rPr>
          <w:b w:val="0"/>
          <w:sz w:val="22"/>
          <w:szCs w:val="22"/>
          <w:lang w:eastAsia="en-US"/>
        </w:rPr>
        <w:t>84 761</w:t>
      </w:r>
      <w:r w:rsidRPr="00CE6916">
        <w:rPr>
          <w:b w:val="0"/>
          <w:sz w:val="22"/>
          <w:szCs w:val="22"/>
          <w:lang w:eastAsia="en-US"/>
        </w:rPr>
        <w:t xml:space="preserve"> tis. eur a cenín </w:t>
      </w:r>
      <w:r w:rsidR="00CE6916" w:rsidRPr="0085799C">
        <w:rPr>
          <w:b w:val="0"/>
          <w:sz w:val="22"/>
          <w:szCs w:val="22"/>
          <w:lang w:eastAsia="en-US"/>
        </w:rPr>
        <w:t>9</w:t>
      </w:r>
      <w:r w:rsidR="007814C9">
        <w:rPr>
          <w:b w:val="0"/>
          <w:sz w:val="22"/>
          <w:szCs w:val="22"/>
          <w:lang w:eastAsia="en-US"/>
        </w:rPr>
        <w:t> </w:t>
      </w:r>
      <w:r w:rsidR="00CE6916" w:rsidRPr="0085799C">
        <w:rPr>
          <w:b w:val="0"/>
          <w:sz w:val="22"/>
          <w:szCs w:val="22"/>
          <w:lang w:eastAsia="en-US"/>
        </w:rPr>
        <w:t>325</w:t>
      </w:r>
      <w:r w:rsidRPr="00CE6916">
        <w:rPr>
          <w:b w:val="0"/>
          <w:sz w:val="22"/>
          <w:szCs w:val="22"/>
          <w:lang w:eastAsia="en-US"/>
        </w:rPr>
        <w:t> tis. eur.</w:t>
      </w:r>
    </w:p>
    <w:p w14:paraId="0A546D35" w14:textId="0E8CF6F0" w:rsidR="008F4AA5" w:rsidRPr="008F4AA5" w:rsidRDefault="008F4AA5" w:rsidP="003F5CD1">
      <w:pPr>
        <w:pStyle w:val="Pismenka"/>
        <w:tabs>
          <w:tab w:val="clear" w:pos="426"/>
        </w:tabs>
        <w:spacing w:after="120"/>
        <w:ind w:left="0" w:firstLine="0"/>
        <w:rPr>
          <w:b w:val="0"/>
          <w:sz w:val="22"/>
          <w:szCs w:val="22"/>
          <w:lang w:eastAsia="en-US"/>
        </w:rPr>
      </w:pPr>
      <w:r w:rsidRPr="008F4AA5">
        <w:rPr>
          <w:b w:val="0"/>
          <w:sz w:val="22"/>
          <w:szCs w:val="22"/>
          <w:lang w:eastAsia="en-US"/>
        </w:rPr>
        <w:t xml:space="preserve">Najvyšší medziročný nárast vykázala </w:t>
      </w:r>
      <w:r w:rsidRPr="00A7107D">
        <w:rPr>
          <w:b w:val="0"/>
          <w:sz w:val="22"/>
          <w:szCs w:val="22"/>
          <w:u w:val="single"/>
          <w:lang w:eastAsia="en-US"/>
        </w:rPr>
        <w:t>EXIMBANKA</w:t>
      </w:r>
      <w:r w:rsidRPr="00A7107D">
        <w:rPr>
          <w:b w:val="0"/>
          <w:sz w:val="22"/>
          <w:szCs w:val="22"/>
          <w:lang w:eastAsia="en-US"/>
        </w:rPr>
        <w:t xml:space="preserve"> </w:t>
      </w:r>
      <w:r w:rsidRPr="008F4AA5">
        <w:rPr>
          <w:b w:val="0"/>
          <w:sz w:val="22"/>
          <w:szCs w:val="22"/>
          <w:lang w:eastAsia="en-US"/>
        </w:rPr>
        <w:t>(o 209 502 tis. eur) a </w:t>
      </w:r>
      <w:r w:rsidRPr="00A7107D">
        <w:rPr>
          <w:b w:val="0"/>
          <w:sz w:val="22"/>
          <w:szCs w:val="22"/>
          <w:u w:val="single"/>
          <w:lang w:eastAsia="en-US"/>
        </w:rPr>
        <w:t>Slovenská záručná a rozvojová banka, a.s.</w:t>
      </w:r>
      <w:r w:rsidRPr="008F4AA5">
        <w:rPr>
          <w:b w:val="0"/>
          <w:sz w:val="22"/>
          <w:szCs w:val="22"/>
          <w:lang w:eastAsia="en-US"/>
        </w:rPr>
        <w:t xml:space="preserve"> (o 37 415 tis. eur) a bol spôsobený nárastom zostatku na účte RTGS vedeného v NBS, ako aj nárastom objemu termínovaných vkladov v iných bankách.</w:t>
      </w:r>
    </w:p>
    <w:p w14:paraId="1BEEFADF" w14:textId="1016E572" w:rsidR="001844B4" w:rsidRDefault="001844B4" w:rsidP="0085799C">
      <w:pPr>
        <w:pStyle w:val="Nadpis4"/>
        <w:numPr>
          <w:ilvl w:val="0"/>
          <w:numId w:val="54"/>
        </w:numPr>
        <w:ind w:left="426" w:hanging="426"/>
      </w:pPr>
      <w:bookmarkStart w:id="34" w:name="_Účty_Štátnej_pokladnice"/>
      <w:bookmarkEnd w:id="34"/>
      <w:r>
        <w:t>Účty Štátnej pokladnice</w:t>
      </w:r>
    </w:p>
    <w:p w14:paraId="52855AFA" w14:textId="45225680" w:rsidR="00647542" w:rsidRDefault="00647542" w:rsidP="003F5CD1">
      <w:pPr>
        <w:pStyle w:val="Pismenka"/>
        <w:tabs>
          <w:tab w:val="clear" w:pos="426"/>
        </w:tabs>
        <w:spacing w:after="120"/>
        <w:ind w:left="0" w:firstLine="0"/>
        <w:rPr>
          <w:b w:val="0"/>
          <w:sz w:val="22"/>
          <w:szCs w:val="22"/>
          <w:lang w:eastAsia="en-US"/>
        </w:rPr>
      </w:pPr>
      <w:r w:rsidRPr="00907622">
        <w:rPr>
          <w:b w:val="0"/>
          <w:sz w:val="22"/>
          <w:szCs w:val="22"/>
          <w:lang w:eastAsia="en-US"/>
        </w:rPr>
        <w:t xml:space="preserve">Účty Štátnej pokladnice predstavujú prostriedky uložené na bežných účtoch v Národnej banke Slovenska a v ostatných komerčných bankách, bežné účty na zabezpečenie vkladov a výberov finančných prostriedkov v hotovosti pre klientov Štátnej pokladnice prostredníctvom NBS a komerčnej banky. Bežnými účtami môže Štátna pokladnica voľne disponovať. Účty Štátnej pokladnice dosiahli stav </w:t>
      </w:r>
      <w:r w:rsidR="00925DF1">
        <w:rPr>
          <w:b w:val="0"/>
          <w:sz w:val="22"/>
          <w:szCs w:val="22"/>
          <w:lang w:eastAsia="en-US"/>
        </w:rPr>
        <w:t>23</w:t>
      </w:r>
      <w:r w:rsidR="007814C9">
        <w:rPr>
          <w:b w:val="0"/>
          <w:sz w:val="22"/>
          <w:szCs w:val="22"/>
          <w:lang w:eastAsia="en-US"/>
        </w:rPr>
        <w:t> </w:t>
      </w:r>
      <w:r w:rsidR="00925DF1">
        <w:rPr>
          <w:b w:val="0"/>
          <w:sz w:val="22"/>
          <w:szCs w:val="22"/>
          <w:lang w:eastAsia="en-US"/>
        </w:rPr>
        <w:t>678</w:t>
      </w:r>
      <w:r w:rsidRPr="00907622">
        <w:rPr>
          <w:b w:val="0"/>
          <w:sz w:val="22"/>
          <w:szCs w:val="22"/>
          <w:lang w:eastAsia="en-US"/>
        </w:rPr>
        <w:t> tis. eur, čo je v porovnaní s rovnakým obdobím v roku 202</w:t>
      </w:r>
      <w:r w:rsidR="00925DF1">
        <w:rPr>
          <w:b w:val="0"/>
          <w:sz w:val="22"/>
          <w:szCs w:val="22"/>
          <w:lang w:eastAsia="en-US"/>
        </w:rPr>
        <w:t>3</w:t>
      </w:r>
      <w:r w:rsidRPr="00907622">
        <w:rPr>
          <w:b w:val="0"/>
          <w:sz w:val="22"/>
          <w:szCs w:val="22"/>
          <w:lang w:eastAsia="en-US"/>
        </w:rPr>
        <w:t xml:space="preserve"> pokles o</w:t>
      </w:r>
      <w:r w:rsidR="007814C9">
        <w:rPr>
          <w:b w:val="0"/>
          <w:sz w:val="22"/>
          <w:szCs w:val="22"/>
          <w:lang w:eastAsia="en-US"/>
        </w:rPr>
        <w:t> </w:t>
      </w:r>
      <w:r w:rsidR="00925DF1">
        <w:rPr>
          <w:b w:val="0"/>
          <w:sz w:val="22"/>
          <w:szCs w:val="22"/>
          <w:lang w:eastAsia="en-US"/>
        </w:rPr>
        <w:t>496</w:t>
      </w:r>
      <w:r w:rsidR="007814C9">
        <w:rPr>
          <w:b w:val="0"/>
          <w:sz w:val="22"/>
          <w:szCs w:val="22"/>
          <w:lang w:eastAsia="en-US"/>
        </w:rPr>
        <w:t> </w:t>
      </w:r>
      <w:r w:rsidR="00925DF1">
        <w:rPr>
          <w:b w:val="0"/>
          <w:sz w:val="22"/>
          <w:szCs w:val="22"/>
          <w:lang w:eastAsia="en-US"/>
        </w:rPr>
        <w:t>721</w:t>
      </w:r>
      <w:r w:rsidRPr="00907622">
        <w:rPr>
          <w:b w:val="0"/>
          <w:sz w:val="22"/>
          <w:szCs w:val="22"/>
          <w:lang w:eastAsia="en-US"/>
        </w:rPr>
        <w:t> tis. eur.</w:t>
      </w:r>
      <w:r w:rsidR="00191BB6">
        <w:rPr>
          <w:b w:val="0"/>
          <w:sz w:val="22"/>
          <w:szCs w:val="22"/>
          <w:lang w:eastAsia="en-US"/>
        </w:rPr>
        <w:t xml:space="preserve"> Dôvodom významnej medziročnej zmeny bolo nerealizovanie finančnej operácie, pri ktorej v minulosti Štátna pokladnica vykonala prevod finančných prostriedkov vo výške 500 000 tis. eur z účtu TARGET na účet vedený v NBS v mene eur. Voľné finančné prostriedky boli zhodnotené mimo NBS.</w:t>
      </w:r>
    </w:p>
    <w:p w14:paraId="321079D6" w14:textId="0D6DADE8" w:rsidR="001844B4" w:rsidRDefault="004F2EDA" w:rsidP="009F2AF6">
      <w:pPr>
        <w:pStyle w:val="Nadpis4"/>
        <w:numPr>
          <w:ilvl w:val="0"/>
          <w:numId w:val="54"/>
        </w:numPr>
        <w:ind w:left="426" w:hanging="426"/>
      </w:pPr>
      <w:bookmarkStart w:id="35" w:name="_Ostatný_krátkodobý_finančný"/>
      <w:bookmarkEnd w:id="35"/>
      <w:r>
        <w:t>Ostatný krátkodobý finančný majetok</w:t>
      </w:r>
    </w:p>
    <w:p w14:paraId="5AEE227C" w14:textId="1A9D00DA" w:rsidR="00647542" w:rsidRDefault="00647542" w:rsidP="003F5CD1">
      <w:pPr>
        <w:pStyle w:val="Pismenka"/>
        <w:tabs>
          <w:tab w:val="clear" w:pos="426"/>
        </w:tabs>
        <w:spacing w:after="120"/>
        <w:ind w:left="0" w:firstLine="0"/>
        <w:rPr>
          <w:b w:val="0"/>
          <w:sz w:val="22"/>
          <w:szCs w:val="22"/>
          <w:lang w:eastAsia="en-US"/>
        </w:rPr>
      </w:pPr>
      <w:r w:rsidRPr="00907622">
        <w:rPr>
          <w:b w:val="0"/>
          <w:sz w:val="22"/>
          <w:szCs w:val="22"/>
          <w:lang w:eastAsia="en-US"/>
        </w:rPr>
        <w:t>Zostatok ostatného krátkodobého finančného majetku v rámci súhrnného celku tvorí hodnota 4 </w:t>
      </w:r>
      <w:r w:rsidR="00AA01EB">
        <w:rPr>
          <w:b w:val="0"/>
          <w:sz w:val="22"/>
          <w:szCs w:val="22"/>
          <w:lang w:eastAsia="en-US"/>
        </w:rPr>
        <w:t>258</w:t>
      </w:r>
      <w:r w:rsidR="00AA01EB" w:rsidRPr="007253B7">
        <w:rPr>
          <w:b w:val="0"/>
          <w:sz w:val="22"/>
          <w:szCs w:val="22"/>
          <w:lang w:eastAsia="en-US"/>
        </w:rPr>
        <w:t> </w:t>
      </w:r>
      <w:r w:rsidRPr="00907622">
        <w:rPr>
          <w:b w:val="0"/>
          <w:sz w:val="22"/>
          <w:szCs w:val="22"/>
          <w:lang w:eastAsia="en-US"/>
        </w:rPr>
        <w:t>tis. eur a zároveň došlo medziročne</w:t>
      </w:r>
      <w:r w:rsidRPr="00907622">
        <w:rPr>
          <w:b w:val="0"/>
          <w:color w:val="FF0000"/>
          <w:sz w:val="22"/>
          <w:szCs w:val="22"/>
          <w:lang w:eastAsia="en-US"/>
        </w:rPr>
        <w:t xml:space="preserve"> </w:t>
      </w:r>
      <w:r w:rsidRPr="00907622">
        <w:rPr>
          <w:b w:val="0"/>
          <w:sz w:val="22"/>
          <w:szCs w:val="22"/>
          <w:lang w:eastAsia="en-US"/>
        </w:rPr>
        <w:t>k </w:t>
      </w:r>
      <w:r w:rsidR="00AA01EB">
        <w:rPr>
          <w:b w:val="0"/>
          <w:sz w:val="22"/>
          <w:szCs w:val="22"/>
          <w:lang w:eastAsia="en-US"/>
        </w:rPr>
        <w:t>poklesu</w:t>
      </w:r>
      <w:r w:rsidR="00AA01EB" w:rsidRPr="007253B7">
        <w:rPr>
          <w:b w:val="0"/>
          <w:sz w:val="22"/>
          <w:szCs w:val="22"/>
          <w:lang w:eastAsia="en-US"/>
        </w:rPr>
        <w:t xml:space="preserve"> </w:t>
      </w:r>
      <w:r w:rsidRPr="00907622">
        <w:rPr>
          <w:b w:val="0"/>
          <w:sz w:val="22"/>
          <w:szCs w:val="22"/>
          <w:lang w:eastAsia="en-US"/>
        </w:rPr>
        <w:t>hodnoty o </w:t>
      </w:r>
      <w:r w:rsidR="00AA01EB">
        <w:rPr>
          <w:b w:val="0"/>
          <w:sz w:val="22"/>
          <w:szCs w:val="22"/>
          <w:lang w:eastAsia="en-US"/>
        </w:rPr>
        <w:t>464</w:t>
      </w:r>
      <w:r w:rsidRPr="00907622">
        <w:rPr>
          <w:b w:val="0"/>
          <w:sz w:val="22"/>
          <w:szCs w:val="22"/>
          <w:lang w:eastAsia="en-US"/>
        </w:rPr>
        <w:t xml:space="preserve"> tis. eur, pričom ide najmä o ostatné realizovateľné cenné papiere </w:t>
      </w:r>
      <w:r w:rsidR="00551FAC">
        <w:rPr>
          <w:b w:val="0"/>
          <w:sz w:val="22"/>
          <w:szCs w:val="22"/>
          <w:lang w:eastAsia="en-US"/>
        </w:rPr>
        <w:t>1</w:t>
      </w:r>
      <w:r w:rsidR="003F5CD1">
        <w:rPr>
          <w:b w:val="0"/>
          <w:sz w:val="22"/>
          <w:szCs w:val="22"/>
          <w:lang w:eastAsia="en-US"/>
        </w:rPr>
        <w:t> </w:t>
      </w:r>
      <w:r w:rsidR="00551FAC">
        <w:rPr>
          <w:b w:val="0"/>
          <w:sz w:val="22"/>
          <w:szCs w:val="22"/>
          <w:lang w:eastAsia="en-US"/>
        </w:rPr>
        <w:t>799</w:t>
      </w:r>
      <w:r w:rsidR="003F5CD1">
        <w:rPr>
          <w:b w:val="0"/>
          <w:sz w:val="22"/>
          <w:szCs w:val="22"/>
          <w:lang w:eastAsia="en-US"/>
        </w:rPr>
        <w:t> </w:t>
      </w:r>
      <w:r w:rsidRPr="00907622">
        <w:rPr>
          <w:b w:val="0"/>
          <w:sz w:val="22"/>
          <w:szCs w:val="22"/>
          <w:lang w:eastAsia="en-US"/>
        </w:rPr>
        <w:t>tis. eur a </w:t>
      </w:r>
      <w:r w:rsidR="00DF7CD7">
        <w:rPr>
          <w:b w:val="0"/>
          <w:sz w:val="22"/>
          <w:szCs w:val="22"/>
          <w:lang w:eastAsia="en-US"/>
        </w:rPr>
        <w:t>pokles</w:t>
      </w:r>
      <w:r w:rsidRPr="00907622">
        <w:rPr>
          <w:b w:val="0"/>
          <w:sz w:val="22"/>
          <w:szCs w:val="22"/>
          <w:lang w:eastAsia="en-US"/>
        </w:rPr>
        <w:t xml:space="preserve"> </w:t>
      </w:r>
      <w:r w:rsidR="00DF7CD7">
        <w:rPr>
          <w:b w:val="0"/>
          <w:sz w:val="22"/>
          <w:szCs w:val="22"/>
          <w:lang w:eastAsia="en-US"/>
        </w:rPr>
        <w:t>847</w:t>
      </w:r>
      <w:r w:rsidR="00DF7CD7" w:rsidRPr="007253B7">
        <w:rPr>
          <w:b w:val="0"/>
          <w:sz w:val="22"/>
          <w:szCs w:val="22"/>
          <w:lang w:eastAsia="en-US"/>
        </w:rPr>
        <w:t> </w:t>
      </w:r>
      <w:r w:rsidRPr="00907622">
        <w:rPr>
          <w:b w:val="0"/>
          <w:sz w:val="22"/>
          <w:szCs w:val="22"/>
          <w:lang w:eastAsia="en-US"/>
        </w:rPr>
        <w:t>tis. eur</w:t>
      </w:r>
      <w:r w:rsidR="00FC0409">
        <w:rPr>
          <w:b w:val="0"/>
          <w:sz w:val="22"/>
          <w:szCs w:val="22"/>
          <w:lang w:eastAsia="en-US"/>
        </w:rPr>
        <w:t xml:space="preserve"> a</w:t>
      </w:r>
      <w:r w:rsidRPr="00907622">
        <w:rPr>
          <w:b w:val="0"/>
          <w:sz w:val="22"/>
          <w:szCs w:val="22"/>
          <w:lang w:eastAsia="en-US"/>
        </w:rPr>
        <w:t xml:space="preserve"> obstaranie krátkodobého finančného majetku v hodnote 1 </w:t>
      </w:r>
      <w:r w:rsidR="00516114">
        <w:rPr>
          <w:b w:val="0"/>
          <w:sz w:val="22"/>
          <w:szCs w:val="22"/>
          <w:lang w:eastAsia="en-US"/>
        </w:rPr>
        <w:t>51</w:t>
      </w:r>
      <w:r w:rsidR="00BA225A">
        <w:rPr>
          <w:b w:val="0"/>
          <w:sz w:val="22"/>
          <w:szCs w:val="22"/>
          <w:lang w:eastAsia="en-US"/>
        </w:rPr>
        <w:t>4</w:t>
      </w:r>
      <w:r w:rsidR="00516114">
        <w:rPr>
          <w:b w:val="0"/>
          <w:sz w:val="22"/>
          <w:szCs w:val="22"/>
          <w:lang w:eastAsia="en-US"/>
        </w:rPr>
        <w:t xml:space="preserve"> </w:t>
      </w:r>
      <w:r w:rsidRPr="00907622">
        <w:rPr>
          <w:b w:val="0"/>
          <w:sz w:val="22"/>
          <w:szCs w:val="22"/>
          <w:lang w:eastAsia="en-US"/>
        </w:rPr>
        <w:t xml:space="preserve">tis. eur s prírastkom </w:t>
      </w:r>
      <w:r w:rsidR="00460781">
        <w:rPr>
          <w:b w:val="0"/>
          <w:sz w:val="22"/>
          <w:szCs w:val="22"/>
          <w:lang w:eastAsia="en-US"/>
        </w:rPr>
        <w:t>4</w:t>
      </w:r>
      <w:r w:rsidR="0085390E">
        <w:rPr>
          <w:b w:val="0"/>
          <w:sz w:val="22"/>
          <w:szCs w:val="22"/>
          <w:lang w:eastAsia="en-US"/>
        </w:rPr>
        <w:t>1</w:t>
      </w:r>
      <w:r w:rsidR="008C145C">
        <w:rPr>
          <w:b w:val="0"/>
          <w:sz w:val="22"/>
          <w:szCs w:val="22"/>
          <w:lang w:eastAsia="en-US"/>
        </w:rPr>
        <w:t>1</w:t>
      </w:r>
      <w:r w:rsidR="00460781" w:rsidRPr="007253B7">
        <w:rPr>
          <w:b w:val="0"/>
          <w:sz w:val="22"/>
          <w:szCs w:val="22"/>
          <w:lang w:eastAsia="en-US"/>
        </w:rPr>
        <w:t> </w:t>
      </w:r>
      <w:r w:rsidRPr="00907622">
        <w:rPr>
          <w:b w:val="0"/>
          <w:sz w:val="22"/>
          <w:szCs w:val="22"/>
          <w:lang w:eastAsia="en-US"/>
        </w:rPr>
        <w:t xml:space="preserve">tis. eur. Rozhodujúcu hodnotu vykazujú mestá a obce SR </w:t>
      </w:r>
      <w:r w:rsidR="00FC0409">
        <w:rPr>
          <w:b w:val="0"/>
          <w:sz w:val="22"/>
          <w:szCs w:val="22"/>
          <w:lang w:eastAsia="en-US"/>
        </w:rPr>
        <w:t>v sume</w:t>
      </w:r>
      <w:r w:rsidRPr="007253B7">
        <w:rPr>
          <w:b w:val="0"/>
          <w:sz w:val="22"/>
          <w:szCs w:val="22"/>
          <w:lang w:eastAsia="en-US"/>
        </w:rPr>
        <w:t xml:space="preserve"> </w:t>
      </w:r>
      <w:r w:rsidR="0085390E">
        <w:rPr>
          <w:b w:val="0"/>
          <w:sz w:val="22"/>
          <w:szCs w:val="22"/>
          <w:lang w:eastAsia="en-US"/>
        </w:rPr>
        <w:t>1</w:t>
      </w:r>
      <w:r w:rsidR="003F5CD1">
        <w:rPr>
          <w:b w:val="0"/>
          <w:sz w:val="22"/>
          <w:szCs w:val="22"/>
          <w:lang w:eastAsia="en-US"/>
        </w:rPr>
        <w:t> </w:t>
      </w:r>
      <w:r w:rsidR="0085390E">
        <w:rPr>
          <w:b w:val="0"/>
          <w:sz w:val="22"/>
          <w:szCs w:val="22"/>
          <w:lang w:eastAsia="en-US"/>
        </w:rPr>
        <w:t>491</w:t>
      </w:r>
      <w:r w:rsidRPr="00907622">
        <w:rPr>
          <w:b w:val="0"/>
          <w:sz w:val="22"/>
          <w:szCs w:val="22"/>
          <w:lang w:eastAsia="en-US"/>
        </w:rPr>
        <w:t> tis. eur.</w:t>
      </w:r>
    </w:p>
    <w:p w14:paraId="7CADD266" w14:textId="77777777" w:rsidR="00647542" w:rsidRPr="00265F07" w:rsidRDefault="00647542" w:rsidP="0085799C">
      <w:pPr>
        <w:pStyle w:val="Nadpis3"/>
      </w:pPr>
      <w:r w:rsidRPr="00265F07">
        <w:lastRenderedPageBreak/>
        <w:t>C. Časové rozlíšenie aktív</w:t>
      </w:r>
    </w:p>
    <w:p w14:paraId="336D8DB7" w14:textId="14365DED" w:rsidR="00647542" w:rsidRPr="00907622" w:rsidRDefault="00647542" w:rsidP="0085799C">
      <w:pPr>
        <w:pStyle w:val="Pismenka"/>
        <w:tabs>
          <w:tab w:val="clear" w:pos="426"/>
        </w:tabs>
        <w:spacing w:after="120"/>
        <w:ind w:left="0" w:firstLine="0"/>
        <w:rPr>
          <w:b w:val="0"/>
          <w:sz w:val="22"/>
          <w:szCs w:val="22"/>
          <w:lang w:eastAsia="en-US"/>
        </w:rPr>
      </w:pPr>
      <w:r w:rsidRPr="00907622">
        <w:rPr>
          <w:b w:val="0"/>
          <w:sz w:val="22"/>
          <w:szCs w:val="22"/>
          <w:lang w:eastAsia="en-US"/>
        </w:rPr>
        <w:t>V rámci časového rozlíšenia na strane aktív sa vykazujú náklady budúcich období a príjmy budúcich období. Položky časového rozlíšenia slúžia na zaznamenanie časového nesúladu medzi výdavkami a nákladmi a medzi príjmami a výnosmi. Uplatňujú sa v účtovníctve z dôvodu akruálneho princípu účtovania, podľa ktorého sa náklady a výnosy účtujú do obdobia, s ktorým časovo a vecne súvisia</w:t>
      </w:r>
      <w:r w:rsidR="003F5CD1">
        <w:rPr>
          <w:b w:val="0"/>
          <w:sz w:val="22"/>
          <w:szCs w:val="22"/>
          <w:lang w:eastAsia="en-US"/>
        </w:rPr>
        <w:t xml:space="preserve"> </w:t>
      </w:r>
      <w:r w:rsidRPr="00907622">
        <w:rPr>
          <w:b w:val="0"/>
          <w:sz w:val="22"/>
          <w:szCs w:val="22"/>
          <w:lang w:eastAsia="en-US"/>
        </w:rPr>
        <w:t>(bez ohľadu na hotovostné plnenie príjmov a výdavkov).</w:t>
      </w:r>
    </w:p>
    <w:p w14:paraId="0CE2664C" w14:textId="64EBE952" w:rsidR="00647542" w:rsidRPr="00907622" w:rsidRDefault="00647542" w:rsidP="003F5CD1">
      <w:pPr>
        <w:spacing w:after="120" w:line="240" w:lineRule="auto"/>
        <w:jc w:val="both"/>
        <w:rPr>
          <w:rFonts w:ascii="Times New Roman" w:hAnsi="Times New Roman"/>
          <w:szCs w:val="22"/>
          <w:lang w:eastAsia="sk-SK"/>
        </w:rPr>
      </w:pPr>
      <w:r w:rsidRPr="00907622">
        <w:rPr>
          <w:rFonts w:ascii="Times New Roman" w:hAnsi="Times New Roman"/>
          <w:szCs w:val="22"/>
          <w:lang w:eastAsia="sk-SK"/>
        </w:rPr>
        <w:t>Časové rozlíšenie aktív dosiahlo hodnotu 1</w:t>
      </w:r>
      <w:r w:rsidR="003F5CD1">
        <w:rPr>
          <w:rFonts w:ascii="Times New Roman" w:hAnsi="Times New Roman"/>
          <w:szCs w:val="22"/>
          <w:lang w:eastAsia="sk-SK"/>
        </w:rPr>
        <w:t> </w:t>
      </w:r>
      <w:r w:rsidR="006A0224">
        <w:rPr>
          <w:rFonts w:ascii="Times New Roman" w:hAnsi="Times New Roman"/>
          <w:szCs w:val="22"/>
          <w:lang w:eastAsia="sk-SK"/>
        </w:rPr>
        <w:t>901</w:t>
      </w:r>
      <w:r w:rsidR="003F5CD1">
        <w:rPr>
          <w:rFonts w:ascii="Times New Roman" w:hAnsi="Times New Roman"/>
          <w:szCs w:val="22"/>
          <w:lang w:eastAsia="sk-SK"/>
        </w:rPr>
        <w:t> </w:t>
      </w:r>
      <w:r w:rsidR="006A0224">
        <w:rPr>
          <w:rFonts w:ascii="Times New Roman" w:hAnsi="Times New Roman"/>
          <w:szCs w:val="22"/>
          <w:lang w:eastAsia="sk-SK"/>
        </w:rPr>
        <w:t>340</w:t>
      </w:r>
      <w:r w:rsidRPr="00907622">
        <w:rPr>
          <w:rFonts w:ascii="Times New Roman" w:hAnsi="Times New Roman"/>
          <w:szCs w:val="22"/>
          <w:lang w:eastAsia="sk-SK"/>
        </w:rPr>
        <w:t> tis. eur a medziročne sa zvýšilo o </w:t>
      </w:r>
      <w:r w:rsidR="006A0224">
        <w:rPr>
          <w:rFonts w:ascii="Times New Roman" w:hAnsi="Times New Roman"/>
          <w:szCs w:val="22"/>
          <w:lang w:eastAsia="sk-SK"/>
        </w:rPr>
        <w:t>641</w:t>
      </w:r>
      <w:r w:rsidR="00B83ACD">
        <w:rPr>
          <w:rFonts w:ascii="Times New Roman" w:hAnsi="Times New Roman"/>
          <w:szCs w:val="22"/>
          <w:lang w:eastAsia="sk-SK"/>
        </w:rPr>
        <w:t xml:space="preserve"> 639</w:t>
      </w:r>
      <w:r w:rsidRPr="00907622">
        <w:rPr>
          <w:rFonts w:ascii="Times New Roman" w:hAnsi="Times New Roman"/>
          <w:szCs w:val="22"/>
          <w:lang w:eastAsia="sk-SK"/>
        </w:rPr>
        <w:t> tis. eur.</w:t>
      </w:r>
      <w:r w:rsidRPr="00907622">
        <w:rPr>
          <w:rFonts w:ascii="Times New Roman" w:hAnsi="Times New Roman"/>
          <w:color w:val="FF0000"/>
          <w:szCs w:val="22"/>
          <w:lang w:eastAsia="sk-SK"/>
        </w:rPr>
        <w:t xml:space="preserve"> </w:t>
      </w:r>
      <w:r w:rsidRPr="00907622">
        <w:rPr>
          <w:rFonts w:ascii="Times New Roman" w:hAnsi="Times New Roman"/>
          <w:szCs w:val="22"/>
          <w:lang w:eastAsia="sk-SK"/>
        </w:rPr>
        <w:t>Náklady budúcich období dosiahli hodnotu 1</w:t>
      </w:r>
      <w:r w:rsidR="003F5CD1">
        <w:rPr>
          <w:rFonts w:ascii="Times New Roman" w:hAnsi="Times New Roman"/>
          <w:szCs w:val="22"/>
          <w:lang w:eastAsia="sk-SK"/>
        </w:rPr>
        <w:t> </w:t>
      </w:r>
      <w:r w:rsidR="00B83ACD">
        <w:rPr>
          <w:rFonts w:ascii="Times New Roman" w:hAnsi="Times New Roman"/>
          <w:szCs w:val="22"/>
          <w:lang w:eastAsia="sk-SK"/>
        </w:rPr>
        <w:t>854</w:t>
      </w:r>
      <w:r w:rsidR="003F5CD1">
        <w:rPr>
          <w:rFonts w:ascii="Times New Roman" w:hAnsi="Times New Roman"/>
          <w:szCs w:val="22"/>
          <w:lang w:eastAsia="sk-SK"/>
        </w:rPr>
        <w:t> </w:t>
      </w:r>
      <w:r w:rsidR="00B83ACD">
        <w:rPr>
          <w:rFonts w:ascii="Times New Roman" w:hAnsi="Times New Roman"/>
          <w:szCs w:val="22"/>
          <w:lang w:eastAsia="sk-SK"/>
        </w:rPr>
        <w:t>350</w:t>
      </w:r>
      <w:r w:rsidRPr="00907622">
        <w:rPr>
          <w:rFonts w:ascii="Times New Roman" w:hAnsi="Times New Roman"/>
          <w:szCs w:val="22"/>
          <w:lang w:eastAsia="sk-SK"/>
        </w:rPr>
        <w:t xml:space="preserve"> tis. eur (vrátane komplexných nákladov budúcich období) a príjmy budúcich období </w:t>
      </w:r>
      <w:r w:rsidRPr="000E322B">
        <w:rPr>
          <w:rFonts w:ascii="Times New Roman" w:hAnsi="Times New Roman"/>
          <w:szCs w:val="22"/>
          <w:lang w:eastAsia="sk-SK"/>
        </w:rPr>
        <w:t>4</w:t>
      </w:r>
      <w:r w:rsidR="001D3111">
        <w:rPr>
          <w:rFonts w:ascii="Times New Roman" w:hAnsi="Times New Roman"/>
          <w:szCs w:val="22"/>
          <w:lang w:eastAsia="sk-SK"/>
        </w:rPr>
        <w:t>6</w:t>
      </w:r>
      <w:r w:rsidR="003F5CD1">
        <w:rPr>
          <w:rFonts w:ascii="Times New Roman" w:hAnsi="Times New Roman"/>
          <w:szCs w:val="22"/>
          <w:lang w:eastAsia="sk-SK"/>
        </w:rPr>
        <w:t> </w:t>
      </w:r>
      <w:r w:rsidR="001D3111">
        <w:rPr>
          <w:rFonts w:ascii="Times New Roman" w:hAnsi="Times New Roman"/>
          <w:szCs w:val="22"/>
          <w:lang w:eastAsia="sk-SK"/>
        </w:rPr>
        <w:t>991</w:t>
      </w:r>
      <w:r w:rsidRPr="00907622">
        <w:rPr>
          <w:rFonts w:ascii="Times New Roman" w:hAnsi="Times New Roman"/>
          <w:szCs w:val="22"/>
          <w:lang w:eastAsia="sk-SK"/>
        </w:rPr>
        <w:t> tis. eur.</w:t>
      </w:r>
    </w:p>
    <w:p w14:paraId="5351BB1D" w14:textId="3E2189AB" w:rsidR="00B23324" w:rsidRPr="00D7307A" w:rsidRDefault="00647542" w:rsidP="003F5CD1">
      <w:pPr>
        <w:spacing w:after="120" w:line="240" w:lineRule="auto"/>
        <w:jc w:val="both"/>
        <w:rPr>
          <w:rFonts w:ascii="Times New Roman" w:eastAsia="Calibri" w:hAnsi="Times New Roman"/>
        </w:rPr>
      </w:pPr>
      <w:r w:rsidRPr="2DFDA7B4">
        <w:rPr>
          <w:rFonts w:ascii="Times New Roman" w:hAnsi="Times New Roman"/>
          <w:lang w:eastAsia="sk-SK"/>
        </w:rPr>
        <w:t xml:space="preserve">Rozhodujúci podiel na </w:t>
      </w:r>
      <w:r w:rsidRPr="2DFDA7B4">
        <w:rPr>
          <w:rFonts w:ascii="Times New Roman" w:hAnsi="Times New Roman"/>
          <w:u w:val="single"/>
          <w:lang w:eastAsia="sk-SK"/>
        </w:rPr>
        <w:t>nákladoch budúcich období</w:t>
      </w:r>
      <w:r w:rsidRPr="2DFDA7B4">
        <w:rPr>
          <w:rFonts w:ascii="Times New Roman" w:hAnsi="Times New Roman"/>
          <w:lang w:eastAsia="sk-SK"/>
        </w:rPr>
        <w:t xml:space="preserve"> má ústredná správa, a</w:t>
      </w:r>
      <w:r w:rsidR="0066157D" w:rsidRPr="2DFDA7B4">
        <w:rPr>
          <w:rFonts w:ascii="Times New Roman" w:hAnsi="Times New Roman"/>
          <w:lang w:eastAsia="sk-SK"/>
        </w:rPr>
        <w:t> </w:t>
      </w:r>
      <w:r w:rsidRPr="2DFDA7B4">
        <w:rPr>
          <w:rFonts w:ascii="Times New Roman" w:hAnsi="Times New Roman"/>
          <w:lang w:eastAsia="sk-SK"/>
        </w:rPr>
        <w:t>to</w:t>
      </w:r>
      <w:r w:rsidR="0066157D" w:rsidRPr="2DFDA7B4">
        <w:rPr>
          <w:rFonts w:ascii="Times New Roman" w:hAnsi="Times New Roman"/>
          <w:lang w:eastAsia="sk-SK"/>
        </w:rPr>
        <w:t xml:space="preserve"> sumou</w:t>
      </w:r>
      <w:r w:rsidRPr="2DFDA7B4">
        <w:rPr>
          <w:rFonts w:ascii="Times New Roman" w:hAnsi="Times New Roman"/>
          <w:lang w:eastAsia="sk-SK"/>
        </w:rPr>
        <w:t xml:space="preserve"> 1</w:t>
      </w:r>
      <w:r w:rsidR="003F5CD1">
        <w:rPr>
          <w:rFonts w:ascii="Times New Roman" w:hAnsi="Times New Roman"/>
          <w:lang w:eastAsia="sk-SK"/>
        </w:rPr>
        <w:t> </w:t>
      </w:r>
      <w:r w:rsidR="00EA2719" w:rsidRPr="2DFDA7B4">
        <w:rPr>
          <w:rFonts w:ascii="Times New Roman" w:hAnsi="Times New Roman"/>
          <w:lang w:eastAsia="sk-SK"/>
        </w:rPr>
        <w:t>808</w:t>
      </w:r>
      <w:r w:rsidR="003F5CD1">
        <w:rPr>
          <w:rFonts w:ascii="Times New Roman" w:hAnsi="Times New Roman"/>
          <w:lang w:eastAsia="sk-SK"/>
        </w:rPr>
        <w:t> </w:t>
      </w:r>
      <w:r w:rsidR="00EA2719" w:rsidRPr="2DFDA7B4">
        <w:rPr>
          <w:rFonts w:ascii="Times New Roman" w:hAnsi="Times New Roman"/>
          <w:lang w:eastAsia="sk-SK"/>
        </w:rPr>
        <w:t>2</w:t>
      </w:r>
      <w:r w:rsidR="008432BF">
        <w:rPr>
          <w:rFonts w:ascii="Times New Roman" w:hAnsi="Times New Roman"/>
          <w:lang w:eastAsia="sk-SK"/>
        </w:rPr>
        <w:t>2</w:t>
      </w:r>
      <w:r w:rsidR="00EA2719" w:rsidRPr="2DFDA7B4">
        <w:rPr>
          <w:rFonts w:ascii="Times New Roman" w:hAnsi="Times New Roman"/>
          <w:lang w:eastAsia="sk-SK"/>
        </w:rPr>
        <w:t>3</w:t>
      </w:r>
      <w:r w:rsidRPr="2DFDA7B4">
        <w:rPr>
          <w:rFonts w:ascii="Times New Roman" w:hAnsi="Times New Roman"/>
          <w:lang w:eastAsia="sk-SK"/>
        </w:rPr>
        <w:t> tis. eur</w:t>
      </w:r>
      <w:r w:rsidR="0066157D" w:rsidRPr="2DFDA7B4">
        <w:rPr>
          <w:rFonts w:ascii="Times New Roman" w:hAnsi="Times New Roman"/>
          <w:lang w:eastAsia="sk-SK"/>
        </w:rPr>
        <w:t>, ktorá bola m</w:t>
      </w:r>
      <w:r w:rsidR="455735A9" w:rsidRPr="0085799C">
        <w:rPr>
          <w:rFonts w:ascii="Times New Roman" w:eastAsia="Calibri" w:hAnsi="Times New Roman"/>
        </w:rPr>
        <w:t>edziročne vyšši</w:t>
      </w:r>
      <w:r w:rsidR="0066157D" w:rsidRPr="2DFDA7B4">
        <w:rPr>
          <w:rFonts w:ascii="Times New Roman" w:eastAsia="Calibri" w:hAnsi="Times New Roman"/>
        </w:rPr>
        <w:t>a</w:t>
      </w:r>
      <w:r w:rsidR="455735A9" w:rsidRPr="0085799C">
        <w:rPr>
          <w:rFonts w:ascii="Times New Roman" w:eastAsia="Calibri" w:hAnsi="Times New Roman"/>
        </w:rPr>
        <w:t xml:space="preserve"> o 651</w:t>
      </w:r>
      <w:r w:rsidR="0066157D" w:rsidRPr="2DFDA7B4">
        <w:rPr>
          <w:rFonts w:ascii="Times New Roman" w:eastAsia="Calibri" w:hAnsi="Times New Roman"/>
        </w:rPr>
        <w:t> </w:t>
      </w:r>
      <w:r w:rsidR="455735A9" w:rsidRPr="0085799C">
        <w:rPr>
          <w:rFonts w:ascii="Times New Roman" w:eastAsia="Calibri" w:hAnsi="Times New Roman"/>
        </w:rPr>
        <w:t>10</w:t>
      </w:r>
      <w:r w:rsidR="0066157D" w:rsidRPr="2DFDA7B4">
        <w:rPr>
          <w:rFonts w:ascii="Times New Roman" w:eastAsia="Calibri" w:hAnsi="Times New Roman"/>
        </w:rPr>
        <w:t xml:space="preserve">8 tis. </w:t>
      </w:r>
      <w:r w:rsidR="455735A9" w:rsidRPr="0085799C">
        <w:rPr>
          <w:rFonts w:ascii="Times New Roman" w:eastAsia="Calibri" w:hAnsi="Times New Roman"/>
        </w:rPr>
        <w:t xml:space="preserve">eur. V nákladoch budúcich období vykázalo najvyššiu hodnotu </w:t>
      </w:r>
      <w:r w:rsidR="455735A9" w:rsidRPr="0085799C">
        <w:rPr>
          <w:rFonts w:ascii="Times New Roman" w:eastAsia="Calibri" w:hAnsi="Times New Roman"/>
          <w:u w:val="single"/>
        </w:rPr>
        <w:t>Ministerstvo financií SR</w:t>
      </w:r>
      <w:r w:rsidR="455735A9" w:rsidRPr="0085799C">
        <w:rPr>
          <w:rFonts w:ascii="Times New Roman" w:eastAsia="Calibri" w:hAnsi="Times New Roman"/>
        </w:rPr>
        <w:t xml:space="preserve"> vo výške</w:t>
      </w:r>
      <w:r w:rsidR="455735A9" w:rsidRPr="2DFDA7B4">
        <w:rPr>
          <w:rFonts w:ascii="Times New Roman" w:eastAsia="Calibri" w:hAnsi="Times New Roman"/>
        </w:rPr>
        <w:t xml:space="preserve"> </w:t>
      </w:r>
      <w:r w:rsidR="008A6BFD" w:rsidRPr="2DFDA7B4">
        <w:rPr>
          <w:rFonts w:ascii="Times New Roman" w:eastAsia="Calibri" w:hAnsi="Times New Roman"/>
        </w:rPr>
        <w:t xml:space="preserve"> </w:t>
      </w:r>
      <w:r w:rsidR="455735A9" w:rsidRPr="0085799C">
        <w:rPr>
          <w:rFonts w:ascii="Times New Roman" w:eastAsia="Calibri" w:hAnsi="Times New Roman"/>
        </w:rPr>
        <w:t>1</w:t>
      </w:r>
      <w:r w:rsidR="004F2EDA" w:rsidRPr="2DFDA7B4">
        <w:rPr>
          <w:rFonts w:ascii="Times New Roman" w:eastAsia="Calibri" w:hAnsi="Times New Roman"/>
        </w:rPr>
        <w:t> </w:t>
      </w:r>
      <w:r w:rsidR="455735A9" w:rsidRPr="0085799C">
        <w:rPr>
          <w:rFonts w:ascii="Times New Roman" w:eastAsia="Calibri" w:hAnsi="Times New Roman"/>
        </w:rPr>
        <w:t>656</w:t>
      </w:r>
      <w:r w:rsidR="00D12057" w:rsidRPr="2DFDA7B4">
        <w:rPr>
          <w:rFonts w:ascii="Times New Roman" w:eastAsia="Calibri" w:hAnsi="Times New Roman"/>
        </w:rPr>
        <w:t> </w:t>
      </w:r>
      <w:r w:rsidR="455735A9" w:rsidRPr="0085799C">
        <w:rPr>
          <w:rFonts w:ascii="Times New Roman" w:eastAsia="Calibri" w:hAnsi="Times New Roman"/>
        </w:rPr>
        <w:t>92</w:t>
      </w:r>
      <w:r w:rsidR="00D12057" w:rsidRPr="2DFDA7B4">
        <w:rPr>
          <w:rFonts w:ascii="Times New Roman" w:eastAsia="Calibri" w:hAnsi="Times New Roman"/>
        </w:rPr>
        <w:t>3 tis.</w:t>
      </w:r>
      <w:r w:rsidR="004F2EDA" w:rsidRPr="2DFDA7B4">
        <w:rPr>
          <w:rFonts w:ascii="Times New Roman" w:eastAsia="Calibri" w:hAnsi="Times New Roman"/>
        </w:rPr>
        <w:t> </w:t>
      </w:r>
      <w:r w:rsidR="455735A9" w:rsidRPr="0085799C">
        <w:rPr>
          <w:rFonts w:ascii="Times New Roman" w:eastAsia="Calibri" w:hAnsi="Times New Roman"/>
        </w:rPr>
        <w:t>eur</w:t>
      </w:r>
      <w:r w:rsidR="455735A9" w:rsidRPr="0085799C">
        <w:rPr>
          <w:rFonts w:ascii="Times New Roman" w:eastAsia="Calibri" w:hAnsi="Times New Roman"/>
          <w:color w:val="C00000"/>
        </w:rPr>
        <w:t xml:space="preserve"> </w:t>
      </w:r>
      <w:r w:rsidR="455735A9" w:rsidRPr="0085799C">
        <w:rPr>
          <w:rFonts w:ascii="Times New Roman" w:eastAsia="Calibri" w:hAnsi="Times New Roman"/>
        </w:rPr>
        <w:t>(2023: 1</w:t>
      </w:r>
      <w:r w:rsidR="003F5CD1">
        <w:rPr>
          <w:rFonts w:ascii="Times New Roman" w:eastAsia="Calibri" w:hAnsi="Times New Roman"/>
        </w:rPr>
        <w:t> </w:t>
      </w:r>
      <w:r w:rsidR="455735A9" w:rsidRPr="0085799C">
        <w:rPr>
          <w:rFonts w:ascii="Times New Roman" w:eastAsia="Calibri" w:hAnsi="Times New Roman"/>
        </w:rPr>
        <w:t>019</w:t>
      </w:r>
      <w:r w:rsidR="003F5CD1">
        <w:rPr>
          <w:rFonts w:ascii="Times New Roman" w:eastAsia="Calibri" w:hAnsi="Times New Roman"/>
        </w:rPr>
        <w:t> </w:t>
      </w:r>
      <w:r w:rsidR="455735A9" w:rsidRPr="0085799C">
        <w:rPr>
          <w:rFonts w:ascii="Times New Roman" w:eastAsia="Calibri" w:hAnsi="Times New Roman"/>
        </w:rPr>
        <w:t>972</w:t>
      </w:r>
      <w:r w:rsidR="003F5CD1">
        <w:rPr>
          <w:rFonts w:ascii="Times New Roman" w:eastAsia="Calibri" w:hAnsi="Times New Roman"/>
        </w:rPr>
        <w:t> </w:t>
      </w:r>
      <w:r w:rsidR="00D12057" w:rsidRPr="2DFDA7B4">
        <w:rPr>
          <w:rFonts w:ascii="Times New Roman" w:eastAsia="Calibri" w:hAnsi="Times New Roman"/>
        </w:rPr>
        <w:t>tis.</w:t>
      </w:r>
      <w:r w:rsidR="003F5CD1">
        <w:rPr>
          <w:rFonts w:ascii="Times New Roman" w:eastAsia="Calibri" w:hAnsi="Times New Roman"/>
        </w:rPr>
        <w:t> </w:t>
      </w:r>
      <w:r w:rsidR="455735A9" w:rsidRPr="0085799C">
        <w:rPr>
          <w:rFonts w:ascii="Times New Roman" w:eastAsia="Calibri" w:hAnsi="Times New Roman"/>
        </w:rPr>
        <w:t xml:space="preserve">eur). </w:t>
      </w:r>
      <w:r w:rsidR="00B23324" w:rsidRPr="2DFDA7B4">
        <w:rPr>
          <w:rFonts w:ascii="Times New Roman" w:eastAsia="Calibri" w:hAnsi="Times New Roman"/>
        </w:rPr>
        <w:t>Zostatok predstavoval najmä diskont z predaja štátnych dlhopisov a</w:t>
      </w:r>
      <w:r w:rsidR="003F5CD1">
        <w:rPr>
          <w:rFonts w:ascii="Times New Roman" w:eastAsia="Calibri" w:hAnsi="Times New Roman"/>
        </w:rPr>
        <w:t xml:space="preserve"> </w:t>
      </w:r>
      <w:proofErr w:type="spellStart"/>
      <w:r w:rsidR="00B23324" w:rsidRPr="2DFDA7B4">
        <w:rPr>
          <w:rFonts w:ascii="Times New Roman" w:eastAsia="Calibri" w:hAnsi="Times New Roman"/>
        </w:rPr>
        <w:t>akrualizovaný</w:t>
      </w:r>
      <w:proofErr w:type="spellEnd"/>
      <w:r w:rsidR="00B23324" w:rsidRPr="2DFDA7B4">
        <w:rPr>
          <w:rFonts w:ascii="Times New Roman" w:eastAsia="Calibri" w:hAnsi="Times New Roman"/>
        </w:rPr>
        <w:t xml:space="preserve"> nákladový úrok z obchodov na finančnom trhu v súvislosti so správou štátneho dlhu. Hodnota týchto budúcich nákladov bola k </w:t>
      </w:r>
      <w:proofErr w:type="spellStart"/>
      <w:r w:rsidR="00B23324" w:rsidRPr="2DFDA7B4">
        <w:rPr>
          <w:rFonts w:ascii="Times New Roman" w:eastAsia="Calibri" w:hAnsi="Times New Roman"/>
        </w:rPr>
        <w:t>ultimu</w:t>
      </w:r>
      <w:proofErr w:type="spellEnd"/>
      <w:r w:rsidR="00B23324" w:rsidRPr="2DFDA7B4">
        <w:rPr>
          <w:rFonts w:ascii="Times New Roman" w:eastAsia="Calibri" w:hAnsi="Times New Roman"/>
        </w:rPr>
        <w:t xml:space="preserve"> roka 1 626</w:t>
      </w:r>
      <w:r w:rsidR="00D7307A" w:rsidRPr="2DFDA7B4">
        <w:rPr>
          <w:rFonts w:ascii="Times New Roman" w:eastAsia="Calibri" w:hAnsi="Times New Roman"/>
        </w:rPr>
        <w:t> </w:t>
      </w:r>
      <w:r w:rsidR="00B23324" w:rsidRPr="2DFDA7B4">
        <w:rPr>
          <w:rFonts w:ascii="Times New Roman" w:eastAsia="Calibri" w:hAnsi="Times New Roman"/>
        </w:rPr>
        <w:t>93</w:t>
      </w:r>
      <w:r w:rsidR="00D7307A" w:rsidRPr="2DFDA7B4">
        <w:rPr>
          <w:rFonts w:ascii="Times New Roman" w:eastAsia="Calibri" w:hAnsi="Times New Roman"/>
        </w:rPr>
        <w:t>7 tis.</w:t>
      </w:r>
      <w:r w:rsidR="00B23324" w:rsidRPr="2DFDA7B4">
        <w:rPr>
          <w:rFonts w:ascii="Times New Roman" w:eastAsia="Calibri" w:hAnsi="Times New Roman"/>
        </w:rPr>
        <w:t xml:space="preserve"> eur a v porovnaní s rokom 2023 diskont štátnych dlhopisov vzrástol o 640</w:t>
      </w:r>
      <w:r w:rsidR="00D7307A" w:rsidRPr="2DFDA7B4">
        <w:rPr>
          <w:rFonts w:ascii="Times New Roman" w:eastAsia="Calibri" w:hAnsi="Times New Roman"/>
        </w:rPr>
        <w:t> </w:t>
      </w:r>
      <w:r w:rsidR="00B23324" w:rsidRPr="2DFDA7B4">
        <w:rPr>
          <w:rFonts w:ascii="Times New Roman" w:eastAsia="Calibri" w:hAnsi="Times New Roman"/>
        </w:rPr>
        <w:t>34</w:t>
      </w:r>
      <w:r w:rsidR="00D7307A" w:rsidRPr="2DFDA7B4">
        <w:rPr>
          <w:rFonts w:ascii="Times New Roman" w:eastAsia="Calibri" w:hAnsi="Times New Roman"/>
        </w:rPr>
        <w:t>4 tis.</w:t>
      </w:r>
      <w:r w:rsidR="00B23324" w:rsidRPr="2DFDA7B4">
        <w:rPr>
          <w:rFonts w:ascii="Times New Roman" w:eastAsia="Calibri" w:hAnsi="Times New Roman"/>
        </w:rPr>
        <w:t xml:space="preserve"> eur najmä z dôvodu nárastu úrokových sadzieb na finančnom trhu a vyššieho objemu emitovaných dlhopisov v roku 2024. Diskont predstavuje rozdiel medzi nominálnou a predajnou cenou dlhopisu. </w:t>
      </w:r>
    </w:p>
    <w:p w14:paraId="1A9AFB6F" w14:textId="39DA1C36" w:rsidR="00B23324" w:rsidRPr="00B23324" w:rsidRDefault="00B23324" w:rsidP="003F5CD1">
      <w:pPr>
        <w:spacing w:after="120" w:line="240" w:lineRule="auto"/>
        <w:jc w:val="both"/>
        <w:rPr>
          <w:rFonts w:ascii="Times New Roman" w:eastAsia="Calibri" w:hAnsi="Times New Roman"/>
          <w:bCs/>
          <w:szCs w:val="22"/>
        </w:rPr>
      </w:pPr>
      <w:r w:rsidRPr="5AFADCF2">
        <w:rPr>
          <w:rFonts w:ascii="Times New Roman" w:eastAsia="Calibri" w:hAnsi="Times New Roman"/>
        </w:rPr>
        <w:t xml:space="preserve">Na zostatku účtu nákladov budúcich období sa významne podieľalo taktiež </w:t>
      </w:r>
      <w:r w:rsidRPr="0085799C">
        <w:rPr>
          <w:rFonts w:ascii="Times New Roman" w:eastAsia="Calibri" w:hAnsi="Times New Roman"/>
          <w:u w:val="single"/>
        </w:rPr>
        <w:t>Ministerstvo vnútra SR</w:t>
      </w:r>
      <w:r w:rsidRPr="5AFADCF2">
        <w:rPr>
          <w:rFonts w:ascii="Times New Roman" w:eastAsia="Calibri" w:hAnsi="Times New Roman"/>
        </w:rPr>
        <w:t xml:space="preserve"> sumou 25 136 </w:t>
      </w:r>
      <w:r w:rsidR="007D2DE2" w:rsidRPr="5AFADCF2">
        <w:rPr>
          <w:rFonts w:ascii="Times New Roman" w:eastAsia="Calibri" w:hAnsi="Times New Roman"/>
        </w:rPr>
        <w:t>tis.</w:t>
      </w:r>
      <w:r w:rsidRPr="5AFADCF2">
        <w:rPr>
          <w:rFonts w:ascii="Times New Roman" w:eastAsia="Calibri" w:hAnsi="Times New Roman"/>
        </w:rPr>
        <w:t xml:space="preserve"> eur,</w:t>
      </w:r>
      <w:r w:rsidRPr="5AFADCF2">
        <w:rPr>
          <w:rFonts w:ascii="Times New Roman" w:eastAsia="Calibri" w:hAnsi="Times New Roman"/>
          <w:b/>
          <w:i/>
        </w:rPr>
        <w:t xml:space="preserve"> </w:t>
      </w:r>
      <w:r w:rsidRPr="0085799C">
        <w:rPr>
          <w:rFonts w:ascii="Times New Roman" w:eastAsia="Calibri" w:hAnsi="Times New Roman"/>
          <w:u w:val="single"/>
        </w:rPr>
        <w:t>Ministerstvo školstva, výskumu, vývoja a mládeže SR</w:t>
      </w:r>
      <w:r w:rsidRPr="5AFADCF2">
        <w:rPr>
          <w:rFonts w:ascii="Times New Roman" w:eastAsia="Calibri" w:hAnsi="Times New Roman"/>
          <w:b/>
          <w:i/>
        </w:rPr>
        <w:t xml:space="preserve"> </w:t>
      </w:r>
      <w:r w:rsidRPr="5AFADCF2">
        <w:rPr>
          <w:rFonts w:ascii="Times New Roman" w:eastAsia="Calibri" w:hAnsi="Times New Roman"/>
        </w:rPr>
        <w:t>sumou 23</w:t>
      </w:r>
      <w:r w:rsidR="003F5CD1">
        <w:rPr>
          <w:rFonts w:ascii="Times New Roman" w:eastAsia="Calibri" w:hAnsi="Times New Roman"/>
        </w:rPr>
        <w:t> </w:t>
      </w:r>
      <w:r w:rsidRPr="5AFADCF2">
        <w:rPr>
          <w:rFonts w:ascii="Times New Roman" w:eastAsia="Calibri" w:hAnsi="Times New Roman"/>
        </w:rPr>
        <w:t>59</w:t>
      </w:r>
      <w:r w:rsidR="007D2DE2" w:rsidRPr="5AFADCF2">
        <w:rPr>
          <w:rFonts w:ascii="Times New Roman" w:eastAsia="Calibri" w:hAnsi="Times New Roman"/>
        </w:rPr>
        <w:t>5</w:t>
      </w:r>
      <w:r w:rsidR="003F5CD1">
        <w:rPr>
          <w:rFonts w:ascii="Times New Roman" w:eastAsia="Calibri" w:hAnsi="Times New Roman"/>
        </w:rPr>
        <w:t> </w:t>
      </w:r>
      <w:r w:rsidR="007D2DE2" w:rsidRPr="5AFADCF2">
        <w:rPr>
          <w:rFonts w:ascii="Times New Roman" w:eastAsia="Calibri" w:hAnsi="Times New Roman"/>
        </w:rPr>
        <w:t>tis.</w:t>
      </w:r>
      <w:r w:rsidR="003F5CD1">
        <w:rPr>
          <w:rFonts w:ascii="Times New Roman" w:eastAsia="Calibri" w:hAnsi="Times New Roman"/>
        </w:rPr>
        <w:t> </w:t>
      </w:r>
      <w:r w:rsidRPr="5AFADCF2">
        <w:rPr>
          <w:rFonts w:ascii="Times New Roman" w:eastAsia="Calibri" w:hAnsi="Times New Roman"/>
        </w:rPr>
        <w:t xml:space="preserve">eur, </w:t>
      </w:r>
      <w:r w:rsidRPr="0085799C">
        <w:rPr>
          <w:rFonts w:ascii="Times New Roman" w:eastAsia="Calibri" w:hAnsi="Times New Roman"/>
        </w:rPr>
        <w:t>Všeobecná zdravotná poisťovňa, a.s.</w:t>
      </w:r>
      <w:r w:rsidRPr="5AFADCF2">
        <w:rPr>
          <w:rFonts w:ascii="Times New Roman" w:eastAsia="Calibri" w:hAnsi="Times New Roman"/>
        </w:rPr>
        <w:t>, sumou 13</w:t>
      </w:r>
      <w:r w:rsidR="003F5CD1">
        <w:rPr>
          <w:rFonts w:ascii="Times New Roman" w:eastAsia="Calibri" w:hAnsi="Times New Roman"/>
        </w:rPr>
        <w:t> </w:t>
      </w:r>
      <w:r w:rsidRPr="5AFADCF2">
        <w:rPr>
          <w:rFonts w:ascii="Times New Roman" w:eastAsia="Calibri" w:hAnsi="Times New Roman"/>
        </w:rPr>
        <w:t>571</w:t>
      </w:r>
      <w:r w:rsidR="003F5CD1">
        <w:rPr>
          <w:rFonts w:ascii="Times New Roman" w:eastAsia="Calibri" w:hAnsi="Times New Roman"/>
        </w:rPr>
        <w:t> </w:t>
      </w:r>
      <w:r w:rsidR="007D2DE2" w:rsidRPr="5AFADCF2">
        <w:rPr>
          <w:rFonts w:ascii="Times New Roman" w:eastAsia="Calibri" w:hAnsi="Times New Roman"/>
        </w:rPr>
        <w:t>tis.</w:t>
      </w:r>
      <w:r w:rsidR="003F5CD1">
        <w:rPr>
          <w:rFonts w:ascii="Times New Roman" w:eastAsia="Calibri" w:hAnsi="Times New Roman"/>
        </w:rPr>
        <w:t> </w:t>
      </w:r>
      <w:r w:rsidRPr="5AFADCF2">
        <w:rPr>
          <w:rFonts w:ascii="Times New Roman" w:eastAsia="Calibri" w:hAnsi="Times New Roman"/>
        </w:rPr>
        <w:t xml:space="preserve">eur a </w:t>
      </w:r>
      <w:r w:rsidRPr="0085799C">
        <w:rPr>
          <w:rFonts w:ascii="Times New Roman" w:eastAsia="Calibri" w:hAnsi="Times New Roman"/>
          <w:u w:val="single"/>
        </w:rPr>
        <w:t>Ministerstvo zahraničných vecí a európskych záležitostí SR</w:t>
      </w:r>
      <w:r w:rsidRPr="5AFADCF2">
        <w:rPr>
          <w:rFonts w:ascii="Times New Roman" w:eastAsia="Calibri" w:hAnsi="Times New Roman"/>
        </w:rPr>
        <w:t xml:space="preserve"> sumou 9</w:t>
      </w:r>
      <w:r w:rsidR="007D2DE2" w:rsidRPr="5AFADCF2">
        <w:rPr>
          <w:rFonts w:ascii="Times New Roman" w:eastAsia="Calibri" w:hAnsi="Times New Roman"/>
        </w:rPr>
        <w:t> </w:t>
      </w:r>
      <w:r w:rsidRPr="5AFADCF2">
        <w:rPr>
          <w:rFonts w:ascii="Times New Roman" w:eastAsia="Calibri" w:hAnsi="Times New Roman"/>
        </w:rPr>
        <w:t>97</w:t>
      </w:r>
      <w:r w:rsidR="007D2DE2" w:rsidRPr="5AFADCF2">
        <w:rPr>
          <w:rFonts w:ascii="Times New Roman" w:eastAsia="Calibri" w:hAnsi="Times New Roman"/>
        </w:rPr>
        <w:t>1</w:t>
      </w:r>
      <w:r w:rsidR="003F5CD1">
        <w:rPr>
          <w:rFonts w:ascii="Times New Roman" w:eastAsia="Calibri" w:hAnsi="Times New Roman"/>
        </w:rPr>
        <w:t> </w:t>
      </w:r>
      <w:r w:rsidR="007D2DE2" w:rsidRPr="5AFADCF2">
        <w:rPr>
          <w:rFonts w:ascii="Times New Roman" w:eastAsia="Calibri" w:hAnsi="Times New Roman"/>
        </w:rPr>
        <w:t xml:space="preserve">tis. </w:t>
      </w:r>
      <w:r w:rsidRPr="5AFADCF2">
        <w:rPr>
          <w:rFonts w:ascii="Times New Roman" w:eastAsia="Calibri" w:hAnsi="Times New Roman"/>
        </w:rPr>
        <w:t xml:space="preserve">eur. </w:t>
      </w:r>
    </w:p>
    <w:p w14:paraId="1D20667E" w14:textId="37FDD5C2" w:rsidR="00647542" w:rsidRPr="0085799C" w:rsidRDefault="00B23324" w:rsidP="0085799C">
      <w:pPr>
        <w:spacing w:after="120" w:line="240" w:lineRule="auto"/>
        <w:jc w:val="both"/>
        <w:rPr>
          <w:rFonts w:ascii="Times New Roman" w:eastAsia="Calibri" w:hAnsi="Times New Roman"/>
          <w:szCs w:val="22"/>
        </w:rPr>
      </w:pPr>
      <w:r w:rsidRPr="3F64C336">
        <w:rPr>
          <w:rFonts w:ascii="Times New Roman" w:eastAsia="Calibri" w:hAnsi="Times New Roman"/>
          <w:u w:val="single"/>
        </w:rPr>
        <w:t>Príjmy budúcich období</w:t>
      </w:r>
      <w:r w:rsidRPr="3F64C336">
        <w:rPr>
          <w:rFonts w:ascii="Times New Roman" w:eastAsia="Calibri" w:hAnsi="Times New Roman"/>
        </w:rPr>
        <w:t xml:space="preserve"> dosiahli hodnotu </w:t>
      </w:r>
      <w:r w:rsidR="00103630" w:rsidRPr="3F64C336">
        <w:rPr>
          <w:rFonts w:ascii="Times New Roman" w:eastAsia="Calibri" w:hAnsi="Times New Roman"/>
        </w:rPr>
        <w:t xml:space="preserve">46 991 tis. eur, z toho ústredná správa sa podieľala na tejto hodnote sume </w:t>
      </w:r>
      <w:r w:rsidRPr="3F64C336">
        <w:rPr>
          <w:rFonts w:ascii="Times New Roman" w:eastAsia="Calibri" w:hAnsi="Times New Roman"/>
        </w:rPr>
        <w:t xml:space="preserve">26 144 </w:t>
      </w:r>
      <w:r w:rsidR="00103630" w:rsidRPr="3F64C336">
        <w:rPr>
          <w:rFonts w:ascii="Times New Roman" w:eastAsia="Calibri" w:hAnsi="Times New Roman"/>
        </w:rPr>
        <w:t>tis.</w:t>
      </w:r>
      <w:r w:rsidRPr="3F64C336">
        <w:rPr>
          <w:rFonts w:ascii="Times New Roman" w:eastAsia="Calibri" w:hAnsi="Times New Roman"/>
        </w:rPr>
        <w:t xml:space="preserve"> eur</w:t>
      </w:r>
      <w:r w:rsidR="00300146" w:rsidRPr="3F64C336">
        <w:rPr>
          <w:rFonts w:ascii="Times New Roman" w:eastAsia="Calibri" w:hAnsi="Times New Roman"/>
        </w:rPr>
        <w:t>,</w:t>
      </w:r>
      <w:r w:rsidRPr="3F64C336">
        <w:rPr>
          <w:rFonts w:ascii="Times New Roman" w:eastAsia="Calibri" w:hAnsi="Times New Roman"/>
        </w:rPr>
        <w:t xml:space="preserve"> </w:t>
      </w:r>
      <w:r w:rsidR="00300146" w:rsidRPr="3F64C336">
        <w:rPr>
          <w:rFonts w:ascii="Times New Roman" w:eastAsia="Calibri" w:hAnsi="Times New Roman"/>
        </w:rPr>
        <w:t xml:space="preserve">obce </w:t>
      </w:r>
      <w:r w:rsidR="009A0713" w:rsidRPr="3F64C336">
        <w:rPr>
          <w:rFonts w:ascii="Times New Roman" w:eastAsia="Calibri" w:hAnsi="Times New Roman"/>
        </w:rPr>
        <w:t>16 612</w:t>
      </w:r>
      <w:r w:rsidR="00300146" w:rsidRPr="3F64C336">
        <w:rPr>
          <w:rFonts w:ascii="Times New Roman" w:eastAsia="Calibri" w:hAnsi="Times New Roman"/>
        </w:rPr>
        <w:t xml:space="preserve"> tis. eur, ostatné subjekty verejnej správy </w:t>
      </w:r>
      <w:r w:rsidR="009F2A3D" w:rsidRPr="3F64C336">
        <w:rPr>
          <w:rFonts w:ascii="Times New Roman" w:eastAsia="Calibri" w:hAnsi="Times New Roman"/>
        </w:rPr>
        <w:t>3</w:t>
      </w:r>
      <w:r w:rsidR="003F5CD1">
        <w:rPr>
          <w:rFonts w:ascii="Times New Roman" w:eastAsia="Calibri" w:hAnsi="Times New Roman"/>
        </w:rPr>
        <w:t> </w:t>
      </w:r>
      <w:r w:rsidR="009F2A3D" w:rsidRPr="3F64C336">
        <w:rPr>
          <w:rFonts w:ascii="Times New Roman" w:eastAsia="Calibri" w:hAnsi="Times New Roman"/>
        </w:rPr>
        <w:t>765</w:t>
      </w:r>
      <w:r w:rsidR="003F5CD1">
        <w:rPr>
          <w:rFonts w:ascii="Times New Roman" w:eastAsia="Calibri" w:hAnsi="Times New Roman"/>
        </w:rPr>
        <w:t> </w:t>
      </w:r>
      <w:r w:rsidR="00300146" w:rsidRPr="3F64C336">
        <w:rPr>
          <w:rFonts w:ascii="Times New Roman" w:eastAsia="Calibri" w:hAnsi="Times New Roman"/>
        </w:rPr>
        <w:t>tis. eur.</w:t>
      </w:r>
      <w:r w:rsidR="009F2A3D" w:rsidRPr="3F64C336">
        <w:rPr>
          <w:rFonts w:ascii="Times New Roman" w:eastAsia="Calibri" w:hAnsi="Times New Roman"/>
        </w:rPr>
        <w:t xml:space="preserve"> </w:t>
      </w:r>
      <w:r w:rsidR="001D18DE" w:rsidRPr="3F64C336">
        <w:rPr>
          <w:rFonts w:ascii="Times New Roman" w:eastAsia="Calibri" w:hAnsi="Times New Roman"/>
        </w:rPr>
        <w:t>Najvýznamnejšie hodnoty vykázala</w:t>
      </w:r>
      <w:r w:rsidR="0067313E" w:rsidRPr="3F64C336">
        <w:rPr>
          <w:rFonts w:ascii="Times New Roman" w:eastAsia="Calibri" w:hAnsi="Times New Roman"/>
        </w:rPr>
        <w:t xml:space="preserve"> </w:t>
      </w:r>
      <w:r w:rsidRPr="0085799C">
        <w:rPr>
          <w:rFonts w:ascii="Times New Roman" w:eastAsia="Calibri" w:hAnsi="Times New Roman"/>
          <w:u w:val="single"/>
        </w:rPr>
        <w:t>Jadrová a vyraďovacia spoločnosť,</w:t>
      </w:r>
      <w:r w:rsidR="455735A9" w:rsidRPr="0085799C">
        <w:rPr>
          <w:rFonts w:ascii="Times New Roman" w:eastAsia="Calibri" w:hAnsi="Times New Roman"/>
          <w:u w:val="single"/>
        </w:rPr>
        <w:t xml:space="preserve"> a</w:t>
      </w:r>
      <w:r w:rsidRPr="0085799C" w:rsidDel="00B23324">
        <w:rPr>
          <w:rFonts w:ascii="Times New Roman" w:eastAsia="Calibri" w:hAnsi="Times New Roman"/>
          <w:u w:val="single"/>
        </w:rPr>
        <w:t>.s</w:t>
      </w:r>
      <w:r w:rsidR="612F436C" w:rsidRPr="0085799C">
        <w:rPr>
          <w:rFonts w:ascii="Times New Roman" w:eastAsia="Calibri" w:hAnsi="Times New Roman"/>
          <w:u w:val="single"/>
        </w:rPr>
        <w:t>.</w:t>
      </w:r>
      <w:r w:rsidRPr="3F64C336">
        <w:rPr>
          <w:rFonts w:ascii="Times New Roman" w:eastAsia="Calibri" w:hAnsi="Times New Roman"/>
        </w:rPr>
        <w:t xml:space="preserve"> </w:t>
      </w:r>
      <w:r w:rsidR="001D18DE" w:rsidRPr="3F64C336">
        <w:rPr>
          <w:rFonts w:ascii="Times New Roman" w:eastAsia="Calibri" w:hAnsi="Times New Roman"/>
        </w:rPr>
        <w:t xml:space="preserve">sumou </w:t>
      </w:r>
      <w:r w:rsidRPr="3F64C336">
        <w:rPr>
          <w:rFonts w:ascii="Times New Roman" w:eastAsia="Calibri" w:hAnsi="Times New Roman"/>
        </w:rPr>
        <w:t>5</w:t>
      </w:r>
      <w:r w:rsidR="003F5CD1">
        <w:rPr>
          <w:rFonts w:ascii="Times New Roman" w:eastAsia="Calibri" w:hAnsi="Times New Roman"/>
        </w:rPr>
        <w:t> </w:t>
      </w:r>
      <w:r w:rsidRPr="3F64C336">
        <w:rPr>
          <w:rFonts w:ascii="Times New Roman" w:eastAsia="Calibri" w:hAnsi="Times New Roman"/>
        </w:rPr>
        <w:t>334</w:t>
      </w:r>
      <w:r w:rsidR="003F5CD1">
        <w:rPr>
          <w:rFonts w:ascii="Times New Roman" w:eastAsia="Calibri" w:hAnsi="Times New Roman"/>
        </w:rPr>
        <w:t> </w:t>
      </w:r>
      <w:r w:rsidR="0067313E" w:rsidRPr="3F64C336">
        <w:rPr>
          <w:rFonts w:ascii="Times New Roman" w:eastAsia="Calibri" w:hAnsi="Times New Roman"/>
        </w:rPr>
        <w:t>tis.</w:t>
      </w:r>
      <w:r w:rsidR="003F5CD1">
        <w:rPr>
          <w:rFonts w:ascii="Times New Roman" w:eastAsia="Calibri" w:hAnsi="Times New Roman"/>
        </w:rPr>
        <w:t> </w:t>
      </w:r>
      <w:r w:rsidR="489EC7E2" w:rsidRPr="489EC7E2">
        <w:rPr>
          <w:rFonts w:ascii="Times New Roman" w:eastAsia="Calibri" w:hAnsi="Times New Roman"/>
        </w:rPr>
        <w:t>eur</w:t>
      </w:r>
      <w:r w:rsidRPr="3F64C336">
        <w:rPr>
          <w:rFonts w:ascii="Times New Roman" w:eastAsia="Calibri" w:hAnsi="Times New Roman"/>
        </w:rPr>
        <w:t xml:space="preserve"> a </w:t>
      </w:r>
      <w:r w:rsidR="6FD0784D" w:rsidRPr="1BE9E159">
        <w:rPr>
          <w:rFonts w:ascii="Times New Roman" w:eastAsia="Calibri" w:hAnsi="Times New Roman"/>
        </w:rPr>
        <w:t>M</w:t>
      </w:r>
      <w:r w:rsidRPr="0085799C">
        <w:rPr>
          <w:rFonts w:ascii="Times New Roman" w:eastAsia="Calibri" w:hAnsi="Times New Roman"/>
          <w:u w:val="single"/>
        </w:rPr>
        <w:t>inisterstvo hospodárstva SR</w:t>
      </w:r>
      <w:r w:rsidRPr="3F64C336">
        <w:rPr>
          <w:rFonts w:ascii="Times New Roman" w:eastAsia="Calibri" w:hAnsi="Times New Roman"/>
        </w:rPr>
        <w:t>, ktoré vykázalo príjmy budúcich období</w:t>
      </w:r>
      <w:r w:rsidR="001D18DE" w:rsidRPr="3F64C336">
        <w:rPr>
          <w:rFonts w:ascii="Times New Roman" w:eastAsia="Calibri" w:hAnsi="Times New Roman"/>
        </w:rPr>
        <w:t xml:space="preserve"> v sume</w:t>
      </w:r>
      <w:r w:rsidRPr="3F64C336">
        <w:rPr>
          <w:rFonts w:ascii="Times New Roman" w:eastAsia="Calibri" w:hAnsi="Times New Roman"/>
        </w:rPr>
        <w:t xml:space="preserve"> 5</w:t>
      </w:r>
      <w:r w:rsidR="003F5CD1">
        <w:rPr>
          <w:rFonts w:ascii="Times New Roman" w:eastAsia="Calibri" w:hAnsi="Times New Roman"/>
        </w:rPr>
        <w:t> </w:t>
      </w:r>
      <w:r w:rsidRPr="3F64C336">
        <w:rPr>
          <w:rFonts w:ascii="Times New Roman" w:eastAsia="Calibri" w:hAnsi="Times New Roman"/>
        </w:rPr>
        <w:t>190</w:t>
      </w:r>
      <w:r w:rsidR="003F5CD1">
        <w:rPr>
          <w:rFonts w:ascii="Times New Roman" w:eastAsia="Calibri" w:hAnsi="Times New Roman"/>
        </w:rPr>
        <w:t> </w:t>
      </w:r>
      <w:r w:rsidR="0067313E" w:rsidRPr="3F64C336">
        <w:rPr>
          <w:rFonts w:ascii="Times New Roman" w:eastAsia="Calibri" w:hAnsi="Times New Roman"/>
        </w:rPr>
        <w:t>tis.</w:t>
      </w:r>
      <w:r w:rsidR="003F5CD1">
        <w:rPr>
          <w:rFonts w:ascii="Times New Roman" w:eastAsia="Calibri" w:hAnsi="Times New Roman"/>
        </w:rPr>
        <w:t> </w:t>
      </w:r>
      <w:r w:rsidRPr="3F64C336">
        <w:rPr>
          <w:rFonts w:ascii="Times New Roman" w:eastAsia="Calibri" w:hAnsi="Times New Roman"/>
        </w:rPr>
        <w:t>eur.</w:t>
      </w:r>
    </w:p>
    <w:p w14:paraId="589C4E65" w14:textId="77777777" w:rsidR="003F5CD1" w:rsidRPr="003F5CD1" w:rsidRDefault="003F5CD1" w:rsidP="003F5CD1">
      <w:pPr>
        <w:spacing w:after="120" w:line="240" w:lineRule="auto"/>
        <w:jc w:val="both"/>
        <w:rPr>
          <w:rFonts w:ascii="Times New Roman" w:hAnsi="Times New Roman"/>
          <w:szCs w:val="22"/>
          <w:lang w:eastAsia="sk-SK"/>
        </w:rPr>
      </w:pPr>
    </w:p>
    <w:p w14:paraId="48CB4F33" w14:textId="77777777" w:rsidR="003F5CD1" w:rsidRPr="003F5CD1" w:rsidRDefault="003F5CD1" w:rsidP="003F5CD1">
      <w:pPr>
        <w:spacing w:after="120" w:line="240" w:lineRule="auto"/>
        <w:jc w:val="both"/>
        <w:rPr>
          <w:rFonts w:ascii="Times New Roman" w:hAnsi="Times New Roman"/>
          <w:szCs w:val="22"/>
          <w:lang w:eastAsia="sk-SK"/>
        </w:rPr>
      </w:pPr>
    </w:p>
    <w:p w14:paraId="0298A539" w14:textId="77777777" w:rsidR="003F5CD1" w:rsidRPr="003F5CD1" w:rsidRDefault="003F5CD1" w:rsidP="003F5CD1">
      <w:pPr>
        <w:spacing w:after="120" w:line="240" w:lineRule="auto"/>
        <w:jc w:val="both"/>
        <w:rPr>
          <w:rFonts w:ascii="Times New Roman" w:hAnsi="Times New Roman"/>
          <w:szCs w:val="22"/>
          <w:lang w:eastAsia="sk-SK"/>
        </w:rPr>
      </w:pPr>
    </w:p>
    <w:p w14:paraId="0BD3D50C" w14:textId="77777777" w:rsidR="003F5CD1" w:rsidRPr="003F5CD1" w:rsidRDefault="003F5CD1" w:rsidP="003F5CD1">
      <w:pPr>
        <w:spacing w:after="120" w:line="240" w:lineRule="auto"/>
        <w:jc w:val="both"/>
        <w:rPr>
          <w:rFonts w:ascii="Times New Roman" w:hAnsi="Times New Roman"/>
          <w:szCs w:val="22"/>
          <w:lang w:eastAsia="sk-SK"/>
        </w:rPr>
      </w:pPr>
    </w:p>
    <w:p w14:paraId="279F03F0" w14:textId="77777777" w:rsidR="003F5CD1" w:rsidRPr="003F5CD1" w:rsidRDefault="003F5CD1" w:rsidP="003F5CD1">
      <w:pPr>
        <w:spacing w:after="120" w:line="240" w:lineRule="auto"/>
        <w:jc w:val="both"/>
        <w:rPr>
          <w:rFonts w:ascii="Times New Roman" w:hAnsi="Times New Roman"/>
          <w:szCs w:val="22"/>
          <w:lang w:eastAsia="sk-SK"/>
        </w:rPr>
      </w:pPr>
    </w:p>
    <w:p w14:paraId="6D7EFA36" w14:textId="77777777" w:rsidR="003F5CD1" w:rsidRPr="003F5CD1" w:rsidRDefault="003F5CD1" w:rsidP="003F5CD1">
      <w:pPr>
        <w:spacing w:after="120" w:line="240" w:lineRule="auto"/>
        <w:jc w:val="both"/>
        <w:rPr>
          <w:rFonts w:ascii="Times New Roman" w:hAnsi="Times New Roman"/>
          <w:szCs w:val="22"/>
          <w:lang w:eastAsia="sk-SK"/>
        </w:rPr>
      </w:pPr>
    </w:p>
    <w:p w14:paraId="69967302" w14:textId="77777777" w:rsidR="003F5CD1" w:rsidRPr="003F5CD1" w:rsidRDefault="003F5CD1" w:rsidP="003F5CD1">
      <w:pPr>
        <w:spacing w:after="120" w:line="240" w:lineRule="auto"/>
        <w:jc w:val="both"/>
        <w:rPr>
          <w:rFonts w:ascii="Times New Roman" w:hAnsi="Times New Roman"/>
          <w:szCs w:val="22"/>
          <w:lang w:eastAsia="sk-SK"/>
        </w:rPr>
      </w:pPr>
    </w:p>
    <w:p w14:paraId="2D68D940" w14:textId="77777777" w:rsidR="003F5CD1" w:rsidRPr="003F5CD1" w:rsidRDefault="003F5CD1" w:rsidP="003F5CD1">
      <w:pPr>
        <w:spacing w:after="120" w:line="240" w:lineRule="auto"/>
        <w:jc w:val="both"/>
        <w:rPr>
          <w:rFonts w:ascii="Times New Roman" w:hAnsi="Times New Roman"/>
          <w:szCs w:val="22"/>
          <w:lang w:eastAsia="sk-SK"/>
        </w:rPr>
      </w:pPr>
    </w:p>
    <w:p w14:paraId="39D2FC94" w14:textId="77777777" w:rsidR="003F5CD1" w:rsidRPr="003F5CD1" w:rsidRDefault="003F5CD1" w:rsidP="003F5CD1">
      <w:pPr>
        <w:spacing w:after="120" w:line="240" w:lineRule="auto"/>
        <w:jc w:val="both"/>
        <w:rPr>
          <w:rFonts w:ascii="Times New Roman" w:hAnsi="Times New Roman"/>
          <w:szCs w:val="22"/>
          <w:lang w:eastAsia="sk-SK"/>
        </w:rPr>
      </w:pPr>
    </w:p>
    <w:p w14:paraId="54C17F57" w14:textId="77777777" w:rsidR="003F5CD1" w:rsidRPr="003F5CD1" w:rsidRDefault="003F5CD1" w:rsidP="003F5CD1">
      <w:pPr>
        <w:spacing w:after="120" w:line="240" w:lineRule="auto"/>
        <w:jc w:val="both"/>
        <w:rPr>
          <w:rFonts w:ascii="Times New Roman" w:hAnsi="Times New Roman"/>
          <w:szCs w:val="22"/>
          <w:lang w:eastAsia="sk-SK"/>
        </w:rPr>
      </w:pPr>
    </w:p>
    <w:p w14:paraId="71F59FF2" w14:textId="77777777" w:rsidR="003F5CD1" w:rsidRPr="003F5CD1" w:rsidRDefault="003F5CD1" w:rsidP="003F5CD1">
      <w:pPr>
        <w:spacing w:after="120" w:line="240" w:lineRule="auto"/>
        <w:jc w:val="both"/>
        <w:rPr>
          <w:rFonts w:ascii="Times New Roman" w:hAnsi="Times New Roman"/>
          <w:szCs w:val="22"/>
          <w:lang w:eastAsia="sk-SK"/>
        </w:rPr>
      </w:pPr>
    </w:p>
    <w:p w14:paraId="3D5D1ADF" w14:textId="77777777" w:rsidR="003F5CD1" w:rsidRPr="003F5CD1" w:rsidRDefault="003F5CD1" w:rsidP="003F5CD1">
      <w:pPr>
        <w:spacing w:after="120" w:line="240" w:lineRule="auto"/>
        <w:jc w:val="both"/>
        <w:rPr>
          <w:rFonts w:ascii="Times New Roman" w:hAnsi="Times New Roman"/>
          <w:szCs w:val="22"/>
          <w:lang w:eastAsia="sk-SK"/>
        </w:rPr>
      </w:pPr>
    </w:p>
    <w:p w14:paraId="26A7FA2A" w14:textId="77777777" w:rsidR="003F5CD1" w:rsidRPr="003F5CD1" w:rsidRDefault="003F5CD1" w:rsidP="003F5CD1">
      <w:pPr>
        <w:spacing w:after="120" w:line="240" w:lineRule="auto"/>
        <w:jc w:val="both"/>
        <w:rPr>
          <w:rFonts w:ascii="Times New Roman" w:hAnsi="Times New Roman"/>
          <w:szCs w:val="22"/>
          <w:lang w:eastAsia="sk-SK"/>
        </w:rPr>
      </w:pPr>
    </w:p>
    <w:p w14:paraId="2BE14CCA" w14:textId="77777777" w:rsidR="003F5CD1" w:rsidRPr="003F5CD1" w:rsidRDefault="003F5CD1" w:rsidP="003F5CD1">
      <w:pPr>
        <w:spacing w:after="120" w:line="240" w:lineRule="auto"/>
        <w:jc w:val="both"/>
        <w:rPr>
          <w:rFonts w:ascii="Times New Roman" w:hAnsi="Times New Roman"/>
          <w:szCs w:val="22"/>
          <w:lang w:eastAsia="sk-SK"/>
        </w:rPr>
      </w:pPr>
    </w:p>
    <w:p w14:paraId="11D30700" w14:textId="77777777" w:rsidR="003F5CD1" w:rsidRPr="003F5CD1" w:rsidRDefault="003F5CD1" w:rsidP="003F5CD1">
      <w:pPr>
        <w:spacing w:after="120" w:line="240" w:lineRule="auto"/>
        <w:jc w:val="both"/>
        <w:rPr>
          <w:rFonts w:ascii="Times New Roman" w:hAnsi="Times New Roman"/>
          <w:szCs w:val="22"/>
          <w:lang w:eastAsia="sk-SK"/>
        </w:rPr>
      </w:pPr>
    </w:p>
    <w:p w14:paraId="2FF6747D" w14:textId="77777777" w:rsidR="003F5CD1" w:rsidRPr="003F5CD1" w:rsidRDefault="003F5CD1" w:rsidP="003F5CD1">
      <w:pPr>
        <w:spacing w:after="120" w:line="240" w:lineRule="auto"/>
        <w:jc w:val="both"/>
        <w:rPr>
          <w:rFonts w:ascii="Times New Roman" w:hAnsi="Times New Roman"/>
          <w:szCs w:val="22"/>
          <w:lang w:eastAsia="sk-SK"/>
        </w:rPr>
      </w:pPr>
    </w:p>
    <w:p w14:paraId="75C04511" w14:textId="77777777" w:rsidR="003F5CD1" w:rsidRPr="003F5CD1" w:rsidRDefault="003F5CD1" w:rsidP="003F5CD1">
      <w:pPr>
        <w:spacing w:after="120" w:line="240" w:lineRule="auto"/>
        <w:jc w:val="both"/>
        <w:rPr>
          <w:rFonts w:ascii="Times New Roman" w:hAnsi="Times New Roman"/>
          <w:szCs w:val="22"/>
          <w:lang w:eastAsia="sk-SK"/>
        </w:rPr>
      </w:pPr>
    </w:p>
    <w:p w14:paraId="397994C8" w14:textId="77777777" w:rsidR="009872A1" w:rsidRDefault="009872A1" w:rsidP="0085799C">
      <w:pPr>
        <w:spacing w:after="120" w:line="240" w:lineRule="auto"/>
        <w:rPr>
          <w:rFonts w:ascii="Times New Roman" w:eastAsiaTheme="majorEastAsia" w:hAnsi="Times New Roman" w:cstheme="majorBidi"/>
          <w:b/>
          <w:sz w:val="24"/>
          <w:szCs w:val="32"/>
        </w:rPr>
      </w:pPr>
      <w:r w:rsidRPr="0085799C">
        <w:rPr>
          <w:rFonts w:ascii="Times New Roman" w:hAnsi="Times New Roman"/>
        </w:rPr>
        <w:br w:type="page"/>
      </w:r>
    </w:p>
    <w:p w14:paraId="63DF4166" w14:textId="49BBC97C" w:rsidR="00647542" w:rsidRPr="0085799C" w:rsidRDefault="006125C0" w:rsidP="0085799C">
      <w:pPr>
        <w:pStyle w:val="Nadpis2"/>
        <w:rPr>
          <w:bCs/>
        </w:rPr>
      </w:pPr>
      <w:r>
        <w:lastRenderedPageBreak/>
        <w:t>P</w:t>
      </w:r>
      <w:r w:rsidR="00647542" w:rsidRPr="0085799C">
        <w:t>ASÍVA</w:t>
      </w:r>
    </w:p>
    <w:p w14:paraId="06DCC12C" w14:textId="04C36920" w:rsidR="00647542" w:rsidRPr="00907622" w:rsidRDefault="00647542" w:rsidP="003F5CD1">
      <w:pPr>
        <w:spacing w:after="120" w:line="240" w:lineRule="auto"/>
        <w:jc w:val="both"/>
        <w:rPr>
          <w:rFonts w:ascii="Times New Roman" w:hAnsi="Times New Roman"/>
          <w:szCs w:val="22"/>
          <w:lang w:eastAsia="sk-SK"/>
        </w:rPr>
      </w:pPr>
      <w:r w:rsidRPr="00907622">
        <w:rPr>
          <w:rFonts w:ascii="Times New Roman" w:hAnsi="Times New Roman"/>
          <w:szCs w:val="22"/>
          <w:lang w:eastAsia="sk-SK"/>
        </w:rPr>
        <w:t>Celkové pasíva dosiahli k </w:t>
      </w:r>
      <w:r w:rsidR="00F418A2">
        <w:rPr>
          <w:rFonts w:ascii="Times New Roman" w:hAnsi="Times New Roman"/>
          <w:szCs w:val="22"/>
          <w:lang w:eastAsia="sk-SK"/>
        </w:rPr>
        <w:t>31.</w:t>
      </w:r>
      <w:r w:rsidR="00462405">
        <w:rPr>
          <w:rFonts w:ascii="Times New Roman" w:hAnsi="Times New Roman"/>
          <w:szCs w:val="22"/>
          <w:lang w:eastAsia="sk-SK"/>
        </w:rPr>
        <w:t xml:space="preserve"> </w:t>
      </w:r>
      <w:r w:rsidR="00F418A2">
        <w:rPr>
          <w:rFonts w:ascii="Times New Roman" w:hAnsi="Times New Roman"/>
          <w:szCs w:val="22"/>
          <w:lang w:eastAsia="sk-SK"/>
        </w:rPr>
        <w:t>12.</w:t>
      </w:r>
      <w:r w:rsidR="00462405">
        <w:rPr>
          <w:rFonts w:ascii="Times New Roman" w:hAnsi="Times New Roman"/>
          <w:szCs w:val="22"/>
          <w:lang w:eastAsia="sk-SK"/>
        </w:rPr>
        <w:t xml:space="preserve"> </w:t>
      </w:r>
      <w:r w:rsidR="00F418A2">
        <w:rPr>
          <w:rFonts w:ascii="Times New Roman" w:hAnsi="Times New Roman"/>
          <w:szCs w:val="22"/>
          <w:lang w:eastAsia="sk-SK"/>
        </w:rPr>
        <w:t>2024</w:t>
      </w:r>
      <w:r w:rsidRPr="002932EF">
        <w:rPr>
          <w:rFonts w:ascii="Times New Roman" w:hAnsi="Times New Roman"/>
          <w:szCs w:val="22"/>
          <w:lang w:eastAsia="sk-SK"/>
        </w:rPr>
        <w:t xml:space="preserve"> hodnotu </w:t>
      </w:r>
      <w:r w:rsidR="00DE4B11" w:rsidRPr="002932EF">
        <w:rPr>
          <w:rFonts w:ascii="Times New Roman" w:hAnsi="Times New Roman"/>
          <w:szCs w:val="22"/>
          <w:lang w:eastAsia="sk-SK"/>
        </w:rPr>
        <w:t>94</w:t>
      </w:r>
      <w:r w:rsidR="00145D05" w:rsidRPr="002932EF">
        <w:rPr>
          <w:rFonts w:ascii="Times New Roman" w:hAnsi="Times New Roman"/>
          <w:szCs w:val="22"/>
          <w:lang w:eastAsia="sk-SK"/>
        </w:rPr>
        <w:t> </w:t>
      </w:r>
      <w:r w:rsidR="00DE4B11" w:rsidRPr="002932EF">
        <w:rPr>
          <w:rFonts w:ascii="Times New Roman" w:hAnsi="Times New Roman"/>
          <w:szCs w:val="22"/>
          <w:lang w:eastAsia="sk-SK"/>
        </w:rPr>
        <w:t>70</w:t>
      </w:r>
      <w:r w:rsidR="00145D05" w:rsidRPr="002932EF">
        <w:rPr>
          <w:rFonts w:ascii="Times New Roman" w:hAnsi="Times New Roman"/>
          <w:szCs w:val="22"/>
          <w:lang w:eastAsia="sk-SK"/>
        </w:rPr>
        <w:t>6</w:t>
      </w:r>
      <w:r w:rsidR="00F80EFA">
        <w:rPr>
          <w:rFonts w:ascii="Times New Roman" w:hAnsi="Times New Roman"/>
          <w:szCs w:val="22"/>
          <w:lang w:eastAsia="sk-SK"/>
        </w:rPr>
        <w:t> </w:t>
      </w:r>
      <w:r w:rsidR="00145D05" w:rsidRPr="002932EF">
        <w:rPr>
          <w:rFonts w:ascii="Times New Roman" w:hAnsi="Times New Roman"/>
          <w:szCs w:val="22"/>
          <w:lang w:eastAsia="sk-SK"/>
        </w:rPr>
        <w:t>5</w:t>
      </w:r>
      <w:r w:rsidR="00646391">
        <w:rPr>
          <w:rFonts w:ascii="Times New Roman" w:hAnsi="Times New Roman"/>
          <w:szCs w:val="22"/>
          <w:lang w:eastAsia="sk-SK"/>
        </w:rPr>
        <w:t>09</w:t>
      </w:r>
      <w:r w:rsidRPr="002932EF">
        <w:rPr>
          <w:rFonts w:ascii="Times New Roman" w:hAnsi="Times New Roman"/>
          <w:szCs w:val="22"/>
          <w:lang w:eastAsia="sk-SK"/>
        </w:rPr>
        <w:t> tis. eur, čo je v porovnaní s rokom 202</w:t>
      </w:r>
      <w:r w:rsidR="00CC64B4" w:rsidRPr="002932EF">
        <w:rPr>
          <w:rFonts w:ascii="Times New Roman" w:hAnsi="Times New Roman"/>
          <w:szCs w:val="22"/>
          <w:lang w:eastAsia="sk-SK"/>
        </w:rPr>
        <w:t>3</w:t>
      </w:r>
      <w:r w:rsidRPr="002932EF">
        <w:rPr>
          <w:rFonts w:ascii="Times New Roman" w:hAnsi="Times New Roman"/>
          <w:szCs w:val="22"/>
          <w:lang w:eastAsia="sk-SK"/>
        </w:rPr>
        <w:t xml:space="preserve"> viac o 4</w:t>
      </w:r>
      <w:r w:rsidR="00E04884" w:rsidRPr="002932EF">
        <w:rPr>
          <w:rFonts w:ascii="Times New Roman" w:hAnsi="Times New Roman"/>
          <w:szCs w:val="22"/>
          <w:lang w:eastAsia="sk-SK"/>
        </w:rPr>
        <w:t> 875 25</w:t>
      </w:r>
      <w:r w:rsidR="00013269" w:rsidRPr="002932EF">
        <w:rPr>
          <w:rFonts w:ascii="Times New Roman" w:hAnsi="Times New Roman"/>
          <w:szCs w:val="22"/>
          <w:lang w:eastAsia="sk-SK"/>
        </w:rPr>
        <w:t>2</w:t>
      </w:r>
      <w:r w:rsidRPr="002932EF">
        <w:rPr>
          <w:rFonts w:ascii="Times New Roman" w:hAnsi="Times New Roman"/>
          <w:szCs w:val="22"/>
          <w:lang w:eastAsia="sk-SK"/>
        </w:rPr>
        <w:t> tis. eur. Celkové pasíva sú tvorené záväzkami (9</w:t>
      </w:r>
      <w:r w:rsidR="004629C3" w:rsidRPr="0085799C">
        <w:rPr>
          <w:rFonts w:ascii="Times New Roman" w:hAnsi="Times New Roman"/>
          <w:szCs w:val="22"/>
          <w:lang w:eastAsia="sk-SK"/>
        </w:rPr>
        <w:t>5,8</w:t>
      </w:r>
      <w:r w:rsidRPr="002932EF">
        <w:rPr>
          <w:rFonts w:ascii="Times New Roman" w:hAnsi="Times New Roman"/>
          <w:szCs w:val="22"/>
          <w:lang w:eastAsia="sk-SK"/>
        </w:rPr>
        <w:t xml:space="preserve"> %, v tom </w:t>
      </w:r>
      <w:r w:rsidR="00462405">
        <w:rPr>
          <w:rFonts w:ascii="Times New Roman" w:hAnsi="Times New Roman"/>
          <w:szCs w:val="22"/>
          <w:lang w:eastAsia="sk-SK"/>
        </w:rPr>
        <w:t>štátne dlhopisy</w:t>
      </w:r>
      <w:r w:rsidRPr="002932EF">
        <w:rPr>
          <w:rFonts w:ascii="Times New Roman" w:hAnsi="Times New Roman"/>
          <w:szCs w:val="22"/>
          <w:lang w:eastAsia="sk-SK"/>
        </w:rPr>
        <w:t xml:space="preserve"> </w:t>
      </w:r>
      <w:r w:rsidR="00462405">
        <w:rPr>
          <w:rFonts w:ascii="Times New Roman" w:hAnsi="Times New Roman"/>
          <w:szCs w:val="22"/>
          <w:lang w:eastAsia="sk-SK"/>
        </w:rPr>
        <w:t>88,5</w:t>
      </w:r>
      <w:r w:rsidRPr="002932EF">
        <w:rPr>
          <w:rFonts w:ascii="Times New Roman" w:hAnsi="Times New Roman"/>
          <w:szCs w:val="22"/>
          <w:lang w:eastAsia="sk-SK"/>
        </w:rPr>
        <w:t> %), rezervami (</w:t>
      </w:r>
      <w:r w:rsidR="008D0C92" w:rsidRPr="0085799C">
        <w:rPr>
          <w:rFonts w:ascii="Times New Roman" w:hAnsi="Times New Roman"/>
          <w:szCs w:val="22"/>
          <w:lang w:eastAsia="sk-SK"/>
        </w:rPr>
        <w:t>2</w:t>
      </w:r>
      <w:r w:rsidR="002932EF" w:rsidRPr="0085799C">
        <w:rPr>
          <w:rFonts w:ascii="Times New Roman" w:hAnsi="Times New Roman"/>
          <w:szCs w:val="22"/>
          <w:lang w:eastAsia="sk-SK"/>
        </w:rPr>
        <w:t>8</w:t>
      </w:r>
      <w:r w:rsidR="008D0C92" w:rsidRPr="0085799C">
        <w:rPr>
          <w:rFonts w:ascii="Times New Roman" w:hAnsi="Times New Roman"/>
          <w:szCs w:val="22"/>
          <w:lang w:eastAsia="sk-SK"/>
        </w:rPr>
        <w:t>,</w:t>
      </w:r>
      <w:r w:rsidR="002932EF" w:rsidRPr="0085799C">
        <w:rPr>
          <w:rFonts w:ascii="Times New Roman" w:hAnsi="Times New Roman"/>
          <w:szCs w:val="22"/>
          <w:lang w:eastAsia="sk-SK"/>
        </w:rPr>
        <w:t>5</w:t>
      </w:r>
      <w:r w:rsidRPr="002932EF">
        <w:rPr>
          <w:rFonts w:ascii="Times New Roman" w:hAnsi="Times New Roman"/>
          <w:szCs w:val="22"/>
          <w:lang w:eastAsia="sk-SK"/>
        </w:rPr>
        <w:t> %), vlastným imaním (-3</w:t>
      </w:r>
      <w:r w:rsidR="008D0C92" w:rsidRPr="0085799C">
        <w:rPr>
          <w:rFonts w:ascii="Times New Roman" w:hAnsi="Times New Roman"/>
          <w:szCs w:val="22"/>
          <w:lang w:eastAsia="sk-SK"/>
        </w:rPr>
        <w:t>8</w:t>
      </w:r>
      <w:r w:rsidRPr="002932EF">
        <w:rPr>
          <w:rFonts w:ascii="Times New Roman" w:hAnsi="Times New Roman"/>
          <w:szCs w:val="22"/>
          <w:lang w:eastAsia="sk-SK"/>
        </w:rPr>
        <w:t> %), a časovým rozlíšením (1</w:t>
      </w:r>
      <w:r w:rsidR="00234716" w:rsidRPr="0085799C">
        <w:rPr>
          <w:rFonts w:ascii="Times New Roman" w:hAnsi="Times New Roman"/>
          <w:szCs w:val="22"/>
          <w:lang w:eastAsia="sk-SK"/>
        </w:rPr>
        <w:t>3,7</w:t>
      </w:r>
      <w:r w:rsidRPr="002932EF">
        <w:rPr>
          <w:rFonts w:ascii="Times New Roman" w:hAnsi="Times New Roman"/>
          <w:szCs w:val="22"/>
          <w:lang w:eastAsia="sk-SK"/>
        </w:rPr>
        <w:t> %).</w:t>
      </w:r>
    </w:p>
    <w:p w14:paraId="5DEB63AA" w14:textId="55D6E3A9" w:rsidR="00647542" w:rsidRPr="00907622" w:rsidRDefault="00647542" w:rsidP="003F5CD1">
      <w:pPr>
        <w:spacing w:after="120" w:line="240" w:lineRule="auto"/>
        <w:jc w:val="both"/>
        <w:rPr>
          <w:rFonts w:ascii="Times New Roman" w:hAnsi="Times New Roman"/>
          <w:szCs w:val="22"/>
          <w:lang w:eastAsia="sk-SK"/>
        </w:rPr>
      </w:pPr>
      <w:r w:rsidRPr="00907622">
        <w:rPr>
          <w:rFonts w:ascii="Times New Roman" w:hAnsi="Times New Roman"/>
          <w:szCs w:val="22"/>
          <w:lang w:eastAsia="sk-SK"/>
        </w:rPr>
        <w:t xml:space="preserve">Na zmene celkových pasív sa podieľala najmä zmena výsledku celkového hospodárenia (za bežné aj predchádzajúce obdobie) </w:t>
      </w:r>
      <w:r w:rsidRPr="00AE2A6D">
        <w:rPr>
          <w:rFonts w:ascii="Times New Roman" w:hAnsi="Times New Roman"/>
          <w:szCs w:val="22"/>
          <w:lang w:eastAsia="sk-SK"/>
        </w:rPr>
        <w:t>o</w:t>
      </w:r>
      <w:r w:rsidR="00844EA9" w:rsidRPr="0085799C">
        <w:rPr>
          <w:rFonts w:ascii="Times New Roman" w:hAnsi="Times New Roman"/>
          <w:szCs w:val="22"/>
          <w:lang w:eastAsia="sk-SK"/>
        </w:rPr>
        <w:t> 3</w:t>
      </w:r>
      <w:r w:rsidR="00844EA9">
        <w:rPr>
          <w:rFonts w:ascii="Times New Roman" w:hAnsi="Times New Roman"/>
          <w:szCs w:val="22"/>
          <w:lang w:eastAsia="sk-SK"/>
        </w:rPr>
        <w:t> </w:t>
      </w:r>
      <w:r w:rsidR="00844EA9" w:rsidRPr="0085799C">
        <w:rPr>
          <w:rFonts w:ascii="Times New Roman" w:hAnsi="Times New Roman"/>
          <w:szCs w:val="22"/>
          <w:lang w:eastAsia="sk-SK"/>
        </w:rPr>
        <w:t>994</w:t>
      </w:r>
      <w:r w:rsidR="00D6406C">
        <w:rPr>
          <w:rFonts w:ascii="Times New Roman" w:hAnsi="Times New Roman"/>
          <w:szCs w:val="22"/>
          <w:lang w:eastAsia="sk-SK"/>
        </w:rPr>
        <w:t> </w:t>
      </w:r>
      <w:r w:rsidR="00844EA9" w:rsidRPr="0085799C">
        <w:rPr>
          <w:rFonts w:ascii="Times New Roman" w:hAnsi="Times New Roman"/>
          <w:szCs w:val="22"/>
          <w:lang w:eastAsia="sk-SK"/>
        </w:rPr>
        <w:t>325</w:t>
      </w:r>
      <w:r w:rsidRPr="00AE2A6D">
        <w:rPr>
          <w:rFonts w:ascii="Times New Roman" w:hAnsi="Times New Roman"/>
          <w:szCs w:val="22"/>
          <w:lang w:eastAsia="sk-SK"/>
        </w:rPr>
        <w:t> tis.</w:t>
      </w:r>
      <w:r w:rsidR="00D6406C">
        <w:rPr>
          <w:rFonts w:ascii="Times New Roman" w:hAnsi="Times New Roman"/>
          <w:szCs w:val="22"/>
          <w:lang w:eastAsia="sk-SK"/>
        </w:rPr>
        <w:t> </w:t>
      </w:r>
      <w:r w:rsidRPr="00AE2A6D">
        <w:rPr>
          <w:rFonts w:ascii="Times New Roman" w:hAnsi="Times New Roman"/>
          <w:szCs w:val="22"/>
          <w:lang w:eastAsia="sk-SK"/>
        </w:rPr>
        <w:t>eur</w:t>
      </w:r>
      <w:r w:rsidRPr="00907622">
        <w:rPr>
          <w:rFonts w:ascii="Times New Roman" w:hAnsi="Times New Roman"/>
          <w:szCs w:val="22"/>
          <w:lang w:eastAsia="sk-SK"/>
        </w:rPr>
        <w:t xml:space="preserve">, pohyb dlhodobých rezerv na zamestnanecké požitky štátnych rozpočtových a príspevkových organizácií </w:t>
      </w:r>
      <w:r w:rsidR="00F57897">
        <w:rPr>
          <w:rFonts w:ascii="Times New Roman" w:hAnsi="Times New Roman"/>
          <w:szCs w:val="22"/>
          <w:lang w:eastAsia="sk-SK"/>
        </w:rPr>
        <w:t xml:space="preserve">sa znížil </w:t>
      </w:r>
      <w:r w:rsidRPr="00F505A4">
        <w:rPr>
          <w:rFonts w:ascii="Times New Roman" w:hAnsi="Times New Roman"/>
          <w:szCs w:val="22"/>
          <w:lang w:eastAsia="sk-SK"/>
        </w:rPr>
        <w:t>o</w:t>
      </w:r>
      <w:r w:rsidR="004F1C60" w:rsidRPr="00F505A4">
        <w:rPr>
          <w:rFonts w:ascii="Times New Roman" w:hAnsi="Times New Roman"/>
          <w:szCs w:val="22"/>
          <w:lang w:eastAsia="sk-SK"/>
        </w:rPr>
        <w:t> </w:t>
      </w:r>
      <w:r w:rsidR="005A3DA6" w:rsidRPr="0085799C">
        <w:rPr>
          <w:rFonts w:ascii="Times New Roman" w:hAnsi="Times New Roman"/>
          <w:szCs w:val="22"/>
        </w:rPr>
        <w:t>3</w:t>
      </w:r>
      <w:r w:rsidR="004F1C60" w:rsidRPr="0085799C">
        <w:rPr>
          <w:rFonts w:ascii="Times New Roman" w:hAnsi="Times New Roman"/>
          <w:szCs w:val="22"/>
        </w:rPr>
        <w:t>26</w:t>
      </w:r>
      <w:r w:rsidR="004F1C60">
        <w:rPr>
          <w:rFonts w:ascii="Times New Roman" w:hAnsi="Times New Roman"/>
          <w:szCs w:val="22"/>
        </w:rPr>
        <w:t> </w:t>
      </w:r>
      <w:r w:rsidR="004F1C60" w:rsidRPr="0085799C">
        <w:rPr>
          <w:rFonts w:ascii="Times New Roman" w:hAnsi="Times New Roman"/>
          <w:szCs w:val="22"/>
        </w:rPr>
        <w:t>06</w:t>
      </w:r>
      <w:r w:rsidR="008725BC">
        <w:rPr>
          <w:rFonts w:ascii="Times New Roman" w:hAnsi="Times New Roman"/>
          <w:szCs w:val="22"/>
        </w:rPr>
        <w:t>5</w:t>
      </w:r>
      <w:r w:rsidR="008725BC">
        <w:rPr>
          <w:rFonts w:ascii="Times New Roman" w:hAnsi="Times New Roman"/>
          <w:b/>
          <w:sz w:val="20"/>
        </w:rPr>
        <w:t> </w:t>
      </w:r>
      <w:r w:rsidRPr="00907622">
        <w:rPr>
          <w:rFonts w:ascii="Times New Roman" w:hAnsi="Times New Roman"/>
          <w:szCs w:val="22"/>
          <w:lang w:eastAsia="sk-SK"/>
        </w:rPr>
        <w:t>tis. eur a zvýšenie hodnoty záväzkov o</w:t>
      </w:r>
      <w:r w:rsidR="00134D2B">
        <w:rPr>
          <w:rFonts w:ascii="Times New Roman" w:hAnsi="Times New Roman"/>
          <w:szCs w:val="22"/>
          <w:lang w:eastAsia="sk-SK"/>
        </w:rPr>
        <w:t> </w:t>
      </w:r>
      <w:r w:rsidR="00D601EC" w:rsidRPr="0085799C">
        <w:rPr>
          <w:rFonts w:ascii="Times New Roman" w:hAnsi="Times New Roman"/>
          <w:szCs w:val="22"/>
          <w:lang w:eastAsia="sk-SK"/>
        </w:rPr>
        <w:t>9</w:t>
      </w:r>
      <w:r w:rsidR="00134D2B">
        <w:rPr>
          <w:rFonts w:ascii="Times New Roman" w:hAnsi="Times New Roman"/>
          <w:szCs w:val="22"/>
          <w:lang w:eastAsia="sk-SK"/>
        </w:rPr>
        <w:t> </w:t>
      </w:r>
      <w:r w:rsidR="00D601EC" w:rsidRPr="0085799C">
        <w:rPr>
          <w:rFonts w:ascii="Times New Roman" w:hAnsi="Times New Roman"/>
          <w:szCs w:val="22"/>
          <w:lang w:eastAsia="sk-SK"/>
        </w:rPr>
        <w:t>530</w:t>
      </w:r>
      <w:r w:rsidR="00134D2B">
        <w:rPr>
          <w:rFonts w:ascii="Times New Roman" w:hAnsi="Times New Roman"/>
          <w:szCs w:val="22"/>
          <w:lang w:eastAsia="sk-SK"/>
        </w:rPr>
        <w:t> </w:t>
      </w:r>
      <w:r w:rsidR="00D601EC" w:rsidRPr="0085799C">
        <w:rPr>
          <w:rFonts w:ascii="Times New Roman" w:hAnsi="Times New Roman"/>
          <w:szCs w:val="22"/>
          <w:lang w:eastAsia="sk-SK"/>
        </w:rPr>
        <w:t>888</w:t>
      </w:r>
      <w:r w:rsidRPr="008A0B40">
        <w:rPr>
          <w:rFonts w:ascii="Times New Roman" w:hAnsi="Times New Roman"/>
          <w:szCs w:val="22"/>
          <w:lang w:eastAsia="sk-SK"/>
        </w:rPr>
        <w:t> tis</w:t>
      </w:r>
      <w:r w:rsidRPr="00907622">
        <w:rPr>
          <w:rFonts w:ascii="Times New Roman" w:hAnsi="Times New Roman"/>
          <w:szCs w:val="22"/>
          <w:lang w:eastAsia="sk-SK"/>
        </w:rPr>
        <w:t>. eur (v tom zvýšenie štátnych dlhopisov o</w:t>
      </w:r>
      <w:r w:rsidR="008E4788">
        <w:rPr>
          <w:rFonts w:ascii="Times New Roman" w:hAnsi="Times New Roman"/>
          <w:szCs w:val="22"/>
          <w:lang w:eastAsia="sk-SK"/>
        </w:rPr>
        <w:t> </w:t>
      </w:r>
      <w:r w:rsidR="007F02F2">
        <w:rPr>
          <w:rFonts w:ascii="Times New Roman" w:hAnsi="Times New Roman"/>
          <w:szCs w:val="22"/>
          <w:lang w:eastAsia="sk-SK"/>
        </w:rPr>
        <w:t>8</w:t>
      </w:r>
      <w:r w:rsidR="004B6325">
        <w:rPr>
          <w:rFonts w:ascii="Times New Roman" w:hAnsi="Times New Roman"/>
          <w:szCs w:val="22"/>
          <w:lang w:eastAsia="sk-SK"/>
        </w:rPr>
        <w:t> </w:t>
      </w:r>
      <w:r w:rsidR="007F02F2">
        <w:rPr>
          <w:rFonts w:ascii="Times New Roman" w:hAnsi="Times New Roman"/>
          <w:szCs w:val="22"/>
          <w:lang w:eastAsia="sk-SK"/>
        </w:rPr>
        <w:t>953</w:t>
      </w:r>
      <w:r w:rsidR="004B6325">
        <w:rPr>
          <w:rFonts w:ascii="Times New Roman" w:hAnsi="Times New Roman"/>
          <w:szCs w:val="22"/>
          <w:lang w:eastAsia="sk-SK"/>
        </w:rPr>
        <w:t> </w:t>
      </w:r>
      <w:r w:rsidR="007F02F2">
        <w:rPr>
          <w:rFonts w:ascii="Times New Roman" w:hAnsi="Times New Roman"/>
          <w:szCs w:val="22"/>
          <w:lang w:eastAsia="sk-SK"/>
        </w:rPr>
        <w:t>25</w:t>
      </w:r>
      <w:r w:rsidR="00EC4441">
        <w:rPr>
          <w:rFonts w:ascii="Times New Roman" w:hAnsi="Times New Roman"/>
          <w:szCs w:val="22"/>
          <w:lang w:eastAsia="sk-SK"/>
        </w:rPr>
        <w:t>5</w:t>
      </w:r>
      <w:r w:rsidRPr="00265F07">
        <w:rPr>
          <w:rFonts w:ascii="Times New Roman" w:hAnsi="Times New Roman"/>
          <w:szCs w:val="22"/>
          <w:lang w:eastAsia="sk-SK"/>
        </w:rPr>
        <w:t> tis.</w:t>
      </w:r>
      <w:r w:rsidRPr="00907622">
        <w:rPr>
          <w:rFonts w:ascii="Times New Roman" w:hAnsi="Times New Roman"/>
          <w:szCs w:val="22"/>
          <w:lang w:eastAsia="sk-SK"/>
        </w:rPr>
        <w:t xml:space="preserve"> eur). Hodnota časového rozlíšenia medziročne </w:t>
      </w:r>
      <w:r w:rsidR="004B0F21">
        <w:rPr>
          <w:rFonts w:ascii="Times New Roman" w:hAnsi="Times New Roman"/>
          <w:szCs w:val="22"/>
          <w:lang w:eastAsia="sk-SK"/>
        </w:rPr>
        <w:t>klesla</w:t>
      </w:r>
      <w:r w:rsidR="004B0F21" w:rsidRPr="00907622">
        <w:rPr>
          <w:rFonts w:ascii="Times New Roman" w:hAnsi="Times New Roman"/>
          <w:szCs w:val="22"/>
          <w:lang w:eastAsia="sk-SK"/>
        </w:rPr>
        <w:t xml:space="preserve"> </w:t>
      </w:r>
      <w:r w:rsidRPr="00907622">
        <w:rPr>
          <w:rFonts w:ascii="Times New Roman" w:hAnsi="Times New Roman"/>
          <w:szCs w:val="22"/>
          <w:lang w:eastAsia="sk-SK"/>
        </w:rPr>
        <w:t>o</w:t>
      </w:r>
      <w:r w:rsidR="00E86CE5">
        <w:rPr>
          <w:rFonts w:ascii="Times New Roman" w:hAnsi="Times New Roman"/>
          <w:szCs w:val="22"/>
          <w:lang w:eastAsia="sk-SK"/>
        </w:rPr>
        <w:t> 20</w:t>
      </w:r>
      <w:r w:rsidR="008A43B0">
        <w:rPr>
          <w:rFonts w:ascii="Times New Roman" w:hAnsi="Times New Roman"/>
          <w:szCs w:val="22"/>
          <w:lang w:eastAsia="sk-SK"/>
        </w:rPr>
        <w:t> </w:t>
      </w:r>
      <w:r w:rsidR="00E86CE5">
        <w:rPr>
          <w:rFonts w:ascii="Times New Roman" w:hAnsi="Times New Roman"/>
          <w:szCs w:val="22"/>
          <w:lang w:eastAsia="sk-SK"/>
        </w:rPr>
        <w:t>02</w:t>
      </w:r>
      <w:r w:rsidR="00811245">
        <w:rPr>
          <w:rFonts w:ascii="Times New Roman" w:hAnsi="Times New Roman"/>
          <w:szCs w:val="22"/>
          <w:lang w:eastAsia="sk-SK"/>
        </w:rPr>
        <w:t>6</w:t>
      </w:r>
      <w:r w:rsidRPr="00907622">
        <w:rPr>
          <w:rFonts w:ascii="Times New Roman" w:hAnsi="Times New Roman"/>
          <w:szCs w:val="22"/>
          <w:lang w:eastAsia="sk-SK"/>
        </w:rPr>
        <w:t> tis. eur.</w:t>
      </w:r>
    </w:p>
    <w:p w14:paraId="2A5B50D1" w14:textId="73D61A6C" w:rsidR="00647542" w:rsidRPr="00907622" w:rsidRDefault="00647542" w:rsidP="003F5CD1">
      <w:pPr>
        <w:spacing w:after="120" w:line="240" w:lineRule="auto"/>
        <w:jc w:val="both"/>
        <w:rPr>
          <w:rFonts w:ascii="Times New Roman" w:hAnsi="Times New Roman"/>
          <w:szCs w:val="22"/>
          <w:highlight w:val="yellow"/>
          <w:lang w:eastAsia="sk-SK"/>
        </w:rPr>
      </w:pPr>
      <w:r w:rsidRPr="00907622">
        <w:rPr>
          <w:rFonts w:ascii="Times New Roman" w:hAnsi="Times New Roman"/>
          <w:szCs w:val="22"/>
          <w:u w:val="single"/>
          <w:lang w:eastAsia="sk-SK"/>
        </w:rPr>
        <w:t>Z položiek vlastného imania</w:t>
      </w:r>
      <w:r w:rsidRPr="00907622">
        <w:rPr>
          <w:rFonts w:ascii="Times New Roman" w:hAnsi="Times New Roman"/>
          <w:szCs w:val="22"/>
          <w:lang w:eastAsia="sk-SK"/>
        </w:rPr>
        <w:t xml:space="preserve"> sa negatívne zmenil výsledok </w:t>
      </w:r>
      <w:r w:rsidRPr="00265F07">
        <w:rPr>
          <w:rFonts w:ascii="Times New Roman" w:hAnsi="Times New Roman"/>
          <w:szCs w:val="22"/>
          <w:lang w:eastAsia="sk-SK"/>
        </w:rPr>
        <w:t>hospod</w:t>
      </w:r>
      <w:r w:rsidR="00341757">
        <w:rPr>
          <w:rFonts w:ascii="Times New Roman" w:hAnsi="Times New Roman"/>
          <w:szCs w:val="22"/>
          <w:lang w:eastAsia="sk-SK"/>
        </w:rPr>
        <w:t>á</w:t>
      </w:r>
      <w:r w:rsidRPr="00265F07">
        <w:rPr>
          <w:rFonts w:ascii="Times New Roman" w:hAnsi="Times New Roman"/>
          <w:szCs w:val="22"/>
          <w:lang w:eastAsia="sk-SK"/>
        </w:rPr>
        <w:t>renia</w:t>
      </w:r>
      <w:r w:rsidRPr="00907622">
        <w:rPr>
          <w:rFonts w:ascii="Times New Roman" w:hAnsi="Times New Roman"/>
          <w:szCs w:val="22"/>
          <w:lang w:eastAsia="sk-SK"/>
        </w:rPr>
        <w:t xml:space="preserve"> za bežné účtovné obdobie</w:t>
      </w:r>
      <w:r w:rsidR="003F5CD1">
        <w:rPr>
          <w:rFonts w:ascii="Times New Roman" w:hAnsi="Times New Roman"/>
          <w:szCs w:val="22"/>
          <w:lang w:eastAsia="sk-SK"/>
        </w:rPr>
        <w:t xml:space="preserve"> </w:t>
      </w:r>
      <w:r w:rsidRPr="00907622">
        <w:rPr>
          <w:rFonts w:ascii="Times New Roman" w:hAnsi="Times New Roman"/>
          <w:szCs w:val="22"/>
          <w:lang w:eastAsia="sk-SK"/>
        </w:rPr>
        <w:t>o</w:t>
      </w:r>
      <w:r w:rsidR="006E3630">
        <w:rPr>
          <w:rFonts w:ascii="Times New Roman" w:hAnsi="Times New Roman"/>
          <w:szCs w:val="22"/>
          <w:lang w:eastAsia="sk-SK"/>
        </w:rPr>
        <w:t> 2 797</w:t>
      </w:r>
      <w:r w:rsidR="00836DF1">
        <w:rPr>
          <w:rFonts w:ascii="Times New Roman" w:hAnsi="Times New Roman"/>
          <w:szCs w:val="22"/>
          <w:lang w:eastAsia="sk-SK"/>
        </w:rPr>
        <w:t> </w:t>
      </w:r>
      <w:r w:rsidR="006E3630">
        <w:rPr>
          <w:rFonts w:ascii="Times New Roman" w:hAnsi="Times New Roman"/>
          <w:szCs w:val="22"/>
          <w:lang w:eastAsia="sk-SK"/>
        </w:rPr>
        <w:t>305</w:t>
      </w:r>
      <w:r w:rsidRPr="00907622">
        <w:rPr>
          <w:rFonts w:ascii="Times New Roman" w:hAnsi="Times New Roman"/>
          <w:szCs w:val="22"/>
          <w:lang w:eastAsia="sk-SK"/>
        </w:rPr>
        <w:t xml:space="preserve"> tis. eur v dôsledku najmä vyšších </w:t>
      </w:r>
      <w:r w:rsidR="000C205C">
        <w:rPr>
          <w:rFonts w:ascii="Times New Roman" w:hAnsi="Times New Roman"/>
          <w:szCs w:val="22"/>
          <w:lang w:eastAsia="sk-SK"/>
        </w:rPr>
        <w:t>osobných</w:t>
      </w:r>
      <w:r w:rsidRPr="00907622">
        <w:rPr>
          <w:rFonts w:ascii="Times New Roman" w:hAnsi="Times New Roman"/>
          <w:szCs w:val="22"/>
          <w:lang w:eastAsia="sk-SK"/>
        </w:rPr>
        <w:t xml:space="preserve"> nákladov o</w:t>
      </w:r>
      <w:r w:rsidR="00953D6E">
        <w:rPr>
          <w:rFonts w:ascii="Times New Roman" w:hAnsi="Times New Roman"/>
          <w:szCs w:val="22"/>
          <w:lang w:eastAsia="sk-SK"/>
        </w:rPr>
        <w:t> </w:t>
      </w:r>
      <w:r w:rsidRPr="00907622">
        <w:rPr>
          <w:rFonts w:ascii="Times New Roman" w:hAnsi="Times New Roman"/>
          <w:szCs w:val="22"/>
          <w:lang w:eastAsia="sk-SK"/>
        </w:rPr>
        <w:t>1</w:t>
      </w:r>
      <w:r w:rsidR="00341757">
        <w:rPr>
          <w:rFonts w:ascii="Times New Roman" w:hAnsi="Times New Roman"/>
          <w:szCs w:val="22"/>
          <w:lang w:eastAsia="sk-SK"/>
        </w:rPr>
        <w:t> </w:t>
      </w:r>
      <w:r w:rsidR="001E0DE6">
        <w:rPr>
          <w:rFonts w:ascii="Times New Roman" w:hAnsi="Times New Roman"/>
          <w:szCs w:val="22"/>
          <w:lang w:eastAsia="sk-SK"/>
        </w:rPr>
        <w:t>169 764</w:t>
      </w:r>
      <w:r w:rsidRPr="00907622">
        <w:rPr>
          <w:rFonts w:ascii="Times New Roman" w:hAnsi="Times New Roman"/>
          <w:szCs w:val="22"/>
          <w:lang w:eastAsia="sk-SK"/>
        </w:rPr>
        <w:t> tis. eur a nižších výnosov zo zúčtovania rezerv a opravných položiek o</w:t>
      </w:r>
      <w:r w:rsidR="00A0698A">
        <w:rPr>
          <w:rFonts w:ascii="Times New Roman" w:hAnsi="Times New Roman"/>
          <w:szCs w:val="22"/>
          <w:lang w:eastAsia="sk-SK"/>
        </w:rPr>
        <w:t> 2 063</w:t>
      </w:r>
      <w:r w:rsidR="0047020D">
        <w:rPr>
          <w:rFonts w:ascii="Times New Roman" w:hAnsi="Times New Roman"/>
          <w:szCs w:val="22"/>
          <w:lang w:eastAsia="sk-SK"/>
        </w:rPr>
        <w:t> </w:t>
      </w:r>
      <w:r w:rsidR="00A0698A">
        <w:rPr>
          <w:rFonts w:ascii="Times New Roman" w:hAnsi="Times New Roman"/>
          <w:szCs w:val="22"/>
          <w:lang w:eastAsia="sk-SK"/>
        </w:rPr>
        <w:t>589</w:t>
      </w:r>
      <w:r w:rsidRPr="00907622">
        <w:rPr>
          <w:rFonts w:ascii="Times New Roman" w:hAnsi="Times New Roman"/>
          <w:szCs w:val="22"/>
          <w:lang w:eastAsia="sk-SK"/>
        </w:rPr>
        <w:t xml:space="preserve"> tis. eur. </w:t>
      </w:r>
      <w:r w:rsidR="00712011">
        <w:rPr>
          <w:rFonts w:ascii="Times New Roman" w:hAnsi="Times New Roman"/>
          <w:szCs w:val="22"/>
          <w:lang w:eastAsia="sk-SK"/>
        </w:rPr>
        <w:t>V</w:t>
      </w:r>
      <w:r w:rsidRPr="00907622">
        <w:rPr>
          <w:rFonts w:ascii="Times New Roman" w:hAnsi="Times New Roman"/>
          <w:szCs w:val="22"/>
          <w:lang w:eastAsia="sk-SK"/>
        </w:rPr>
        <w:t xml:space="preserve">ýsledok hospodárenia minulých období </w:t>
      </w:r>
      <w:r w:rsidR="00015C2C">
        <w:rPr>
          <w:rFonts w:ascii="Times New Roman" w:hAnsi="Times New Roman"/>
          <w:szCs w:val="22"/>
          <w:lang w:eastAsia="sk-SK"/>
        </w:rPr>
        <w:t xml:space="preserve">medziročne </w:t>
      </w:r>
      <w:r w:rsidR="009126D4">
        <w:rPr>
          <w:rFonts w:ascii="Times New Roman" w:hAnsi="Times New Roman"/>
          <w:szCs w:val="22"/>
          <w:lang w:eastAsia="sk-SK"/>
        </w:rPr>
        <w:t xml:space="preserve">vzrástol </w:t>
      </w:r>
      <w:r w:rsidRPr="00907622">
        <w:rPr>
          <w:rFonts w:ascii="Times New Roman" w:hAnsi="Times New Roman"/>
          <w:szCs w:val="22"/>
          <w:lang w:eastAsia="sk-SK"/>
        </w:rPr>
        <w:t>o 1 </w:t>
      </w:r>
      <w:r w:rsidR="009126D4">
        <w:rPr>
          <w:rFonts w:ascii="Times New Roman" w:hAnsi="Times New Roman"/>
          <w:szCs w:val="22"/>
          <w:lang w:eastAsia="sk-SK"/>
        </w:rPr>
        <w:t>197</w:t>
      </w:r>
      <w:r w:rsidR="0094219B">
        <w:rPr>
          <w:rFonts w:ascii="Times New Roman" w:hAnsi="Times New Roman"/>
          <w:szCs w:val="22"/>
          <w:lang w:eastAsia="sk-SK"/>
        </w:rPr>
        <w:t> </w:t>
      </w:r>
      <w:r w:rsidR="009126D4">
        <w:rPr>
          <w:rFonts w:ascii="Times New Roman" w:hAnsi="Times New Roman"/>
          <w:szCs w:val="22"/>
          <w:lang w:eastAsia="sk-SK"/>
        </w:rPr>
        <w:t>020</w:t>
      </w:r>
      <w:r w:rsidRPr="00907622">
        <w:rPr>
          <w:rFonts w:ascii="Times New Roman" w:hAnsi="Times New Roman"/>
          <w:szCs w:val="22"/>
          <w:lang w:eastAsia="sk-SK"/>
        </w:rPr>
        <w:t> tis. eur, ktorý v sebe nesie prevod výsledku hospodárenia z roku 202</w:t>
      </w:r>
      <w:r w:rsidR="00B56E9E">
        <w:rPr>
          <w:rFonts w:ascii="Times New Roman" w:hAnsi="Times New Roman"/>
          <w:szCs w:val="22"/>
          <w:lang w:eastAsia="sk-SK"/>
        </w:rPr>
        <w:t>3</w:t>
      </w:r>
      <w:r w:rsidRPr="00907622">
        <w:rPr>
          <w:rFonts w:ascii="Times New Roman" w:hAnsi="Times New Roman"/>
          <w:szCs w:val="22"/>
          <w:lang w:eastAsia="sk-SK"/>
        </w:rPr>
        <w:t xml:space="preserve"> v sume </w:t>
      </w:r>
      <w:r w:rsidR="00B56E9E">
        <w:rPr>
          <w:rFonts w:ascii="Times New Roman" w:hAnsi="Times New Roman"/>
          <w:szCs w:val="22"/>
          <w:lang w:eastAsia="sk-SK"/>
        </w:rPr>
        <w:t>2 605</w:t>
      </w:r>
      <w:r w:rsidR="00CE3BCD">
        <w:rPr>
          <w:rFonts w:ascii="Times New Roman" w:hAnsi="Times New Roman"/>
          <w:szCs w:val="22"/>
          <w:lang w:eastAsia="sk-SK"/>
        </w:rPr>
        <w:t> </w:t>
      </w:r>
      <w:r w:rsidR="00B56E9E">
        <w:rPr>
          <w:rFonts w:ascii="Times New Roman" w:hAnsi="Times New Roman"/>
          <w:szCs w:val="22"/>
          <w:lang w:eastAsia="sk-SK"/>
        </w:rPr>
        <w:t>213</w:t>
      </w:r>
      <w:r w:rsidRPr="00907622">
        <w:rPr>
          <w:rFonts w:ascii="Times New Roman" w:hAnsi="Times New Roman"/>
          <w:szCs w:val="22"/>
          <w:lang w:eastAsia="sk-SK"/>
        </w:rPr>
        <w:t> tis. </w:t>
      </w:r>
      <w:r w:rsidR="002A562B" w:rsidRPr="00907622">
        <w:rPr>
          <w:rFonts w:ascii="Times New Roman" w:hAnsi="Times New Roman"/>
          <w:szCs w:val="22"/>
          <w:lang w:eastAsia="sk-SK"/>
        </w:rPr>
        <w:t>E</w:t>
      </w:r>
      <w:r w:rsidRPr="00907622">
        <w:rPr>
          <w:rFonts w:ascii="Times New Roman" w:hAnsi="Times New Roman"/>
          <w:szCs w:val="22"/>
          <w:lang w:eastAsia="sk-SK"/>
        </w:rPr>
        <w:t>ur</w:t>
      </w:r>
      <w:r w:rsidR="002A562B">
        <w:rPr>
          <w:rFonts w:ascii="Times New Roman" w:hAnsi="Times New Roman"/>
          <w:szCs w:val="22"/>
          <w:lang w:eastAsia="sk-SK"/>
        </w:rPr>
        <w:t>.</w:t>
      </w:r>
      <w:r w:rsidRPr="00907622">
        <w:rPr>
          <w:rFonts w:ascii="Times New Roman" w:hAnsi="Times New Roman"/>
          <w:szCs w:val="22"/>
          <w:lang w:eastAsia="sk-SK"/>
        </w:rPr>
        <w:t xml:space="preserve"> </w:t>
      </w:r>
    </w:p>
    <w:p w14:paraId="7A512DE9" w14:textId="12EAD00E" w:rsidR="007C2AF3" w:rsidRDefault="00647542" w:rsidP="003F5CD1">
      <w:pPr>
        <w:spacing w:after="120" w:line="240" w:lineRule="auto"/>
        <w:jc w:val="both"/>
        <w:rPr>
          <w:rFonts w:ascii="Times New Roman" w:hAnsi="Times New Roman"/>
          <w:szCs w:val="22"/>
          <w:lang w:eastAsia="sk-SK"/>
        </w:rPr>
      </w:pPr>
      <w:r w:rsidRPr="00907622">
        <w:rPr>
          <w:rFonts w:ascii="Times New Roman" w:hAnsi="Times New Roman"/>
          <w:szCs w:val="22"/>
          <w:u w:val="single"/>
          <w:lang w:eastAsia="sk-SK"/>
        </w:rPr>
        <w:t>Zo záväzkov a rezerv</w:t>
      </w:r>
      <w:r w:rsidRPr="00907622">
        <w:rPr>
          <w:rFonts w:ascii="Times New Roman" w:hAnsi="Times New Roman"/>
          <w:szCs w:val="22"/>
          <w:lang w:eastAsia="sk-SK"/>
        </w:rPr>
        <w:t xml:space="preserve"> zaznamenali významný medziročný úbytok dlhodobé rezervy o</w:t>
      </w:r>
      <w:r w:rsidR="00013BC2">
        <w:rPr>
          <w:rFonts w:ascii="Times New Roman" w:hAnsi="Times New Roman"/>
          <w:szCs w:val="22"/>
          <w:lang w:eastAsia="sk-SK"/>
        </w:rPr>
        <w:t> </w:t>
      </w:r>
      <w:r w:rsidR="007A259B">
        <w:rPr>
          <w:rFonts w:ascii="Times New Roman" w:hAnsi="Times New Roman"/>
          <w:szCs w:val="22"/>
          <w:lang w:eastAsia="sk-SK"/>
        </w:rPr>
        <w:t>715</w:t>
      </w:r>
      <w:r w:rsidR="00157A43">
        <w:rPr>
          <w:rFonts w:ascii="Times New Roman" w:hAnsi="Times New Roman"/>
          <w:szCs w:val="22"/>
          <w:lang w:eastAsia="sk-SK"/>
        </w:rPr>
        <w:t> </w:t>
      </w:r>
      <w:r w:rsidR="007A259B">
        <w:rPr>
          <w:rFonts w:ascii="Times New Roman" w:hAnsi="Times New Roman"/>
          <w:szCs w:val="22"/>
          <w:lang w:eastAsia="sk-SK"/>
        </w:rPr>
        <w:t>534</w:t>
      </w:r>
      <w:r w:rsidRPr="00907622">
        <w:rPr>
          <w:rFonts w:ascii="Times New Roman" w:hAnsi="Times New Roman"/>
          <w:szCs w:val="22"/>
          <w:lang w:eastAsia="sk-SK"/>
        </w:rPr>
        <w:t> tis. eur, vplyvom zníženia rezerv na zamestnanecké požitky štátnych rozpočtových a príspevkových organizácií o</w:t>
      </w:r>
      <w:r w:rsidR="005F792B">
        <w:rPr>
          <w:rFonts w:ascii="Times New Roman" w:hAnsi="Times New Roman"/>
          <w:szCs w:val="22"/>
          <w:lang w:eastAsia="sk-SK"/>
        </w:rPr>
        <w:t> 326</w:t>
      </w:r>
      <w:r w:rsidR="00300C80">
        <w:rPr>
          <w:rFonts w:ascii="Times New Roman" w:hAnsi="Times New Roman"/>
          <w:szCs w:val="22"/>
          <w:lang w:eastAsia="sk-SK"/>
        </w:rPr>
        <w:t> </w:t>
      </w:r>
      <w:r w:rsidR="005F792B">
        <w:rPr>
          <w:rFonts w:ascii="Times New Roman" w:hAnsi="Times New Roman"/>
          <w:szCs w:val="22"/>
          <w:lang w:eastAsia="sk-SK"/>
        </w:rPr>
        <w:t>065</w:t>
      </w:r>
      <w:r w:rsidRPr="00907622">
        <w:rPr>
          <w:rFonts w:ascii="Times New Roman" w:hAnsi="Times New Roman"/>
          <w:szCs w:val="22"/>
          <w:lang w:eastAsia="sk-SK"/>
        </w:rPr>
        <w:t xml:space="preserve"> tis. eur, ostatné dlhodobé rezervy </w:t>
      </w:r>
      <w:r w:rsidR="007A0A4A" w:rsidRPr="00907622">
        <w:rPr>
          <w:rFonts w:ascii="Times New Roman" w:hAnsi="Times New Roman"/>
          <w:szCs w:val="22"/>
          <w:lang w:eastAsia="sk-SK"/>
        </w:rPr>
        <w:t>zaznamenali</w:t>
      </w:r>
      <w:r w:rsidR="007A0A4A">
        <w:rPr>
          <w:rFonts w:ascii="Times New Roman" w:hAnsi="Times New Roman"/>
          <w:szCs w:val="22"/>
          <w:lang w:eastAsia="sk-SK"/>
        </w:rPr>
        <w:t xml:space="preserve"> pokles</w:t>
      </w:r>
      <w:r w:rsidR="007A0A4A" w:rsidRPr="00907622">
        <w:rPr>
          <w:rFonts w:ascii="Times New Roman" w:hAnsi="Times New Roman"/>
          <w:szCs w:val="22"/>
          <w:lang w:eastAsia="sk-SK"/>
        </w:rPr>
        <w:t xml:space="preserve"> </w:t>
      </w:r>
      <w:r w:rsidRPr="00907622">
        <w:rPr>
          <w:rFonts w:ascii="Times New Roman" w:hAnsi="Times New Roman"/>
          <w:szCs w:val="22"/>
          <w:lang w:eastAsia="sk-SK"/>
        </w:rPr>
        <w:t>o</w:t>
      </w:r>
      <w:r w:rsidR="003B5F08">
        <w:rPr>
          <w:rFonts w:ascii="Times New Roman" w:hAnsi="Times New Roman"/>
          <w:szCs w:val="22"/>
          <w:lang w:eastAsia="sk-SK"/>
        </w:rPr>
        <w:t> 389 469</w:t>
      </w:r>
      <w:r w:rsidR="00FE15AC">
        <w:rPr>
          <w:rFonts w:ascii="Times New Roman" w:hAnsi="Times New Roman"/>
          <w:szCs w:val="22"/>
          <w:lang w:eastAsia="sk-SK"/>
        </w:rPr>
        <w:t> </w:t>
      </w:r>
      <w:r w:rsidRPr="00907622">
        <w:rPr>
          <w:rFonts w:ascii="Times New Roman" w:hAnsi="Times New Roman"/>
          <w:szCs w:val="22"/>
          <w:lang w:eastAsia="sk-SK"/>
        </w:rPr>
        <w:t>tis. eur. Z dlhodobých záväzkov sú rozhodujúce záväzky zo štátnych dlhopisov, ktoré dosiahli zostatok ku koncu roka</w:t>
      </w:r>
      <w:r w:rsidR="003F5CD1">
        <w:rPr>
          <w:rFonts w:ascii="Times New Roman" w:hAnsi="Times New Roman"/>
          <w:szCs w:val="22"/>
          <w:lang w:eastAsia="sk-SK"/>
        </w:rPr>
        <w:t xml:space="preserve"> </w:t>
      </w:r>
      <w:r w:rsidR="001166CE">
        <w:rPr>
          <w:rFonts w:ascii="Times New Roman" w:hAnsi="Times New Roman"/>
          <w:szCs w:val="22"/>
          <w:lang w:eastAsia="sk-SK"/>
        </w:rPr>
        <w:t>62 989</w:t>
      </w:r>
      <w:r w:rsidR="00DD21AF">
        <w:rPr>
          <w:rFonts w:ascii="Times New Roman" w:hAnsi="Times New Roman"/>
          <w:szCs w:val="22"/>
          <w:lang w:eastAsia="sk-SK"/>
        </w:rPr>
        <w:t> </w:t>
      </w:r>
      <w:r w:rsidR="001166CE">
        <w:rPr>
          <w:rFonts w:ascii="Times New Roman" w:hAnsi="Times New Roman"/>
          <w:szCs w:val="22"/>
          <w:lang w:eastAsia="sk-SK"/>
        </w:rPr>
        <w:t>158</w:t>
      </w:r>
      <w:r w:rsidR="00DD21AF">
        <w:rPr>
          <w:rFonts w:ascii="Times New Roman" w:hAnsi="Times New Roman"/>
          <w:szCs w:val="22"/>
          <w:lang w:eastAsia="sk-SK"/>
        </w:rPr>
        <w:t> </w:t>
      </w:r>
      <w:r w:rsidRPr="00907622">
        <w:rPr>
          <w:rFonts w:ascii="Times New Roman" w:hAnsi="Times New Roman"/>
          <w:szCs w:val="22"/>
          <w:lang w:eastAsia="sk-SK"/>
        </w:rPr>
        <w:t>tis.</w:t>
      </w:r>
      <w:r w:rsidR="00DD21AF">
        <w:rPr>
          <w:rFonts w:ascii="Times New Roman" w:hAnsi="Times New Roman"/>
          <w:szCs w:val="22"/>
          <w:lang w:eastAsia="sk-SK"/>
        </w:rPr>
        <w:t> </w:t>
      </w:r>
      <w:r w:rsidRPr="00907622">
        <w:rPr>
          <w:rFonts w:ascii="Times New Roman" w:hAnsi="Times New Roman"/>
          <w:szCs w:val="22"/>
          <w:lang w:eastAsia="sk-SK"/>
        </w:rPr>
        <w:t>eur a medziročne na základe nových emisií a splácania pôvodných dlhopisov dosiahli rast o</w:t>
      </w:r>
      <w:r w:rsidR="005C5B29">
        <w:rPr>
          <w:rFonts w:ascii="Times New Roman" w:hAnsi="Times New Roman"/>
          <w:szCs w:val="22"/>
          <w:lang w:eastAsia="sk-SK"/>
        </w:rPr>
        <w:t> 7 453</w:t>
      </w:r>
      <w:r w:rsidR="004C7CEA">
        <w:rPr>
          <w:rFonts w:ascii="Times New Roman" w:hAnsi="Times New Roman"/>
          <w:szCs w:val="22"/>
          <w:lang w:eastAsia="sk-SK"/>
        </w:rPr>
        <w:t> </w:t>
      </w:r>
      <w:r w:rsidR="005C5B29">
        <w:rPr>
          <w:rFonts w:ascii="Times New Roman" w:hAnsi="Times New Roman"/>
          <w:szCs w:val="22"/>
          <w:lang w:eastAsia="sk-SK"/>
        </w:rPr>
        <w:t>836</w:t>
      </w:r>
      <w:r w:rsidR="004C7CEA">
        <w:rPr>
          <w:rFonts w:ascii="Times New Roman" w:hAnsi="Times New Roman"/>
          <w:szCs w:val="22"/>
          <w:lang w:eastAsia="sk-SK"/>
        </w:rPr>
        <w:t> </w:t>
      </w:r>
      <w:r w:rsidRPr="00907622">
        <w:rPr>
          <w:rFonts w:ascii="Times New Roman" w:hAnsi="Times New Roman"/>
          <w:szCs w:val="22"/>
          <w:lang w:eastAsia="sk-SK"/>
        </w:rPr>
        <w:t>tis.</w:t>
      </w:r>
      <w:r w:rsidR="004C7CEA">
        <w:rPr>
          <w:rFonts w:ascii="Times New Roman" w:hAnsi="Times New Roman"/>
          <w:szCs w:val="22"/>
          <w:lang w:eastAsia="sk-SK"/>
        </w:rPr>
        <w:t> </w:t>
      </w:r>
      <w:r w:rsidRPr="00907622">
        <w:rPr>
          <w:rFonts w:ascii="Times New Roman" w:hAnsi="Times New Roman"/>
          <w:szCs w:val="22"/>
          <w:lang w:eastAsia="sk-SK"/>
        </w:rPr>
        <w:t xml:space="preserve">eur. Krátkodobá časť emitovaných štátnych cenných papierov dosiahla hodnotu </w:t>
      </w:r>
      <w:r w:rsidR="00820B6E">
        <w:rPr>
          <w:rFonts w:ascii="Times New Roman" w:hAnsi="Times New Roman"/>
          <w:szCs w:val="22"/>
          <w:lang w:eastAsia="sk-SK"/>
        </w:rPr>
        <w:t>6 800</w:t>
      </w:r>
      <w:r w:rsidR="00011246">
        <w:rPr>
          <w:rFonts w:ascii="Times New Roman" w:hAnsi="Times New Roman"/>
          <w:szCs w:val="22"/>
          <w:lang w:eastAsia="sk-SK"/>
        </w:rPr>
        <w:t> </w:t>
      </w:r>
      <w:r w:rsidR="00820B6E">
        <w:rPr>
          <w:rFonts w:ascii="Times New Roman" w:hAnsi="Times New Roman"/>
          <w:szCs w:val="22"/>
          <w:lang w:eastAsia="sk-SK"/>
        </w:rPr>
        <w:t>716</w:t>
      </w:r>
      <w:r w:rsidR="00011246">
        <w:rPr>
          <w:rFonts w:ascii="Times New Roman" w:hAnsi="Times New Roman"/>
          <w:szCs w:val="22"/>
          <w:lang w:eastAsia="sk-SK"/>
        </w:rPr>
        <w:t> </w:t>
      </w:r>
      <w:r w:rsidRPr="00907622">
        <w:rPr>
          <w:rFonts w:ascii="Times New Roman" w:hAnsi="Times New Roman"/>
          <w:szCs w:val="22"/>
          <w:lang w:eastAsia="sk-SK"/>
        </w:rPr>
        <w:t>tis.</w:t>
      </w:r>
      <w:r w:rsidR="00011246">
        <w:rPr>
          <w:rFonts w:ascii="Times New Roman" w:hAnsi="Times New Roman"/>
          <w:szCs w:val="22"/>
          <w:lang w:eastAsia="sk-SK"/>
        </w:rPr>
        <w:t> </w:t>
      </w:r>
      <w:r w:rsidRPr="00907622">
        <w:rPr>
          <w:rFonts w:ascii="Times New Roman" w:hAnsi="Times New Roman"/>
          <w:szCs w:val="22"/>
          <w:lang w:eastAsia="sk-SK"/>
        </w:rPr>
        <w:t>eur s medziročným rastom o</w:t>
      </w:r>
      <w:r w:rsidR="006E58A5">
        <w:rPr>
          <w:rFonts w:ascii="Times New Roman" w:hAnsi="Times New Roman"/>
          <w:szCs w:val="22"/>
          <w:lang w:eastAsia="sk-SK"/>
        </w:rPr>
        <w:t> 1 499</w:t>
      </w:r>
      <w:r w:rsidR="00022CF1">
        <w:rPr>
          <w:rFonts w:ascii="Times New Roman" w:hAnsi="Times New Roman"/>
          <w:szCs w:val="22"/>
          <w:lang w:eastAsia="sk-SK"/>
        </w:rPr>
        <w:t> </w:t>
      </w:r>
      <w:r w:rsidR="006E58A5">
        <w:rPr>
          <w:rFonts w:ascii="Times New Roman" w:hAnsi="Times New Roman"/>
          <w:szCs w:val="22"/>
          <w:lang w:eastAsia="sk-SK"/>
        </w:rPr>
        <w:t>41</w:t>
      </w:r>
      <w:r w:rsidR="00853CFE">
        <w:rPr>
          <w:rFonts w:ascii="Times New Roman" w:hAnsi="Times New Roman"/>
          <w:szCs w:val="22"/>
          <w:lang w:eastAsia="sk-SK"/>
        </w:rPr>
        <w:t>9</w:t>
      </w:r>
      <w:r w:rsidR="00022CF1">
        <w:rPr>
          <w:rFonts w:ascii="Times New Roman" w:hAnsi="Times New Roman"/>
          <w:szCs w:val="22"/>
          <w:lang w:eastAsia="sk-SK"/>
        </w:rPr>
        <w:t> </w:t>
      </w:r>
      <w:r w:rsidRPr="00907622">
        <w:rPr>
          <w:rFonts w:ascii="Times New Roman" w:hAnsi="Times New Roman"/>
          <w:szCs w:val="22"/>
          <w:lang w:eastAsia="sk-SK"/>
        </w:rPr>
        <w:t>tis.</w:t>
      </w:r>
      <w:r w:rsidR="00022CF1">
        <w:rPr>
          <w:rFonts w:ascii="Times New Roman" w:hAnsi="Times New Roman"/>
          <w:szCs w:val="22"/>
          <w:lang w:eastAsia="sk-SK"/>
        </w:rPr>
        <w:t> </w:t>
      </w:r>
      <w:r w:rsidRPr="00907622">
        <w:rPr>
          <w:rFonts w:ascii="Times New Roman" w:hAnsi="Times New Roman"/>
          <w:szCs w:val="22"/>
          <w:lang w:eastAsia="sk-SK"/>
        </w:rPr>
        <w:t xml:space="preserve">eur. Z ostatných </w:t>
      </w:r>
      <w:r w:rsidR="00B04ADE">
        <w:rPr>
          <w:rFonts w:ascii="Times New Roman" w:hAnsi="Times New Roman"/>
          <w:szCs w:val="22"/>
          <w:lang w:eastAsia="sk-SK"/>
        </w:rPr>
        <w:t>krátkodobých</w:t>
      </w:r>
      <w:r w:rsidRPr="00907622">
        <w:rPr>
          <w:rFonts w:ascii="Times New Roman" w:hAnsi="Times New Roman"/>
          <w:szCs w:val="22"/>
          <w:lang w:eastAsia="sk-SK"/>
        </w:rPr>
        <w:t xml:space="preserve"> záväzkov významne medziročne </w:t>
      </w:r>
      <w:r w:rsidR="002D4727">
        <w:rPr>
          <w:rFonts w:ascii="Times New Roman" w:hAnsi="Times New Roman"/>
          <w:szCs w:val="22"/>
          <w:lang w:eastAsia="sk-SK"/>
        </w:rPr>
        <w:t>poklesli</w:t>
      </w:r>
      <w:r w:rsidR="00F06446" w:rsidRPr="00907622">
        <w:rPr>
          <w:rFonts w:ascii="Times New Roman" w:hAnsi="Times New Roman"/>
          <w:szCs w:val="22"/>
          <w:lang w:eastAsia="sk-SK"/>
        </w:rPr>
        <w:t xml:space="preserve"> </w:t>
      </w:r>
      <w:r w:rsidRPr="00907622">
        <w:rPr>
          <w:rFonts w:ascii="Times New Roman" w:hAnsi="Times New Roman"/>
          <w:szCs w:val="22"/>
          <w:lang w:eastAsia="sk-SK"/>
        </w:rPr>
        <w:t>záväzky zo zúčtovania s rozpočtom E</w:t>
      </w:r>
      <w:r w:rsidR="006B171B">
        <w:rPr>
          <w:rFonts w:ascii="Times New Roman" w:hAnsi="Times New Roman"/>
          <w:szCs w:val="22"/>
          <w:lang w:eastAsia="sk-SK"/>
        </w:rPr>
        <w:t>Ú</w:t>
      </w:r>
      <w:r w:rsidRPr="00907622">
        <w:rPr>
          <w:rFonts w:ascii="Times New Roman" w:hAnsi="Times New Roman"/>
          <w:szCs w:val="22"/>
          <w:lang w:eastAsia="sk-SK"/>
        </w:rPr>
        <w:t xml:space="preserve"> o</w:t>
      </w:r>
      <w:r w:rsidR="002D4727">
        <w:rPr>
          <w:rFonts w:ascii="Times New Roman" w:hAnsi="Times New Roman"/>
          <w:szCs w:val="22"/>
          <w:lang w:eastAsia="sk-SK"/>
        </w:rPr>
        <w:t> 1 518</w:t>
      </w:r>
      <w:r w:rsidR="00AC2D19">
        <w:rPr>
          <w:rFonts w:ascii="Times New Roman" w:hAnsi="Times New Roman"/>
          <w:szCs w:val="22"/>
          <w:lang w:eastAsia="sk-SK"/>
        </w:rPr>
        <w:t> </w:t>
      </w:r>
      <w:r w:rsidR="002D4727">
        <w:rPr>
          <w:rFonts w:ascii="Times New Roman" w:hAnsi="Times New Roman"/>
          <w:szCs w:val="22"/>
          <w:lang w:eastAsia="sk-SK"/>
        </w:rPr>
        <w:t>253</w:t>
      </w:r>
      <w:r w:rsidR="00AC2D19">
        <w:rPr>
          <w:rFonts w:ascii="Times New Roman" w:hAnsi="Times New Roman"/>
          <w:szCs w:val="22"/>
          <w:lang w:eastAsia="sk-SK"/>
        </w:rPr>
        <w:t> </w:t>
      </w:r>
      <w:r w:rsidRPr="00907622">
        <w:rPr>
          <w:rFonts w:ascii="Times New Roman" w:hAnsi="Times New Roman"/>
          <w:szCs w:val="22"/>
          <w:lang w:eastAsia="sk-SK"/>
        </w:rPr>
        <w:t>tis.</w:t>
      </w:r>
      <w:r w:rsidR="00AC2D19">
        <w:rPr>
          <w:rFonts w:ascii="Times New Roman" w:hAnsi="Times New Roman"/>
          <w:szCs w:val="22"/>
          <w:lang w:eastAsia="sk-SK"/>
        </w:rPr>
        <w:t> </w:t>
      </w:r>
      <w:r w:rsidRPr="00907622">
        <w:rPr>
          <w:rFonts w:ascii="Times New Roman" w:hAnsi="Times New Roman"/>
          <w:szCs w:val="22"/>
          <w:lang w:eastAsia="sk-SK"/>
        </w:rPr>
        <w:t xml:space="preserve">eur a naopak </w:t>
      </w:r>
      <w:r w:rsidR="00EC0FCD">
        <w:rPr>
          <w:rFonts w:ascii="Times New Roman" w:hAnsi="Times New Roman"/>
          <w:szCs w:val="22"/>
          <w:lang w:eastAsia="sk-SK"/>
        </w:rPr>
        <w:t>vz</w:t>
      </w:r>
      <w:r w:rsidR="0051276B">
        <w:rPr>
          <w:rFonts w:ascii="Times New Roman" w:hAnsi="Times New Roman"/>
          <w:szCs w:val="22"/>
          <w:lang w:eastAsia="sk-SK"/>
        </w:rPr>
        <w:t>rástli</w:t>
      </w:r>
      <w:r w:rsidRPr="00907622">
        <w:rPr>
          <w:rFonts w:ascii="Times New Roman" w:hAnsi="Times New Roman"/>
          <w:szCs w:val="22"/>
          <w:lang w:eastAsia="sk-SK"/>
        </w:rPr>
        <w:t xml:space="preserve"> krátkodobé záväzky voči dodávateľom o</w:t>
      </w:r>
      <w:r w:rsidR="0051276B">
        <w:rPr>
          <w:rFonts w:ascii="Times New Roman" w:hAnsi="Times New Roman"/>
          <w:szCs w:val="22"/>
          <w:lang w:eastAsia="sk-SK"/>
        </w:rPr>
        <w:t> 488</w:t>
      </w:r>
      <w:r w:rsidR="00606F3C">
        <w:rPr>
          <w:rFonts w:ascii="Times New Roman" w:hAnsi="Times New Roman"/>
          <w:szCs w:val="22"/>
          <w:lang w:eastAsia="sk-SK"/>
        </w:rPr>
        <w:t> </w:t>
      </w:r>
      <w:r w:rsidR="0051276B">
        <w:rPr>
          <w:rFonts w:ascii="Times New Roman" w:hAnsi="Times New Roman"/>
          <w:szCs w:val="22"/>
          <w:lang w:eastAsia="sk-SK"/>
        </w:rPr>
        <w:t>699</w:t>
      </w:r>
      <w:r w:rsidRPr="00907622">
        <w:rPr>
          <w:rFonts w:ascii="Times New Roman" w:hAnsi="Times New Roman"/>
          <w:szCs w:val="22"/>
          <w:lang w:eastAsia="sk-SK"/>
        </w:rPr>
        <w:t xml:space="preserve"> tis.</w:t>
      </w:r>
      <w:r w:rsidR="00606F3C">
        <w:rPr>
          <w:rFonts w:ascii="Times New Roman" w:hAnsi="Times New Roman"/>
          <w:szCs w:val="22"/>
          <w:lang w:eastAsia="sk-SK"/>
        </w:rPr>
        <w:t> </w:t>
      </w:r>
      <w:r w:rsidRPr="00907622">
        <w:rPr>
          <w:rFonts w:ascii="Times New Roman" w:hAnsi="Times New Roman"/>
          <w:szCs w:val="22"/>
          <w:lang w:eastAsia="sk-SK"/>
        </w:rPr>
        <w:t>eur.</w:t>
      </w:r>
    </w:p>
    <w:p w14:paraId="0C383686" w14:textId="59AA768B" w:rsidR="00647542" w:rsidRPr="00265F07" w:rsidRDefault="007C2AF3" w:rsidP="0085799C">
      <w:pPr>
        <w:pStyle w:val="Nadpis3"/>
        <w:rPr>
          <w:highlight w:val="cyan"/>
          <w:lang w:eastAsia="sk-SK"/>
        </w:rPr>
      </w:pPr>
      <w:r>
        <w:rPr>
          <w:lang w:eastAsia="sk-SK"/>
        </w:rPr>
        <w:t>A. Vlastné imanie</w:t>
      </w:r>
      <w:r w:rsidR="00647542" w:rsidRPr="00265F07">
        <w:rPr>
          <w:lang w:eastAsia="sk-SK"/>
        </w:rPr>
        <w:t xml:space="preserve"> </w:t>
      </w:r>
    </w:p>
    <w:p w14:paraId="3616396B" w14:textId="0C672671" w:rsidR="00647542" w:rsidRDefault="00647542" w:rsidP="003F5CD1">
      <w:pPr>
        <w:pStyle w:val="Pismenka"/>
        <w:tabs>
          <w:tab w:val="clear" w:pos="426"/>
        </w:tabs>
        <w:spacing w:after="120"/>
        <w:ind w:left="0" w:firstLine="0"/>
        <w:rPr>
          <w:b w:val="0"/>
          <w:sz w:val="22"/>
          <w:szCs w:val="22"/>
        </w:rPr>
      </w:pPr>
      <w:r w:rsidRPr="00907622">
        <w:rPr>
          <w:b w:val="0"/>
          <w:bCs w:val="0"/>
          <w:sz w:val="22"/>
          <w:szCs w:val="22"/>
        </w:rPr>
        <w:t xml:space="preserve">Vlastné imanie súhrnného celku dosiahlo </w:t>
      </w:r>
      <w:r w:rsidR="00B90138">
        <w:rPr>
          <w:b w:val="0"/>
          <w:bCs w:val="0"/>
          <w:sz w:val="22"/>
          <w:szCs w:val="22"/>
        </w:rPr>
        <w:t>-36 024</w:t>
      </w:r>
      <w:r w:rsidR="00436043">
        <w:rPr>
          <w:b w:val="0"/>
          <w:sz w:val="22"/>
          <w:szCs w:val="22"/>
        </w:rPr>
        <w:t> </w:t>
      </w:r>
      <w:r w:rsidR="00B90138">
        <w:rPr>
          <w:b w:val="0"/>
          <w:bCs w:val="0"/>
          <w:sz w:val="22"/>
          <w:szCs w:val="22"/>
        </w:rPr>
        <w:t>425</w:t>
      </w:r>
      <w:r w:rsidRPr="00907622">
        <w:rPr>
          <w:b w:val="0"/>
          <w:bCs w:val="0"/>
          <w:sz w:val="22"/>
          <w:szCs w:val="22"/>
        </w:rPr>
        <w:t> tis. eur, z toho celkový výsledok hospodárenia</w:t>
      </w:r>
      <w:r w:rsidRPr="00907622">
        <w:rPr>
          <w:b w:val="0"/>
          <w:bCs w:val="0"/>
          <w:sz w:val="22"/>
          <w:szCs w:val="22"/>
          <w:highlight w:val="yellow"/>
        </w:rPr>
        <w:br/>
      </w:r>
      <w:r w:rsidR="00BC6A28">
        <w:rPr>
          <w:b w:val="0"/>
          <w:bCs w:val="0"/>
          <w:sz w:val="22"/>
          <w:szCs w:val="22"/>
        </w:rPr>
        <w:t>-36 191</w:t>
      </w:r>
      <w:r w:rsidR="00262DA4">
        <w:rPr>
          <w:b w:val="0"/>
          <w:sz w:val="22"/>
          <w:szCs w:val="22"/>
        </w:rPr>
        <w:t> </w:t>
      </w:r>
      <w:r w:rsidR="00BC6A28">
        <w:rPr>
          <w:b w:val="0"/>
          <w:bCs w:val="0"/>
          <w:sz w:val="22"/>
          <w:szCs w:val="22"/>
        </w:rPr>
        <w:t>434</w:t>
      </w:r>
      <w:r w:rsidRPr="00907622">
        <w:rPr>
          <w:b w:val="0"/>
          <w:bCs w:val="0"/>
          <w:sz w:val="22"/>
          <w:szCs w:val="22"/>
        </w:rPr>
        <w:t xml:space="preserve"> tis. eur, oceňovacie rozdiely dosiahli </w:t>
      </w:r>
      <w:r w:rsidR="00500FAA">
        <w:rPr>
          <w:b w:val="0"/>
          <w:bCs w:val="0"/>
          <w:sz w:val="22"/>
          <w:szCs w:val="22"/>
        </w:rPr>
        <w:t>-6</w:t>
      </w:r>
      <w:r w:rsidR="00520691">
        <w:rPr>
          <w:b w:val="0"/>
          <w:sz w:val="22"/>
          <w:szCs w:val="22"/>
        </w:rPr>
        <w:t> </w:t>
      </w:r>
      <w:r w:rsidR="00500FAA">
        <w:rPr>
          <w:b w:val="0"/>
          <w:bCs w:val="0"/>
          <w:sz w:val="22"/>
          <w:szCs w:val="22"/>
        </w:rPr>
        <w:t>186</w:t>
      </w:r>
      <w:r w:rsidRPr="00907622">
        <w:rPr>
          <w:b w:val="0"/>
          <w:bCs w:val="0"/>
          <w:sz w:val="22"/>
          <w:szCs w:val="22"/>
        </w:rPr>
        <w:t xml:space="preserve"> tis. eur a podiely iných účtovných jednotiek </w:t>
      </w:r>
      <w:r w:rsidR="00D1620F">
        <w:rPr>
          <w:b w:val="0"/>
          <w:bCs w:val="0"/>
          <w:sz w:val="22"/>
          <w:szCs w:val="22"/>
        </w:rPr>
        <w:t>173</w:t>
      </w:r>
      <w:r w:rsidR="00DC5525">
        <w:rPr>
          <w:b w:val="0"/>
          <w:sz w:val="22"/>
          <w:szCs w:val="22"/>
        </w:rPr>
        <w:t> </w:t>
      </w:r>
      <w:r w:rsidR="00D1620F">
        <w:rPr>
          <w:b w:val="0"/>
          <w:bCs w:val="0"/>
          <w:sz w:val="22"/>
          <w:szCs w:val="22"/>
        </w:rPr>
        <w:t>195</w:t>
      </w:r>
      <w:r w:rsidRPr="00907622">
        <w:rPr>
          <w:b w:val="0"/>
          <w:bCs w:val="0"/>
          <w:sz w:val="22"/>
          <w:szCs w:val="22"/>
        </w:rPr>
        <w:t xml:space="preserve"> tis. eur. </w:t>
      </w:r>
      <w:r w:rsidRPr="00812DBD">
        <w:rPr>
          <w:b w:val="0"/>
          <w:sz w:val="22"/>
          <w:szCs w:val="22"/>
        </w:rPr>
        <w:t>Do výsledku hospodárenia minulých období sú zahrnuté aj kapitálové a rezervné fondy tvorené v rámci vlastného imania, ktorých hodnota za rok 202</w:t>
      </w:r>
      <w:r w:rsidR="00002472" w:rsidRPr="0085799C">
        <w:rPr>
          <w:b w:val="0"/>
          <w:sz w:val="22"/>
          <w:szCs w:val="22"/>
        </w:rPr>
        <w:t>4</w:t>
      </w:r>
      <w:r w:rsidRPr="00812DBD">
        <w:rPr>
          <w:b w:val="0"/>
          <w:sz w:val="22"/>
          <w:szCs w:val="22"/>
        </w:rPr>
        <w:t xml:space="preserve"> bola </w:t>
      </w:r>
      <w:r w:rsidR="007F13F5">
        <w:rPr>
          <w:b w:val="0"/>
          <w:sz w:val="22"/>
          <w:szCs w:val="22"/>
        </w:rPr>
        <w:t>1 319</w:t>
      </w:r>
      <w:r w:rsidR="003F5CD1">
        <w:rPr>
          <w:b w:val="0"/>
          <w:sz w:val="22"/>
          <w:szCs w:val="22"/>
        </w:rPr>
        <w:t> </w:t>
      </w:r>
      <w:r w:rsidR="007F13F5">
        <w:rPr>
          <w:b w:val="0"/>
          <w:sz w:val="22"/>
          <w:szCs w:val="22"/>
        </w:rPr>
        <w:t>885</w:t>
      </w:r>
      <w:r w:rsidR="003F5CD1">
        <w:rPr>
          <w:b w:val="0"/>
          <w:sz w:val="22"/>
          <w:szCs w:val="22"/>
        </w:rPr>
        <w:t> </w:t>
      </w:r>
      <w:r w:rsidRPr="00812DBD">
        <w:rPr>
          <w:b w:val="0"/>
          <w:sz w:val="22"/>
          <w:szCs w:val="22"/>
        </w:rPr>
        <w:t xml:space="preserve">tis. eur. </w:t>
      </w:r>
    </w:p>
    <w:p w14:paraId="0DA5983D" w14:textId="77777777" w:rsidR="00647542" w:rsidRPr="00265F07" w:rsidRDefault="00647542" w:rsidP="0085799C">
      <w:pPr>
        <w:pStyle w:val="Nadpis3"/>
      </w:pPr>
      <w:r w:rsidRPr="00265F07">
        <w:t>A.I. Oceňovacie rozdiely</w:t>
      </w:r>
    </w:p>
    <w:p w14:paraId="24CE11E3" w14:textId="615DD4F2" w:rsidR="00647542" w:rsidRPr="00907622" w:rsidRDefault="00647542" w:rsidP="002622C0">
      <w:pPr>
        <w:spacing w:after="120" w:line="240" w:lineRule="auto"/>
        <w:jc w:val="both"/>
        <w:rPr>
          <w:rFonts w:ascii="Times New Roman" w:hAnsi="Times New Roman"/>
          <w:szCs w:val="22"/>
          <w:lang w:eastAsia="sk-SK"/>
        </w:rPr>
      </w:pPr>
      <w:r w:rsidRPr="00907622">
        <w:rPr>
          <w:rFonts w:ascii="Times New Roman" w:hAnsi="Times New Roman"/>
          <w:szCs w:val="22"/>
          <w:lang w:eastAsia="sk-SK"/>
        </w:rPr>
        <w:t>Oceňovacie rozdiely</w:t>
      </w:r>
      <w:r w:rsidR="002622C0">
        <w:rPr>
          <w:rFonts w:ascii="Times New Roman" w:hAnsi="Times New Roman"/>
          <w:szCs w:val="22"/>
          <w:lang w:eastAsia="sk-SK"/>
        </w:rPr>
        <w:t xml:space="preserve"> v celkovej hodnote </w:t>
      </w:r>
      <w:r w:rsidR="000C189C">
        <w:rPr>
          <w:rFonts w:ascii="Times New Roman" w:hAnsi="Times New Roman"/>
          <w:szCs w:val="22"/>
          <w:lang w:eastAsia="sk-SK"/>
        </w:rPr>
        <w:t>-</w:t>
      </w:r>
      <w:r w:rsidR="002622C0">
        <w:rPr>
          <w:rFonts w:ascii="Times New Roman" w:hAnsi="Times New Roman"/>
          <w:szCs w:val="22"/>
          <w:lang w:eastAsia="sk-SK"/>
        </w:rPr>
        <w:t>6 186 tis. eur</w:t>
      </w:r>
      <w:r w:rsidRPr="00907622">
        <w:rPr>
          <w:rFonts w:ascii="Times New Roman" w:hAnsi="Times New Roman"/>
          <w:szCs w:val="22"/>
          <w:lang w:eastAsia="sk-SK"/>
        </w:rPr>
        <w:t xml:space="preserve"> sú tvorené rozdielmi z precenenia majetku a záväzkov v</w:t>
      </w:r>
      <w:r w:rsidR="000C189C">
        <w:rPr>
          <w:rFonts w:ascii="Times New Roman" w:hAnsi="Times New Roman"/>
          <w:szCs w:val="22"/>
          <w:lang w:eastAsia="sk-SK"/>
        </w:rPr>
        <w:t xml:space="preserve"> hodnote</w:t>
      </w:r>
      <w:r w:rsidRPr="00907622">
        <w:rPr>
          <w:rFonts w:ascii="Times New Roman" w:hAnsi="Times New Roman"/>
          <w:szCs w:val="22"/>
          <w:lang w:eastAsia="sk-SK"/>
        </w:rPr>
        <w:t xml:space="preserve"> -2 094 tis. eur a rozdielmi z precenenia kapitálových účastí v obchodných spoločnostiach, ktoré nie sú zaradené do súhrnného celku ako dcérske účtovné jednotky v</w:t>
      </w:r>
      <w:r w:rsidR="00676007">
        <w:rPr>
          <w:rFonts w:ascii="Times New Roman" w:hAnsi="Times New Roman"/>
          <w:szCs w:val="22"/>
          <w:lang w:eastAsia="sk-SK"/>
        </w:rPr>
        <w:t> </w:t>
      </w:r>
      <w:r w:rsidRPr="00907622">
        <w:rPr>
          <w:rFonts w:ascii="Times New Roman" w:hAnsi="Times New Roman"/>
          <w:szCs w:val="22"/>
          <w:lang w:eastAsia="sk-SK"/>
        </w:rPr>
        <w:t>hodnote</w:t>
      </w:r>
      <w:r w:rsidR="00676007">
        <w:rPr>
          <w:rFonts w:ascii="Times New Roman" w:hAnsi="Times New Roman"/>
          <w:szCs w:val="22"/>
          <w:lang w:eastAsia="sk-SK"/>
        </w:rPr>
        <w:br/>
      </w:r>
      <w:r w:rsidRPr="00907622">
        <w:rPr>
          <w:rFonts w:ascii="Times New Roman" w:hAnsi="Times New Roman"/>
          <w:szCs w:val="22"/>
          <w:lang w:eastAsia="sk-SK"/>
        </w:rPr>
        <w:t>-</w:t>
      </w:r>
      <w:r w:rsidR="00851EEA">
        <w:rPr>
          <w:rFonts w:ascii="Times New Roman" w:hAnsi="Times New Roman"/>
          <w:szCs w:val="22"/>
          <w:lang w:eastAsia="sk-SK"/>
        </w:rPr>
        <w:t>4</w:t>
      </w:r>
      <w:r w:rsidR="00262379">
        <w:rPr>
          <w:rFonts w:ascii="Times New Roman" w:hAnsi="Times New Roman"/>
          <w:szCs w:val="22"/>
          <w:lang w:eastAsia="sk-SK"/>
        </w:rPr>
        <w:t> </w:t>
      </w:r>
      <w:r w:rsidR="00851EEA">
        <w:rPr>
          <w:rFonts w:ascii="Times New Roman" w:hAnsi="Times New Roman"/>
          <w:szCs w:val="22"/>
          <w:lang w:eastAsia="sk-SK"/>
        </w:rPr>
        <w:t>093</w:t>
      </w:r>
      <w:r w:rsidRPr="00907622">
        <w:rPr>
          <w:rFonts w:ascii="Times New Roman" w:hAnsi="Times New Roman"/>
          <w:szCs w:val="22"/>
          <w:lang w:eastAsia="sk-SK"/>
        </w:rPr>
        <w:t xml:space="preserve"> tis. eur. </w:t>
      </w:r>
    </w:p>
    <w:p w14:paraId="1090EE03" w14:textId="77777777" w:rsidR="00647542" w:rsidRPr="00265F07" w:rsidRDefault="00647542" w:rsidP="0085799C">
      <w:pPr>
        <w:pStyle w:val="Nadpis3"/>
      </w:pPr>
      <w:r w:rsidRPr="00265F07">
        <w:t>A.II. Výsledok hospodárenia</w:t>
      </w:r>
    </w:p>
    <w:p w14:paraId="23079394" w14:textId="2FB1E778" w:rsidR="00647542" w:rsidRPr="00907622" w:rsidRDefault="00647542" w:rsidP="000C189C">
      <w:pPr>
        <w:spacing w:after="120" w:line="240" w:lineRule="auto"/>
        <w:jc w:val="both"/>
        <w:rPr>
          <w:rFonts w:ascii="Times New Roman" w:hAnsi="Times New Roman"/>
          <w:szCs w:val="22"/>
          <w:lang w:eastAsia="sk-SK"/>
        </w:rPr>
      </w:pPr>
      <w:bookmarkStart w:id="36" w:name="_Ref86092105"/>
      <w:r w:rsidRPr="00907622">
        <w:rPr>
          <w:rFonts w:ascii="Times New Roman" w:hAnsi="Times New Roman"/>
          <w:szCs w:val="22"/>
          <w:lang w:eastAsia="sk-SK"/>
        </w:rPr>
        <w:t>Výsledok hospodárenia v sume -</w:t>
      </w:r>
      <w:r w:rsidR="00E72C16">
        <w:rPr>
          <w:rFonts w:ascii="Times New Roman" w:hAnsi="Times New Roman"/>
          <w:szCs w:val="22"/>
          <w:lang w:eastAsia="sk-SK"/>
        </w:rPr>
        <w:t>36 191</w:t>
      </w:r>
      <w:r w:rsidR="001960A0">
        <w:rPr>
          <w:rFonts w:ascii="Times New Roman" w:hAnsi="Times New Roman"/>
          <w:szCs w:val="22"/>
          <w:lang w:eastAsia="sk-SK"/>
        </w:rPr>
        <w:t> </w:t>
      </w:r>
      <w:r w:rsidR="00E72C16">
        <w:rPr>
          <w:rFonts w:ascii="Times New Roman" w:hAnsi="Times New Roman"/>
          <w:szCs w:val="22"/>
          <w:lang w:eastAsia="sk-SK"/>
        </w:rPr>
        <w:t>434</w:t>
      </w:r>
      <w:r w:rsidRPr="00907622">
        <w:rPr>
          <w:rFonts w:ascii="Times New Roman" w:hAnsi="Times New Roman"/>
          <w:szCs w:val="22"/>
          <w:lang w:eastAsia="sk-SK"/>
        </w:rPr>
        <w:t> tis. eur je tvorený výsledkom hospodárenia za bežné účtovné obdobie vo výške -</w:t>
      </w:r>
      <w:r w:rsidR="00733D66">
        <w:rPr>
          <w:rFonts w:ascii="Times New Roman" w:hAnsi="Times New Roman"/>
          <w:szCs w:val="22"/>
          <w:lang w:eastAsia="sk-SK"/>
        </w:rPr>
        <w:t xml:space="preserve">5 402 </w:t>
      </w:r>
      <w:r w:rsidR="001960A0">
        <w:rPr>
          <w:rFonts w:ascii="Times New Roman" w:hAnsi="Times New Roman"/>
          <w:szCs w:val="22"/>
          <w:lang w:eastAsia="sk-SK"/>
        </w:rPr>
        <w:t> </w:t>
      </w:r>
      <w:r w:rsidR="00733D66" w:rsidRPr="00265F07">
        <w:rPr>
          <w:rFonts w:ascii="Times New Roman" w:hAnsi="Times New Roman"/>
          <w:szCs w:val="22"/>
          <w:lang w:eastAsia="sk-SK"/>
        </w:rPr>
        <w:t>18</w:t>
      </w:r>
      <w:r w:rsidRPr="00907622">
        <w:rPr>
          <w:rFonts w:ascii="Times New Roman" w:hAnsi="Times New Roman"/>
          <w:szCs w:val="22"/>
          <w:lang w:eastAsia="sk-SK"/>
        </w:rPr>
        <w:t xml:space="preserve"> tis. eur a výsledkom hospodárenia minulých období (vytvorených v minulých rokoch) v hodnote </w:t>
      </w:r>
      <w:r w:rsidR="009E25C8">
        <w:rPr>
          <w:rFonts w:ascii="Times New Roman" w:hAnsi="Times New Roman"/>
          <w:szCs w:val="22"/>
          <w:lang w:eastAsia="sk-SK"/>
        </w:rPr>
        <w:t>-30 788</w:t>
      </w:r>
      <w:r w:rsidR="001960A0">
        <w:rPr>
          <w:rFonts w:ascii="Times New Roman" w:hAnsi="Times New Roman"/>
          <w:szCs w:val="22"/>
          <w:lang w:eastAsia="sk-SK"/>
        </w:rPr>
        <w:t> </w:t>
      </w:r>
      <w:r w:rsidR="009E25C8">
        <w:rPr>
          <w:rFonts w:ascii="Times New Roman" w:hAnsi="Times New Roman"/>
          <w:szCs w:val="22"/>
          <w:lang w:eastAsia="sk-SK"/>
        </w:rPr>
        <w:t>916</w:t>
      </w:r>
      <w:r w:rsidRPr="00907622">
        <w:rPr>
          <w:rFonts w:ascii="Times New Roman" w:hAnsi="Times New Roman"/>
          <w:szCs w:val="22"/>
          <w:lang w:eastAsia="sk-SK"/>
        </w:rPr>
        <w:t> tis. eur.</w:t>
      </w:r>
    </w:p>
    <w:p w14:paraId="3B1885D5" w14:textId="77777777" w:rsidR="007C2AF3" w:rsidRDefault="007C2AF3" w:rsidP="000C189C">
      <w:pPr>
        <w:spacing w:after="120" w:line="240" w:lineRule="auto"/>
        <w:jc w:val="both"/>
        <w:rPr>
          <w:rFonts w:ascii="Times New Roman" w:hAnsi="Times New Roman"/>
          <w:szCs w:val="22"/>
          <w:lang w:eastAsia="sk-SK"/>
        </w:rPr>
      </w:pPr>
    </w:p>
    <w:p w14:paraId="3E3624EB" w14:textId="2A7AB26F" w:rsidR="007C2AF3" w:rsidRDefault="00BA3D72" w:rsidP="0085799C">
      <w:pPr>
        <w:pStyle w:val="Nadpis4"/>
        <w:numPr>
          <w:ilvl w:val="0"/>
          <w:numId w:val="54"/>
        </w:numPr>
        <w:ind w:left="426" w:hanging="426"/>
        <w:rPr>
          <w:lang w:eastAsia="sk-SK"/>
        </w:rPr>
      </w:pPr>
      <w:bookmarkStart w:id="37" w:name="_Nevysporiadaný_výsledok_hospodáreni"/>
      <w:bookmarkEnd w:id="37"/>
      <w:r>
        <w:rPr>
          <w:lang w:eastAsia="sk-SK"/>
        </w:rPr>
        <w:t>Nevysporiadaný výsledok hospodárenia minulých rokov</w:t>
      </w:r>
    </w:p>
    <w:p w14:paraId="6992E4D7" w14:textId="5B8AC1C9" w:rsidR="00647542" w:rsidRPr="000C189C" w:rsidRDefault="00647542" w:rsidP="000C189C">
      <w:pPr>
        <w:spacing w:after="120" w:line="240" w:lineRule="auto"/>
        <w:jc w:val="both"/>
        <w:rPr>
          <w:rFonts w:ascii="Times New Roman" w:hAnsi="Times New Roman"/>
          <w:szCs w:val="22"/>
          <w:lang w:eastAsia="sk-SK"/>
        </w:rPr>
      </w:pPr>
      <w:bookmarkStart w:id="38" w:name="_Ref86092114"/>
      <w:bookmarkEnd w:id="36"/>
      <w:r w:rsidRPr="000C189C">
        <w:rPr>
          <w:rFonts w:ascii="Times New Roman" w:hAnsi="Times New Roman"/>
          <w:szCs w:val="22"/>
          <w:lang w:eastAsia="sk-SK"/>
        </w:rPr>
        <w:t>Výsledok hospodárenia minulých rokov</w:t>
      </w:r>
      <w:r w:rsidR="00462405">
        <w:rPr>
          <w:rFonts w:ascii="Times New Roman" w:hAnsi="Times New Roman"/>
          <w:szCs w:val="22"/>
          <w:lang w:eastAsia="sk-SK"/>
        </w:rPr>
        <w:t xml:space="preserve"> (bez hodnôt za kapitálové a rezervné fondy tvorené v rámci vlastného imania)</w:t>
      </w:r>
      <w:r w:rsidRPr="000C189C">
        <w:rPr>
          <w:rFonts w:ascii="Times New Roman" w:hAnsi="Times New Roman"/>
          <w:szCs w:val="22"/>
          <w:lang w:eastAsia="sk-SK"/>
        </w:rPr>
        <w:t xml:space="preserve"> dosiahol hodnotu </w:t>
      </w:r>
      <w:r w:rsidR="009456E3" w:rsidRPr="000C189C">
        <w:rPr>
          <w:rFonts w:ascii="Times New Roman" w:hAnsi="Times New Roman"/>
          <w:szCs w:val="22"/>
          <w:lang w:eastAsia="sk-SK"/>
        </w:rPr>
        <w:t>-32 </w:t>
      </w:r>
      <w:r w:rsidR="00FE3537" w:rsidRPr="000C189C">
        <w:rPr>
          <w:rFonts w:ascii="Times New Roman" w:hAnsi="Times New Roman"/>
          <w:szCs w:val="22"/>
          <w:lang w:eastAsia="sk-SK"/>
        </w:rPr>
        <w:t>29</w:t>
      </w:r>
      <w:r w:rsidR="00902414" w:rsidRPr="000C189C">
        <w:rPr>
          <w:rFonts w:ascii="Times New Roman" w:hAnsi="Times New Roman"/>
          <w:szCs w:val="22"/>
          <w:lang w:eastAsia="sk-SK"/>
        </w:rPr>
        <w:t>6</w:t>
      </w:r>
      <w:r w:rsidR="000C189C">
        <w:rPr>
          <w:rFonts w:ascii="Times New Roman" w:hAnsi="Times New Roman"/>
          <w:szCs w:val="22"/>
          <w:lang w:eastAsia="sk-SK"/>
        </w:rPr>
        <w:t> </w:t>
      </w:r>
      <w:r w:rsidR="00902414" w:rsidRPr="000C189C">
        <w:rPr>
          <w:rFonts w:ascii="Times New Roman" w:hAnsi="Times New Roman"/>
          <w:szCs w:val="22"/>
          <w:lang w:eastAsia="sk-SK"/>
        </w:rPr>
        <w:t>146</w:t>
      </w:r>
      <w:r w:rsidRPr="000C189C">
        <w:rPr>
          <w:rFonts w:ascii="Times New Roman" w:hAnsi="Times New Roman"/>
          <w:szCs w:val="22"/>
          <w:lang w:eastAsia="sk-SK"/>
        </w:rPr>
        <w:t xml:space="preserve"> tis. eur a medziročne sa </w:t>
      </w:r>
      <w:r w:rsidR="00795EEF" w:rsidRPr="000C189C">
        <w:rPr>
          <w:rFonts w:ascii="Times New Roman" w:hAnsi="Times New Roman"/>
          <w:szCs w:val="22"/>
          <w:lang w:eastAsia="sk-SK"/>
        </w:rPr>
        <w:t xml:space="preserve">zhoršil </w:t>
      </w:r>
      <w:r w:rsidRPr="000C189C">
        <w:rPr>
          <w:rFonts w:ascii="Times New Roman" w:hAnsi="Times New Roman"/>
          <w:szCs w:val="22"/>
          <w:lang w:eastAsia="sk-SK"/>
        </w:rPr>
        <w:t>o</w:t>
      </w:r>
      <w:r w:rsidR="00816876" w:rsidRPr="000C189C">
        <w:rPr>
          <w:rFonts w:ascii="Times New Roman" w:hAnsi="Times New Roman"/>
          <w:szCs w:val="22"/>
          <w:lang w:eastAsia="sk-SK"/>
        </w:rPr>
        <w:t> 1</w:t>
      </w:r>
      <w:r w:rsidR="000C189C">
        <w:rPr>
          <w:rFonts w:ascii="Times New Roman" w:hAnsi="Times New Roman"/>
          <w:szCs w:val="22"/>
          <w:lang w:eastAsia="sk-SK"/>
        </w:rPr>
        <w:t> </w:t>
      </w:r>
      <w:r w:rsidR="00816876" w:rsidRPr="000C189C">
        <w:rPr>
          <w:rFonts w:ascii="Times New Roman" w:hAnsi="Times New Roman"/>
          <w:szCs w:val="22"/>
          <w:lang w:eastAsia="sk-SK"/>
        </w:rPr>
        <w:t>248</w:t>
      </w:r>
      <w:r w:rsidR="000C189C">
        <w:rPr>
          <w:rFonts w:ascii="Times New Roman" w:hAnsi="Times New Roman"/>
          <w:szCs w:val="22"/>
          <w:lang w:eastAsia="sk-SK"/>
        </w:rPr>
        <w:t> </w:t>
      </w:r>
      <w:r w:rsidR="00816876" w:rsidRPr="000C189C">
        <w:rPr>
          <w:rFonts w:ascii="Times New Roman" w:hAnsi="Times New Roman"/>
          <w:szCs w:val="22"/>
          <w:lang w:eastAsia="sk-SK"/>
        </w:rPr>
        <w:t>744</w:t>
      </w:r>
      <w:r w:rsidRPr="000C189C">
        <w:rPr>
          <w:rFonts w:ascii="Times New Roman" w:hAnsi="Times New Roman"/>
          <w:szCs w:val="22"/>
          <w:lang w:eastAsia="sk-SK"/>
        </w:rPr>
        <w:t> tis. eur. Na tejto položke sa za rok 202</w:t>
      </w:r>
      <w:r w:rsidR="00060F3F" w:rsidRPr="000C189C">
        <w:rPr>
          <w:rFonts w:ascii="Times New Roman" w:hAnsi="Times New Roman"/>
          <w:szCs w:val="22"/>
          <w:lang w:eastAsia="sk-SK"/>
        </w:rPr>
        <w:t>4</w:t>
      </w:r>
      <w:r w:rsidRPr="000C189C">
        <w:rPr>
          <w:rFonts w:ascii="Times New Roman" w:hAnsi="Times New Roman"/>
          <w:szCs w:val="22"/>
          <w:lang w:eastAsia="sk-SK"/>
        </w:rPr>
        <w:t xml:space="preserve"> vykazuje najmä prevod výsledku hospodárenia za predchádzajúce obdobie (za rok 202</w:t>
      </w:r>
      <w:r w:rsidR="00C33B85" w:rsidRPr="000C189C">
        <w:rPr>
          <w:rFonts w:ascii="Times New Roman" w:hAnsi="Times New Roman"/>
          <w:szCs w:val="22"/>
          <w:lang w:eastAsia="sk-SK"/>
        </w:rPr>
        <w:t>3</w:t>
      </w:r>
      <w:r w:rsidRPr="000C189C">
        <w:rPr>
          <w:rFonts w:ascii="Times New Roman" w:hAnsi="Times New Roman"/>
          <w:szCs w:val="22"/>
          <w:lang w:eastAsia="sk-SK"/>
        </w:rPr>
        <w:t xml:space="preserve"> to bolo </w:t>
      </w:r>
      <w:r w:rsidR="00FD35A0" w:rsidRPr="000C189C">
        <w:rPr>
          <w:rFonts w:ascii="Times New Roman" w:hAnsi="Times New Roman"/>
          <w:szCs w:val="22"/>
          <w:lang w:eastAsia="sk-SK"/>
        </w:rPr>
        <w:t>-2</w:t>
      </w:r>
      <w:r w:rsidR="000C189C">
        <w:rPr>
          <w:rFonts w:ascii="Times New Roman" w:hAnsi="Times New Roman"/>
          <w:szCs w:val="22"/>
          <w:lang w:eastAsia="sk-SK"/>
        </w:rPr>
        <w:t> </w:t>
      </w:r>
      <w:r w:rsidR="00FD35A0" w:rsidRPr="000C189C">
        <w:rPr>
          <w:rFonts w:ascii="Times New Roman" w:hAnsi="Times New Roman"/>
          <w:szCs w:val="22"/>
          <w:lang w:eastAsia="sk-SK"/>
        </w:rPr>
        <w:t>605</w:t>
      </w:r>
      <w:r w:rsidR="000C189C">
        <w:rPr>
          <w:rFonts w:ascii="Times New Roman" w:hAnsi="Times New Roman"/>
          <w:szCs w:val="22"/>
          <w:lang w:eastAsia="sk-SK"/>
        </w:rPr>
        <w:t> </w:t>
      </w:r>
      <w:r w:rsidR="00FD35A0" w:rsidRPr="000C189C">
        <w:rPr>
          <w:rFonts w:ascii="Times New Roman" w:hAnsi="Times New Roman"/>
          <w:szCs w:val="22"/>
          <w:lang w:eastAsia="sk-SK"/>
        </w:rPr>
        <w:t>213</w:t>
      </w:r>
      <w:r w:rsidRPr="000C189C">
        <w:rPr>
          <w:rFonts w:ascii="Times New Roman" w:hAnsi="Times New Roman"/>
          <w:szCs w:val="22"/>
          <w:lang w:eastAsia="sk-SK"/>
        </w:rPr>
        <w:t xml:space="preserve"> tis. eur, čo bol </w:t>
      </w:r>
      <w:r w:rsidR="0021229C" w:rsidRPr="0085799C">
        <w:rPr>
          <w:rFonts w:ascii="Times New Roman" w:hAnsi="Times New Roman"/>
          <w:szCs w:val="22"/>
          <w:lang w:eastAsia="sk-SK"/>
        </w:rPr>
        <w:t>horší</w:t>
      </w:r>
      <w:r w:rsidRPr="000C189C">
        <w:rPr>
          <w:rFonts w:ascii="Times New Roman" w:hAnsi="Times New Roman"/>
          <w:szCs w:val="22"/>
          <w:lang w:eastAsia="sk-SK"/>
        </w:rPr>
        <w:t xml:space="preserve"> výsledok ako v roku 202</w:t>
      </w:r>
      <w:r w:rsidR="0021229C" w:rsidRPr="0085799C">
        <w:rPr>
          <w:rFonts w:ascii="Times New Roman" w:hAnsi="Times New Roman"/>
          <w:szCs w:val="22"/>
          <w:lang w:eastAsia="sk-SK"/>
        </w:rPr>
        <w:t>2</w:t>
      </w:r>
      <w:r w:rsidRPr="000C189C">
        <w:rPr>
          <w:rFonts w:ascii="Times New Roman" w:hAnsi="Times New Roman"/>
          <w:szCs w:val="22"/>
          <w:lang w:eastAsia="sk-SK"/>
        </w:rPr>
        <w:t xml:space="preserve"> o</w:t>
      </w:r>
      <w:r w:rsidR="00AB530D" w:rsidRPr="0085799C">
        <w:rPr>
          <w:rFonts w:ascii="Times New Roman" w:hAnsi="Times New Roman"/>
          <w:szCs w:val="22"/>
          <w:lang w:eastAsia="sk-SK"/>
        </w:rPr>
        <w:t> </w:t>
      </w:r>
      <w:r w:rsidR="00AB530D" w:rsidRPr="000C189C">
        <w:rPr>
          <w:rFonts w:ascii="Times New Roman" w:hAnsi="Times New Roman"/>
          <w:szCs w:val="22"/>
          <w:lang w:eastAsia="sk-SK"/>
        </w:rPr>
        <w:t>15</w:t>
      </w:r>
      <w:r w:rsidR="000C189C">
        <w:rPr>
          <w:rFonts w:ascii="Times New Roman" w:hAnsi="Times New Roman"/>
          <w:szCs w:val="22"/>
          <w:lang w:eastAsia="sk-SK"/>
        </w:rPr>
        <w:t> </w:t>
      </w:r>
      <w:r w:rsidR="00AB530D" w:rsidRPr="000C189C">
        <w:rPr>
          <w:rFonts w:ascii="Times New Roman" w:hAnsi="Times New Roman"/>
          <w:szCs w:val="22"/>
          <w:lang w:eastAsia="sk-SK"/>
        </w:rPr>
        <w:t>579</w:t>
      </w:r>
      <w:r w:rsidR="000C189C">
        <w:rPr>
          <w:rFonts w:ascii="Times New Roman" w:hAnsi="Times New Roman"/>
          <w:szCs w:val="22"/>
          <w:lang w:eastAsia="sk-SK"/>
        </w:rPr>
        <w:t> </w:t>
      </w:r>
      <w:r w:rsidR="00AB530D" w:rsidRPr="000C189C">
        <w:rPr>
          <w:rFonts w:ascii="Times New Roman" w:hAnsi="Times New Roman"/>
          <w:szCs w:val="22"/>
          <w:lang w:eastAsia="sk-SK"/>
        </w:rPr>
        <w:t>933</w:t>
      </w:r>
      <w:r w:rsidRPr="000C189C">
        <w:rPr>
          <w:rFonts w:ascii="Times New Roman" w:hAnsi="Times New Roman"/>
          <w:szCs w:val="22"/>
          <w:lang w:eastAsia="sk-SK"/>
        </w:rPr>
        <w:t> tis. eur).</w:t>
      </w:r>
    </w:p>
    <w:p w14:paraId="4361FA2D" w14:textId="137DC72B" w:rsidR="00647542" w:rsidRPr="000C189C" w:rsidRDefault="00647542" w:rsidP="000C189C">
      <w:pPr>
        <w:spacing w:after="120" w:line="240" w:lineRule="auto"/>
        <w:jc w:val="both"/>
        <w:rPr>
          <w:rFonts w:ascii="Times New Roman" w:hAnsi="Times New Roman"/>
          <w:szCs w:val="22"/>
          <w:lang w:eastAsia="sk-SK"/>
        </w:rPr>
      </w:pPr>
      <w:r w:rsidRPr="000C189C">
        <w:rPr>
          <w:rFonts w:ascii="Times New Roman" w:hAnsi="Times New Roman"/>
          <w:szCs w:val="22"/>
          <w:lang w:eastAsia="sk-SK"/>
        </w:rPr>
        <w:t xml:space="preserve">Hodnota fondov (zákonný rezervný fond a ostatné fondy) subjektov mimo ústrednej správy dosiahla </w:t>
      </w:r>
      <w:r w:rsidR="001671D9" w:rsidRPr="000C189C">
        <w:rPr>
          <w:rFonts w:ascii="Times New Roman" w:hAnsi="Times New Roman"/>
          <w:szCs w:val="22"/>
          <w:lang w:eastAsia="sk-SK"/>
        </w:rPr>
        <w:br/>
        <w:t>1 507</w:t>
      </w:r>
      <w:r w:rsidR="000C189C">
        <w:rPr>
          <w:rFonts w:ascii="Times New Roman" w:hAnsi="Times New Roman"/>
          <w:szCs w:val="22"/>
          <w:lang w:eastAsia="sk-SK"/>
        </w:rPr>
        <w:t> </w:t>
      </w:r>
      <w:r w:rsidR="001671D9" w:rsidRPr="000C189C">
        <w:rPr>
          <w:rFonts w:ascii="Times New Roman" w:hAnsi="Times New Roman"/>
          <w:szCs w:val="22"/>
          <w:lang w:eastAsia="sk-SK"/>
        </w:rPr>
        <w:t>230</w:t>
      </w:r>
      <w:r w:rsidRPr="000C189C">
        <w:rPr>
          <w:rFonts w:ascii="Times New Roman" w:hAnsi="Times New Roman"/>
          <w:szCs w:val="22"/>
          <w:lang w:eastAsia="sk-SK"/>
        </w:rPr>
        <w:t xml:space="preserve"> tis. eur, pričom bola medziročne </w:t>
      </w:r>
      <w:r w:rsidR="00EE229A" w:rsidRPr="000C189C">
        <w:rPr>
          <w:rFonts w:ascii="Times New Roman" w:hAnsi="Times New Roman"/>
          <w:szCs w:val="22"/>
          <w:lang w:eastAsia="sk-SK"/>
        </w:rPr>
        <w:t xml:space="preserve">vyššia </w:t>
      </w:r>
      <w:r w:rsidRPr="000C189C">
        <w:rPr>
          <w:rFonts w:ascii="Times New Roman" w:hAnsi="Times New Roman"/>
          <w:szCs w:val="22"/>
          <w:lang w:eastAsia="sk-SK"/>
        </w:rPr>
        <w:t>o</w:t>
      </w:r>
      <w:r w:rsidR="000C189C">
        <w:rPr>
          <w:rFonts w:ascii="Times New Roman" w:hAnsi="Times New Roman"/>
          <w:szCs w:val="22"/>
          <w:lang w:eastAsia="sk-SK"/>
        </w:rPr>
        <w:t> </w:t>
      </w:r>
      <w:r w:rsidR="00C01A78" w:rsidRPr="000C189C">
        <w:rPr>
          <w:rFonts w:ascii="Times New Roman" w:hAnsi="Times New Roman"/>
          <w:szCs w:val="22"/>
          <w:lang w:eastAsia="sk-SK"/>
        </w:rPr>
        <w:t>51</w:t>
      </w:r>
      <w:r w:rsidR="000C189C">
        <w:rPr>
          <w:rFonts w:ascii="Times New Roman" w:hAnsi="Times New Roman"/>
          <w:szCs w:val="22"/>
          <w:lang w:eastAsia="sk-SK"/>
        </w:rPr>
        <w:t> </w:t>
      </w:r>
      <w:r w:rsidR="00C01A78" w:rsidRPr="000C189C">
        <w:rPr>
          <w:rFonts w:ascii="Times New Roman" w:hAnsi="Times New Roman"/>
          <w:szCs w:val="22"/>
          <w:lang w:eastAsia="sk-SK"/>
        </w:rPr>
        <w:t>724</w:t>
      </w:r>
      <w:r w:rsidRPr="000C189C">
        <w:rPr>
          <w:rFonts w:ascii="Times New Roman" w:hAnsi="Times New Roman"/>
          <w:szCs w:val="22"/>
          <w:lang w:eastAsia="sk-SK"/>
        </w:rPr>
        <w:t xml:space="preserve"> tis. eur. </w:t>
      </w:r>
    </w:p>
    <w:p w14:paraId="20C763AC" w14:textId="2B5EF0B3" w:rsidR="00647542" w:rsidRPr="000C189C" w:rsidRDefault="00647542" w:rsidP="000C189C">
      <w:pPr>
        <w:spacing w:after="120" w:line="240" w:lineRule="auto"/>
        <w:jc w:val="both"/>
        <w:rPr>
          <w:rFonts w:ascii="Times New Roman" w:hAnsi="Times New Roman"/>
          <w:lang w:eastAsia="sk-SK"/>
        </w:rPr>
      </w:pPr>
      <w:r w:rsidRPr="000C189C">
        <w:rPr>
          <w:rFonts w:ascii="Times New Roman" w:hAnsi="Times New Roman"/>
          <w:lang w:eastAsia="sk-SK"/>
        </w:rPr>
        <w:t xml:space="preserve">Záporný výsledok hospodárenia minulých rokov bol najvýznamnejší medzi subjektami ústrednej správy </w:t>
      </w:r>
      <w:r w:rsidR="00837511" w:rsidRPr="0085799C">
        <w:rPr>
          <w:rFonts w:ascii="Times New Roman" w:hAnsi="Times New Roman"/>
        </w:rPr>
        <w:br/>
      </w:r>
      <w:r w:rsidRPr="000C189C">
        <w:rPr>
          <w:rFonts w:ascii="Times New Roman" w:hAnsi="Times New Roman"/>
          <w:lang w:eastAsia="sk-SK"/>
        </w:rPr>
        <w:t>(-</w:t>
      </w:r>
      <w:r w:rsidR="00373984" w:rsidRPr="000C189C">
        <w:rPr>
          <w:rFonts w:ascii="Times New Roman" w:hAnsi="Times New Roman"/>
          <w:lang w:eastAsia="sk-SK"/>
        </w:rPr>
        <w:t>51</w:t>
      </w:r>
      <w:r w:rsidR="000C189C">
        <w:rPr>
          <w:rFonts w:ascii="Times New Roman" w:hAnsi="Times New Roman"/>
          <w:lang w:eastAsia="sk-SK"/>
        </w:rPr>
        <w:t> </w:t>
      </w:r>
      <w:r w:rsidR="00373984" w:rsidRPr="000C189C">
        <w:rPr>
          <w:rFonts w:ascii="Times New Roman" w:hAnsi="Times New Roman"/>
          <w:lang w:eastAsia="sk-SK"/>
        </w:rPr>
        <w:t>666</w:t>
      </w:r>
      <w:r w:rsidR="001960A0">
        <w:rPr>
          <w:rFonts w:ascii="Times New Roman" w:hAnsi="Times New Roman"/>
          <w:lang w:eastAsia="sk-SK"/>
        </w:rPr>
        <w:t> </w:t>
      </w:r>
      <w:r w:rsidR="00373984" w:rsidRPr="000C189C">
        <w:rPr>
          <w:rFonts w:ascii="Times New Roman" w:hAnsi="Times New Roman"/>
          <w:lang w:eastAsia="sk-SK"/>
        </w:rPr>
        <w:t>962</w:t>
      </w:r>
      <w:r w:rsidR="001960A0">
        <w:rPr>
          <w:rFonts w:ascii="Times New Roman" w:hAnsi="Times New Roman"/>
          <w:lang w:eastAsia="sk-SK"/>
        </w:rPr>
        <w:t> </w:t>
      </w:r>
      <w:r w:rsidRPr="000C189C">
        <w:rPr>
          <w:rFonts w:ascii="Times New Roman" w:hAnsi="Times New Roman"/>
          <w:lang w:eastAsia="sk-SK"/>
        </w:rPr>
        <w:t>tis.</w:t>
      </w:r>
      <w:r w:rsidR="001960A0">
        <w:rPr>
          <w:rFonts w:ascii="Times New Roman" w:hAnsi="Times New Roman"/>
          <w:lang w:eastAsia="sk-SK"/>
        </w:rPr>
        <w:t> </w:t>
      </w:r>
      <w:r w:rsidRPr="000C189C">
        <w:rPr>
          <w:rFonts w:ascii="Times New Roman" w:hAnsi="Times New Roman"/>
          <w:lang w:eastAsia="sk-SK"/>
        </w:rPr>
        <w:t xml:space="preserve">eur) a medziročne sa </w:t>
      </w:r>
      <w:r w:rsidR="00373984" w:rsidRPr="000C189C">
        <w:rPr>
          <w:rFonts w:ascii="Times New Roman" w:hAnsi="Times New Roman"/>
          <w:lang w:eastAsia="sk-SK"/>
        </w:rPr>
        <w:t xml:space="preserve">zvýšil </w:t>
      </w:r>
      <w:r w:rsidRPr="000C189C">
        <w:rPr>
          <w:rFonts w:ascii="Times New Roman" w:hAnsi="Times New Roman"/>
          <w:lang w:eastAsia="sk-SK"/>
        </w:rPr>
        <w:t>o</w:t>
      </w:r>
      <w:r w:rsidR="00373984" w:rsidRPr="000C189C">
        <w:rPr>
          <w:rFonts w:ascii="Times New Roman" w:hAnsi="Times New Roman"/>
          <w:lang w:eastAsia="sk-SK"/>
        </w:rPr>
        <w:t> 2</w:t>
      </w:r>
      <w:r w:rsidR="000C189C">
        <w:rPr>
          <w:rFonts w:ascii="Times New Roman" w:hAnsi="Times New Roman"/>
          <w:lang w:eastAsia="sk-SK"/>
        </w:rPr>
        <w:t> </w:t>
      </w:r>
      <w:r w:rsidR="00373984" w:rsidRPr="000C189C">
        <w:rPr>
          <w:rFonts w:ascii="Times New Roman" w:hAnsi="Times New Roman"/>
          <w:lang w:eastAsia="sk-SK"/>
        </w:rPr>
        <w:t>286</w:t>
      </w:r>
      <w:r w:rsidR="000C189C">
        <w:rPr>
          <w:rFonts w:ascii="Times New Roman" w:hAnsi="Times New Roman"/>
          <w:lang w:eastAsia="sk-SK"/>
        </w:rPr>
        <w:t> </w:t>
      </w:r>
      <w:r w:rsidR="00373984" w:rsidRPr="000C189C">
        <w:rPr>
          <w:rFonts w:ascii="Times New Roman" w:hAnsi="Times New Roman"/>
          <w:lang w:eastAsia="sk-SK"/>
        </w:rPr>
        <w:t>460</w:t>
      </w:r>
      <w:r w:rsidRPr="000C189C">
        <w:rPr>
          <w:rFonts w:ascii="Times New Roman" w:hAnsi="Times New Roman"/>
          <w:lang w:eastAsia="sk-SK"/>
        </w:rPr>
        <w:t xml:space="preserve"> tis. eur. </w:t>
      </w:r>
      <w:r w:rsidRPr="0085799C">
        <w:rPr>
          <w:rFonts w:ascii="Times New Roman" w:hAnsi="Times New Roman"/>
          <w:u w:val="single"/>
          <w:lang w:eastAsia="sk-SK"/>
        </w:rPr>
        <w:t>Ministerstvo financií</w:t>
      </w:r>
      <w:r w:rsidR="2B55F5E3" w:rsidRPr="0085799C">
        <w:rPr>
          <w:rFonts w:ascii="Times New Roman" w:hAnsi="Times New Roman"/>
          <w:u w:val="single"/>
          <w:lang w:eastAsia="sk-SK"/>
        </w:rPr>
        <w:t xml:space="preserve"> SR</w:t>
      </w:r>
      <w:r w:rsidRPr="000C189C">
        <w:rPr>
          <w:rFonts w:ascii="Times New Roman" w:hAnsi="Times New Roman"/>
          <w:lang w:eastAsia="sk-SK"/>
        </w:rPr>
        <w:t xml:space="preserve"> dosiahlo </w:t>
      </w:r>
      <w:r w:rsidRPr="000C189C">
        <w:rPr>
          <w:rFonts w:ascii="Times New Roman" w:hAnsi="Times New Roman"/>
          <w:lang w:eastAsia="sk-SK"/>
        </w:rPr>
        <w:lastRenderedPageBreak/>
        <w:t>negatívny výsledok hospodárenia predchádzajúcich účtovných období v objeme -</w:t>
      </w:r>
      <w:r w:rsidR="007F7E22" w:rsidRPr="000C189C">
        <w:rPr>
          <w:rFonts w:ascii="Times New Roman" w:hAnsi="Times New Roman"/>
          <w:lang w:eastAsia="sk-SK"/>
        </w:rPr>
        <w:t>86</w:t>
      </w:r>
      <w:r w:rsidR="000C189C">
        <w:rPr>
          <w:rFonts w:ascii="Times New Roman" w:hAnsi="Times New Roman"/>
          <w:lang w:eastAsia="sk-SK"/>
        </w:rPr>
        <w:t> </w:t>
      </w:r>
      <w:r w:rsidR="007F7E22" w:rsidRPr="000C189C">
        <w:rPr>
          <w:rFonts w:ascii="Times New Roman" w:hAnsi="Times New Roman"/>
          <w:lang w:eastAsia="sk-SK"/>
        </w:rPr>
        <w:t>039</w:t>
      </w:r>
      <w:r w:rsidR="000C189C">
        <w:rPr>
          <w:rFonts w:ascii="Times New Roman" w:hAnsi="Times New Roman"/>
          <w:lang w:eastAsia="sk-SK"/>
        </w:rPr>
        <w:t> </w:t>
      </w:r>
      <w:r w:rsidR="00FF377A" w:rsidRPr="000C189C">
        <w:rPr>
          <w:rFonts w:ascii="Times New Roman" w:hAnsi="Times New Roman"/>
          <w:lang w:eastAsia="sk-SK"/>
        </w:rPr>
        <w:t>322</w:t>
      </w:r>
      <w:r w:rsidRPr="000C189C">
        <w:rPr>
          <w:rFonts w:ascii="Times New Roman" w:hAnsi="Times New Roman"/>
          <w:lang w:eastAsia="sk-SK"/>
        </w:rPr>
        <w:t xml:space="preserve"> tis. eur </w:t>
      </w:r>
      <w:r w:rsidR="00651EBB" w:rsidRPr="000C189C">
        <w:rPr>
          <w:rFonts w:ascii="Times New Roman" w:hAnsi="Times New Roman"/>
          <w:lang w:eastAsia="sk-SK"/>
        </w:rPr>
        <w:t>a medziročnou zmenou</w:t>
      </w:r>
      <w:r w:rsidR="00802F1E" w:rsidRPr="000C189C">
        <w:rPr>
          <w:rFonts w:ascii="Times New Roman" w:hAnsi="Times New Roman"/>
          <w:lang w:eastAsia="sk-SK"/>
        </w:rPr>
        <w:t xml:space="preserve"> 4 213</w:t>
      </w:r>
      <w:r w:rsidR="001960A0">
        <w:rPr>
          <w:rFonts w:ascii="Times New Roman" w:hAnsi="Times New Roman"/>
          <w:lang w:eastAsia="sk-SK"/>
        </w:rPr>
        <w:t> </w:t>
      </w:r>
      <w:r w:rsidR="00802F1E" w:rsidRPr="000C189C">
        <w:rPr>
          <w:rFonts w:ascii="Times New Roman" w:hAnsi="Times New Roman"/>
          <w:lang w:eastAsia="sk-SK"/>
        </w:rPr>
        <w:t>999</w:t>
      </w:r>
      <w:r w:rsidRPr="000C189C">
        <w:rPr>
          <w:rFonts w:ascii="Times New Roman" w:hAnsi="Times New Roman"/>
          <w:lang w:eastAsia="sk-SK"/>
        </w:rPr>
        <w:t> tis. eur najmä z dôvodu prevodu výsledku hospodárenia za rok 202</w:t>
      </w:r>
      <w:r w:rsidR="00B92DD2" w:rsidRPr="000C189C">
        <w:rPr>
          <w:rFonts w:ascii="Times New Roman" w:hAnsi="Times New Roman"/>
          <w:lang w:eastAsia="sk-SK"/>
        </w:rPr>
        <w:t xml:space="preserve">3 </w:t>
      </w:r>
      <w:r w:rsidRPr="000C189C">
        <w:rPr>
          <w:rFonts w:ascii="Times New Roman" w:hAnsi="Times New Roman"/>
          <w:lang w:eastAsia="sk-SK"/>
        </w:rPr>
        <w:t xml:space="preserve">do výsledku hospodárenia minulých účtovných období v objeme </w:t>
      </w:r>
      <w:r w:rsidR="00872D1F" w:rsidRPr="000C189C">
        <w:rPr>
          <w:rFonts w:ascii="Times New Roman" w:hAnsi="Times New Roman"/>
          <w:lang w:eastAsia="sk-SK"/>
        </w:rPr>
        <w:t>-3</w:t>
      </w:r>
      <w:r w:rsidR="000C189C">
        <w:rPr>
          <w:rFonts w:ascii="Times New Roman" w:hAnsi="Times New Roman"/>
          <w:lang w:eastAsia="sk-SK"/>
        </w:rPr>
        <w:t> </w:t>
      </w:r>
      <w:r w:rsidR="00872D1F" w:rsidRPr="000C189C">
        <w:rPr>
          <w:rFonts w:ascii="Times New Roman" w:hAnsi="Times New Roman"/>
          <w:lang w:eastAsia="sk-SK"/>
        </w:rPr>
        <w:t>943</w:t>
      </w:r>
      <w:r w:rsidR="000C189C">
        <w:rPr>
          <w:rFonts w:ascii="Times New Roman" w:hAnsi="Times New Roman"/>
          <w:lang w:eastAsia="sk-SK"/>
        </w:rPr>
        <w:t> </w:t>
      </w:r>
      <w:r w:rsidR="0037544F" w:rsidRPr="000C189C">
        <w:rPr>
          <w:rFonts w:ascii="Times New Roman" w:hAnsi="Times New Roman"/>
          <w:lang w:eastAsia="sk-SK"/>
        </w:rPr>
        <w:t>440</w:t>
      </w:r>
      <w:r w:rsidRPr="000C189C">
        <w:rPr>
          <w:rFonts w:ascii="Times New Roman" w:hAnsi="Times New Roman"/>
          <w:lang w:eastAsia="sk-SK"/>
        </w:rPr>
        <w:t xml:space="preserve"> tis. eur. </w:t>
      </w:r>
      <w:r w:rsidR="00236091" w:rsidRPr="000C189C">
        <w:rPr>
          <w:rFonts w:ascii="Times New Roman" w:hAnsi="Times New Roman"/>
          <w:lang w:eastAsia="sk-SK"/>
        </w:rPr>
        <w:t>V rámci konsolidačných úprav bol</w:t>
      </w:r>
      <w:r w:rsidR="00BD5431" w:rsidRPr="000C189C">
        <w:rPr>
          <w:rFonts w:ascii="Times New Roman" w:hAnsi="Times New Roman"/>
          <w:lang w:eastAsia="sk-SK"/>
        </w:rPr>
        <w:t xml:space="preserve"> navýšený výsledok hospodárenia predchádzajúcich účtovných období </w:t>
      </w:r>
      <w:r w:rsidR="00A9397E" w:rsidRPr="000C189C">
        <w:rPr>
          <w:rFonts w:ascii="Times New Roman" w:hAnsi="Times New Roman"/>
          <w:lang w:eastAsia="sk-SK"/>
        </w:rPr>
        <w:t xml:space="preserve">Sociálnej poisťovne </w:t>
      </w:r>
      <w:r w:rsidR="00700ED6" w:rsidRPr="000C189C">
        <w:rPr>
          <w:rFonts w:ascii="Times New Roman" w:hAnsi="Times New Roman"/>
          <w:lang w:eastAsia="sk-SK"/>
        </w:rPr>
        <w:t xml:space="preserve">o 636 545 tis. eur v súvislosti s odúčtovaním </w:t>
      </w:r>
      <w:r w:rsidR="009900D0" w:rsidRPr="000C189C">
        <w:rPr>
          <w:rFonts w:ascii="Times New Roman" w:hAnsi="Times New Roman"/>
          <w:lang w:eastAsia="sk-SK"/>
        </w:rPr>
        <w:t xml:space="preserve">predpisu </w:t>
      </w:r>
      <w:r w:rsidR="00BA3A66">
        <w:rPr>
          <w:rFonts w:ascii="Times New Roman" w:hAnsi="Times New Roman"/>
          <w:lang w:eastAsia="sk-SK"/>
        </w:rPr>
        <w:t xml:space="preserve">výnosov z odvodov </w:t>
      </w:r>
      <w:r w:rsidR="009900D0" w:rsidRPr="000C189C">
        <w:rPr>
          <w:rFonts w:ascii="Times New Roman" w:hAnsi="Times New Roman"/>
          <w:lang w:eastAsia="sk-SK"/>
        </w:rPr>
        <w:t xml:space="preserve">sociálneho poistenia za </w:t>
      </w:r>
      <w:r w:rsidR="00BA3A66">
        <w:rPr>
          <w:rFonts w:ascii="Times New Roman" w:hAnsi="Times New Roman"/>
          <w:lang w:eastAsia="sk-SK"/>
        </w:rPr>
        <w:t xml:space="preserve">mesiac </w:t>
      </w:r>
      <w:r w:rsidR="009900D0" w:rsidRPr="000C189C">
        <w:rPr>
          <w:rFonts w:ascii="Times New Roman" w:hAnsi="Times New Roman"/>
          <w:lang w:eastAsia="sk-SK"/>
        </w:rPr>
        <w:t>decem</w:t>
      </w:r>
      <w:r w:rsidR="00A9397E" w:rsidRPr="000C189C">
        <w:rPr>
          <w:rFonts w:ascii="Times New Roman" w:hAnsi="Times New Roman"/>
          <w:lang w:eastAsia="sk-SK"/>
        </w:rPr>
        <w:t xml:space="preserve">ber 2023 z toho dôvodu, že poisťovňa </w:t>
      </w:r>
      <w:r w:rsidR="00BA3A66">
        <w:rPr>
          <w:rFonts w:ascii="Times New Roman" w:hAnsi="Times New Roman"/>
          <w:lang w:eastAsia="sk-SK"/>
        </w:rPr>
        <w:t xml:space="preserve">o ňom </w:t>
      </w:r>
      <w:r w:rsidR="00A9397E" w:rsidRPr="000C189C">
        <w:rPr>
          <w:rFonts w:ascii="Times New Roman" w:hAnsi="Times New Roman"/>
          <w:lang w:eastAsia="sk-SK"/>
        </w:rPr>
        <w:t xml:space="preserve">účtuje </w:t>
      </w:r>
      <w:r w:rsidR="00BA3A66">
        <w:rPr>
          <w:rFonts w:ascii="Times New Roman" w:hAnsi="Times New Roman"/>
          <w:lang w:eastAsia="sk-SK"/>
        </w:rPr>
        <w:t xml:space="preserve">až v nasledujúcom mesiaci bežného roka (v prípade účtovania príjmov zo odvodov uplatňuje poisťovňa </w:t>
      </w:r>
      <w:proofErr w:type="spellStart"/>
      <w:r w:rsidR="00BA3A66">
        <w:rPr>
          <w:rFonts w:ascii="Times New Roman" w:hAnsi="Times New Roman"/>
          <w:lang w:eastAsia="sk-SK"/>
        </w:rPr>
        <w:t>hotovostnný</w:t>
      </w:r>
      <w:proofErr w:type="spellEnd"/>
      <w:r w:rsidR="00BA3A66">
        <w:rPr>
          <w:rFonts w:ascii="Times New Roman" w:hAnsi="Times New Roman"/>
          <w:lang w:eastAsia="sk-SK"/>
        </w:rPr>
        <w:t xml:space="preserve"> princíp).</w:t>
      </w:r>
      <w:r w:rsidR="00A9397E" w:rsidRPr="000C189C">
        <w:rPr>
          <w:rFonts w:ascii="Times New Roman" w:hAnsi="Times New Roman"/>
          <w:lang w:eastAsia="sk-SK"/>
        </w:rPr>
        <w:t xml:space="preserve"> </w:t>
      </w:r>
    </w:p>
    <w:p w14:paraId="4718C25A" w14:textId="6F952331" w:rsidR="00BA3D72" w:rsidRPr="000C189C" w:rsidRDefault="00647542" w:rsidP="000C189C">
      <w:pPr>
        <w:spacing w:after="120" w:line="240" w:lineRule="auto"/>
        <w:jc w:val="both"/>
        <w:rPr>
          <w:rFonts w:ascii="Times New Roman" w:hAnsi="Times New Roman"/>
          <w:szCs w:val="22"/>
          <w:lang w:eastAsia="sk-SK"/>
        </w:rPr>
      </w:pPr>
      <w:r w:rsidRPr="000C189C">
        <w:rPr>
          <w:rFonts w:ascii="Times New Roman" w:hAnsi="Times New Roman"/>
          <w:szCs w:val="22"/>
          <w:lang w:eastAsia="sk-SK"/>
        </w:rPr>
        <w:t xml:space="preserve">Obchodné spoločnosti štátu vykazujú kladný výsledok hospodárenia minulých účtovných období celkom </w:t>
      </w:r>
      <w:r w:rsidR="001D110B" w:rsidRPr="000C189C">
        <w:rPr>
          <w:rFonts w:ascii="Times New Roman" w:hAnsi="Times New Roman"/>
          <w:szCs w:val="22"/>
          <w:lang w:eastAsia="sk-SK"/>
        </w:rPr>
        <w:t>11</w:t>
      </w:r>
      <w:r w:rsidR="000C189C">
        <w:rPr>
          <w:rFonts w:ascii="Times New Roman" w:hAnsi="Times New Roman"/>
          <w:szCs w:val="22"/>
          <w:lang w:eastAsia="sk-SK"/>
        </w:rPr>
        <w:t> </w:t>
      </w:r>
      <w:r w:rsidR="001D110B" w:rsidRPr="000C189C">
        <w:rPr>
          <w:rFonts w:ascii="Times New Roman" w:hAnsi="Times New Roman"/>
          <w:szCs w:val="22"/>
          <w:lang w:eastAsia="sk-SK"/>
        </w:rPr>
        <w:t>038</w:t>
      </w:r>
      <w:r w:rsidR="000C189C">
        <w:rPr>
          <w:rFonts w:ascii="Times New Roman" w:hAnsi="Times New Roman"/>
          <w:szCs w:val="22"/>
          <w:lang w:eastAsia="sk-SK"/>
        </w:rPr>
        <w:t> </w:t>
      </w:r>
      <w:r w:rsidR="001D110B" w:rsidRPr="000C189C">
        <w:rPr>
          <w:rFonts w:ascii="Times New Roman" w:hAnsi="Times New Roman"/>
          <w:szCs w:val="22"/>
          <w:lang w:eastAsia="sk-SK"/>
        </w:rPr>
        <w:t>898</w:t>
      </w:r>
      <w:r w:rsidRPr="000C189C">
        <w:rPr>
          <w:rFonts w:ascii="Times New Roman" w:hAnsi="Times New Roman"/>
          <w:szCs w:val="22"/>
          <w:lang w:eastAsia="sk-SK"/>
        </w:rPr>
        <w:t> tis. eur, ktorý bol v porovnaní s rokom 202</w:t>
      </w:r>
      <w:r w:rsidR="003745F3" w:rsidRPr="000C189C">
        <w:rPr>
          <w:rFonts w:ascii="Times New Roman" w:hAnsi="Times New Roman"/>
          <w:szCs w:val="22"/>
          <w:lang w:eastAsia="sk-SK"/>
        </w:rPr>
        <w:t>3</w:t>
      </w:r>
      <w:r w:rsidRPr="000C189C">
        <w:rPr>
          <w:rFonts w:ascii="Times New Roman" w:hAnsi="Times New Roman"/>
          <w:szCs w:val="22"/>
          <w:lang w:eastAsia="sk-SK"/>
        </w:rPr>
        <w:t xml:space="preserve"> </w:t>
      </w:r>
      <w:r w:rsidR="003745F3" w:rsidRPr="000C189C">
        <w:rPr>
          <w:rFonts w:ascii="Times New Roman" w:hAnsi="Times New Roman"/>
          <w:szCs w:val="22"/>
          <w:lang w:eastAsia="sk-SK"/>
        </w:rPr>
        <w:t>hor</w:t>
      </w:r>
      <w:r w:rsidRPr="000C189C">
        <w:rPr>
          <w:rFonts w:ascii="Times New Roman" w:hAnsi="Times New Roman"/>
          <w:szCs w:val="22"/>
          <w:lang w:eastAsia="sk-SK"/>
        </w:rPr>
        <w:t>ší o</w:t>
      </w:r>
      <w:r w:rsidR="003745F3" w:rsidRPr="000C189C">
        <w:rPr>
          <w:rFonts w:ascii="Times New Roman" w:hAnsi="Times New Roman"/>
          <w:szCs w:val="22"/>
          <w:lang w:eastAsia="sk-SK"/>
        </w:rPr>
        <w:t> 1</w:t>
      </w:r>
      <w:r w:rsidR="000C189C">
        <w:rPr>
          <w:rFonts w:ascii="Times New Roman" w:hAnsi="Times New Roman"/>
          <w:szCs w:val="22"/>
          <w:lang w:eastAsia="sk-SK"/>
        </w:rPr>
        <w:t> </w:t>
      </w:r>
      <w:r w:rsidR="003745F3" w:rsidRPr="000C189C">
        <w:rPr>
          <w:rFonts w:ascii="Times New Roman" w:hAnsi="Times New Roman"/>
          <w:szCs w:val="22"/>
          <w:lang w:eastAsia="sk-SK"/>
        </w:rPr>
        <w:t>100</w:t>
      </w:r>
      <w:r w:rsidR="000C189C">
        <w:rPr>
          <w:rFonts w:ascii="Times New Roman" w:hAnsi="Times New Roman"/>
          <w:szCs w:val="22"/>
          <w:lang w:eastAsia="sk-SK"/>
        </w:rPr>
        <w:t> </w:t>
      </w:r>
      <w:r w:rsidR="003745F3" w:rsidRPr="000C189C">
        <w:rPr>
          <w:rFonts w:ascii="Times New Roman" w:hAnsi="Times New Roman"/>
          <w:szCs w:val="22"/>
          <w:lang w:eastAsia="sk-SK"/>
        </w:rPr>
        <w:t>032</w:t>
      </w:r>
      <w:r w:rsidRPr="000C189C">
        <w:rPr>
          <w:rFonts w:ascii="Times New Roman" w:hAnsi="Times New Roman"/>
          <w:szCs w:val="22"/>
          <w:lang w:eastAsia="sk-SK"/>
        </w:rPr>
        <w:t xml:space="preserve"> tis. eur najmä v dôsledku </w:t>
      </w:r>
      <w:r w:rsidR="00A66802" w:rsidRPr="000C189C">
        <w:rPr>
          <w:rFonts w:ascii="Times New Roman" w:hAnsi="Times New Roman"/>
          <w:szCs w:val="22"/>
          <w:lang w:eastAsia="sk-SK"/>
        </w:rPr>
        <w:t xml:space="preserve">zaúčtovania </w:t>
      </w:r>
      <w:r w:rsidR="003C37E6" w:rsidRPr="000C189C">
        <w:rPr>
          <w:rFonts w:ascii="Times New Roman" w:hAnsi="Times New Roman"/>
          <w:szCs w:val="22"/>
          <w:lang w:eastAsia="sk-SK"/>
        </w:rPr>
        <w:t>tvorby</w:t>
      </w:r>
      <w:r w:rsidR="00A66802" w:rsidRPr="000C189C">
        <w:rPr>
          <w:rFonts w:ascii="Times New Roman" w:hAnsi="Times New Roman"/>
          <w:szCs w:val="22"/>
          <w:lang w:eastAsia="sk-SK"/>
        </w:rPr>
        <w:t xml:space="preserve"> rezervy u</w:t>
      </w:r>
      <w:r w:rsidR="003C37E6" w:rsidRPr="000C189C">
        <w:rPr>
          <w:rFonts w:ascii="Times New Roman" w:hAnsi="Times New Roman"/>
          <w:szCs w:val="22"/>
          <w:lang w:eastAsia="sk-SK"/>
        </w:rPr>
        <w:t xml:space="preserve"> Jadrovej a vyraďovacej spoločnos</w:t>
      </w:r>
      <w:r w:rsidR="00106DA0" w:rsidRPr="0085799C">
        <w:rPr>
          <w:rFonts w:ascii="Times New Roman" w:hAnsi="Times New Roman"/>
          <w:szCs w:val="22"/>
          <w:lang w:eastAsia="sk-SK"/>
        </w:rPr>
        <w:t>ti</w:t>
      </w:r>
      <w:r w:rsidR="003C37E6" w:rsidRPr="000C189C">
        <w:rPr>
          <w:rFonts w:ascii="Times New Roman" w:hAnsi="Times New Roman"/>
          <w:szCs w:val="22"/>
          <w:lang w:eastAsia="sk-SK"/>
        </w:rPr>
        <w:t>, a. s.</w:t>
      </w:r>
      <w:r w:rsidR="00A66802" w:rsidRPr="000C189C">
        <w:rPr>
          <w:rFonts w:ascii="Times New Roman" w:hAnsi="Times New Roman"/>
          <w:szCs w:val="22"/>
          <w:lang w:eastAsia="sk-SK"/>
        </w:rPr>
        <w:t xml:space="preserve"> </w:t>
      </w:r>
      <w:r w:rsidRPr="000C189C">
        <w:rPr>
          <w:rFonts w:ascii="Times New Roman" w:hAnsi="Times New Roman"/>
          <w:szCs w:val="22"/>
          <w:lang w:eastAsia="sk-SK"/>
        </w:rPr>
        <w:t xml:space="preserve"> </w:t>
      </w:r>
      <w:r w:rsidR="000F5AD2" w:rsidRPr="000C189C">
        <w:rPr>
          <w:rFonts w:ascii="Times New Roman" w:hAnsi="Times New Roman"/>
          <w:szCs w:val="22"/>
          <w:lang w:eastAsia="sk-SK"/>
        </w:rPr>
        <w:t>v </w:t>
      </w:r>
      <w:r w:rsidR="00106DA0" w:rsidRPr="000C189C">
        <w:rPr>
          <w:rFonts w:ascii="Times New Roman" w:hAnsi="Times New Roman"/>
          <w:szCs w:val="22"/>
          <w:lang w:eastAsia="sk-SK"/>
        </w:rPr>
        <w:t xml:space="preserve">súvislosti s opravou </w:t>
      </w:r>
      <w:r w:rsidR="00C23084" w:rsidRPr="000C189C">
        <w:rPr>
          <w:rFonts w:ascii="Times New Roman" w:hAnsi="Times New Roman"/>
          <w:szCs w:val="22"/>
          <w:lang w:eastAsia="sk-SK"/>
        </w:rPr>
        <w:t xml:space="preserve">vykazovania dlhodobej rezervy vytváranej </w:t>
      </w:r>
      <w:r w:rsidR="007B74FC" w:rsidRPr="000C189C">
        <w:rPr>
          <w:rFonts w:ascii="Times New Roman" w:hAnsi="Times New Roman"/>
          <w:szCs w:val="22"/>
          <w:lang w:eastAsia="sk-SK"/>
        </w:rPr>
        <w:t xml:space="preserve">za účelom </w:t>
      </w:r>
      <w:r w:rsidR="00F96901" w:rsidRPr="000C189C">
        <w:rPr>
          <w:rFonts w:ascii="Times New Roman" w:hAnsi="Times New Roman"/>
          <w:szCs w:val="22"/>
          <w:lang w:eastAsia="sk-SK"/>
        </w:rPr>
        <w:t xml:space="preserve">úhrady nákladov spojených s vyraďovaním jadrových zariadení z prostriedkov akumulovaných v Národnom jadrovom fonde. Predmetná oprava bola vykonaná v nadväznosti </w:t>
      </w:r>
      <w:r w:rsidR="00BA3A66">
        <w:rPr>
          <w:rFonts w:ascii="Times New Roman" w:hAnsi="Times New Roman"/>
          <w:szCs w:val="22"/>
          <w:lang w:eastAsia="sk-SK"/>
        </w:rPr>
        <w:t>na audítorské zistenia týkajúce sa konsolidácie na prvej úrovni kapitoly Ministerstva hospodárstva SR.</w:t>
      </w:r>
    </w:p>
    <w:p w14:paraId="338B702B" w14:textId="77777777" w:rsidR="00BA3D72" w:rsidRPr="000C189C" w:rsidRDefault="00BA3D72" w:rsidP="000C189C">
      <w:pPr>
        <w:spacing w:after="120" w:line="240" w:lineRule="auto"/>
        <w:jc w:val="both"/>
        <w:rPr>
          <w:rFonts w:ascii="Times New Roman" w:hAnsi="Times New Roman"/>
          <w:szCs w:val="22"/>
          <w:lang w:eastAsia="sk-SK"/>
        </w:rPr>
      </w:pPr>
    </w:p>
    <w:p w14:paraId="31A4F779" w14:textId="017773ED" w:rsidR="00C52369" w:rsidRDefault="008F6A72" w:rsidP="009F2AF6">
      <w:pPr>
        <w:pStyle w:val="Nadpis4"/>
        <w:numPr>
          <w:ilvl w:val="0"/>
          <w:numId w:val="54"/>
        </w:numPr>
        <w:ind w:left="426" w:hanging="426"/>
        <w:rPr>
          <w:lang w:eastAsia="sk-SK"/>
        </w:rPr>
      </w:pPr>
      <w:bookmarkStart w:id="39" w:name="_Výsledok_hospodárenia_za"/>
      <w:bookmarkEnd w:id="39"/>
      <w:r>
        <w:rPr>
          <w:lang w:eastAsia="sk-SK"/>
        </w:rPr>
        <w:t>Výsledok hospodárenia za účtovné obdobie</w:t>
      </w:r>
    </w:p>
    <w:bookmarkEnd w:id="38"/>
    <w:p w14:paraId="6BA88CE5" w14:textId="097D4456" w:rsidR="00647542" w:rsidRPr="000C189C" w:rsidRDefault="00647542" w:rsidP="000C189C">
      <w:pPr>
        <w:spacing w:after="120" w:line="240" w:lineRule="auto"/>
        <w:jc w:val="both"/>
        <w:rPr>
          <w:rFonts w:ascii="Times New Roman" w:hAnsi="Times New Roman"/>
          <w:lang w:eastAsia="sk-SK"/>
        </w:rPr>
      </w:pPr>
      <w:r w:rsidRPr="000C189C">
        <w:rPr>
          <w:rFonts w:ascii="Times New Roman" w:hAnsi="Times New Roman"/>
          <w:lang w:eastAsia="sk-SK"/>
        </w:rPr>
        <w:t xml:space="preserve">Výsledok hospodárenia </w:t>
      </w:r>
      <w:r w:rsidR="00C53718">
        <w:rPr>
          <w:rFonts w:ascii="Times New Roman" w:hAnsi="Times New Roman"/>
          <w:lang w:eastAsia="sk-SK"/>
        </w:rPr>
        <w:t xml:space="preserve">súhrnného celku </w:t>
      </w:r>
      <w:r w:rsidRPr="000C189C">
        <w:rPr>
          <w:rFonts w:ascii="Times New Roman" w:hAnsi="Times New Roman"/>
          <w:lang w:eastAsia="sk-SK"/>
        </w:rPr>
        <w:t>za rok 202</w:t>
      </w:r>
      <w:r w:rsidR="00A20AD6" w:rsidRPr="000C189C">
        <w:rPr>
          <w:rFonts w:ascii="Times New Roman" w:hAnsi="Times New Roman"/>
          <w:lang w:eastAsia="sk-SK"/>
        </w:rPr>
        <w:t>4</w:t>
      </w:r>
      <w:r w:rsidRPr="000C189C">
        <w:rPr>
          <w:rFonts w:ascii="Times New Roman" w:hAnsi="Times New Roman"/>
          <w:lang w:eastAsia="sk-SK"/>
        </w:rPr>
        <w:t xml:space="preserve"> dosiahol zápornú hodnotu </w:t>
      </w:r>
      <w:r w:rsidR="00A20AD6" w:rsidRPr="000C189C">
        <w:rPr>
          <w:rFonts w:ascii="Times New Roman" w:hAnsi="Times New Roman"/>
          <w:lang w:eastAsia="sk-SK"/>
        </w:rPr>
        <w:t>-5</w:t>
      </w:r>
      <w:r w:rsidR="000C189C">
        <w:rPr>
          <w:rFonts w:ascii="Times New Roman" w:hAnsi="Times New Roman"/>
          <w:lang w:eastAsia="sk-SK"/>
        </w:rPr>
        <w:t> </w:t>
      </w:r>
      <w:r w:rsidR="00A20AD6" w:rsidRPr="000C189C">
        <w:rPr>
          <w:rFonts w:ascii="Times New Roman" w:hAnsi="Times New Roman"/>
          <w:lang w:eastAsia="sk-SK"/>
        </w:rPr>
        <w:t>402</w:t>
      </w:r>
      <w:r w:rsidR="000C189C">
        <w:rPr>
          <w:rFonts w:ascii="Times New Roman" w:hAnsi="Times New Roman"/>
          <w:lang w:eastAsia="sk-SK"/>
        </w:rPr>
        <w:t> </w:t>
      </w:r>
      <w:r w:rsidR="00A20AD6" w:rsidRPr="000C189C">
        <w:rPr>
          <w:rFonts w:ascii="Times New Roman" w:hAnsi="Times New Roman"/>
          <w:lang w:eastAsia="sk-SK"/>
        </w:rPr>
        <w:t>518</w:t>
      </w:r>
      <w:r w:rsidRPr="000C189C">
        <w:rPr>
          <w:rFonts w:ascii="Times New Roman" w:hAnsi="Times New Roman"/>
          <w:lang w:eastAsia="sk-SK"/>
        </w:rPr>
        <w:t> tis. eur a tým sa medziročne zhoršil záporný výsledok hospodárenia o</w:t>
      </w:r>
      <w:r w:rsidR="00711DEA" w:rsidRPr="000C189C">
        <w:rPr>
          <w:rFonts w:ascii="Times New Roman" w:hAnsi="Times New Roman"/>
          <w:lang w:eastAsia="sk-SK"/>
        </w:rPr>
        <w:t> 2</w:t>
      </w:r>
      <w:r w:rsidR="000C189C">
        <w:rPr>
          <w:rFonts w:ascii="Times New Roman" w:hAnsi="Times New Roman"/>
          <w:lang w:eastAsia="sk-SK"/>
        </w:rPr>
        <w:t> </w:t>
      </w:r>
      <w:r w:rsidR="00711DEA" w:rsidRPr="000C189C">
        <w:rPr>
          <w:rFonts w:ascii="Times New Roman" w:hAnsi="Times New Roman"/>
          <w:lang w:eastAsia="sk-SK"/>
        </w:rPr>
        <w:t>797</w:t>
      </w:r>
      <w:r w:rsidR="000C189C">
        <w:rPr>
          <w:rFonts w:ascii="Times New Roman" w:hAnsi="Times New Roman"/>
          <w:lang w:eastAsia="sk-SK"/>
        </w:rPr>
        <w:t> </w:t>
      </w:r>
      <w:r w:rsidR="00711DEA" w:rsidRPr="000C189C">
        <w:rPr>
          <w:rFonts w:ascii="Times New Roman" w:hAnsi="Times New Roman"/>
          <w:lang w:eastAsia="sk-SK"/>
        </w:rPr>
        <w:t>305</w:t>
      </w:r>
      <w:r w:rsidRPr="000C189C">
        <w:rPr>
          <w:rFonts w:ascii="Times New Roman" w:hAnsi="Times New Roman"/>
          <w:lang w:eastAsia="sk-SK"/>
        </w:rPr>
        <w:t xml:space="preserve"> tis. eur. Na negatívnom výsledku hospodárenia sa podieľali subjekty ústrednej správy hodnotou </w:t>
      </w:r>
      <w:r w:rsidR="00F300A2" w:rsidRPr="000C189C">
        <w:rPr>
          <w:rFonts w:ascii="Times New Roman" w:hAnsi="Times New Roman"/>
          <w:lang w:eastAsia="sk-SK"/>
        </w:rPr>
        <w:t>-3 321</w:t>
      </w:r>
      <w:r w:rsidR="000C189C">
        <w:rPr>
          <w:rFonts w:ascii="Times New Roman" w:hAnsi="Times New Roman"/>
          <w:lang w:eastAsia="sk-SK"/>
        </w:rPr>
        <w:t> </w:t>
      </w:r>
      <w:r w:rsidR="00F300A2" w:rsidRPr="000C189C">
        <w:rPr>
          <w:rFonts w:ascii="Times New Roman" w:hAnsi="Times New Roman"/>
          <w:lang w:eastAsia="sk-SK"/>
        </w:rPr>
        <w:t>940</w:t>
      </w:r>
      <w:r w:rsidRPr="000C189C">
        <w:rPr>
          <w:rFonts w:ascii="Times New Roman" w:hAnsi="Times New Roman"/>
          <w:lang w:eastAsia="sk-SK"/>
        </w:rPr>
        <w:t> tis. eur</w:t>
      </w:r>
      <w:r w:rsidR="00C53718">
        <w:rPr>
          <w:rFonts w:ascii="Times New Roman" w:hAnsi="Times New Roman"/>
          <w:lang w:eastAsia="sk-SK"/>
        </w:rPr>
        <w:t xml:space="preserve"> s medziročným zhoršením o 2 158 165 tis. eur. </w:t>
      </w:r>
      <w:r w:rsidRPr="000C189C">
        <w:rPr>
          <w:rFonts w:ascii="Times New Roman" w:hAnsi="Times New Roman"/>
          <w:lang w:eastAsia="sk-SK"/>
        </w:rPr>
        <w:t>Ostatné subjekty verejnej správy v porovnaní s rokom 202</w:t>
      </w:r>
      <w:r w:rsidR="00865BFD" w:rsidRPr="000C189C">
        <w:rPr>
          <w:rFonts w:ascii="Times New Roman" w:hAnsi="Times New Roman"/>
          <w:lang w:eastAsia="sk-SK"/>
        </w:rPr>
        <w:t>3</w:t>
      </w:r>
      <w:r w:rsidRPr="000C189C">
        <w:rPr>
          <w:rFonts w:ascii="Times New Roman" w:hAnsi="Times New Roman"/>
          <w:lang w:eastAsia="sk-SK"/>
        </w:rPr>
        <w:t xml:space="preserve"> </w:t>
      </w:r>
      <w:r w:rsidR="00865BFD" w:rsidRPr="000C189C">
        <w:rPr>
          <w:rFonts w:ascii="Times New Roman" w:hAnsi="Times New Roman"/>
          <w:lang w:eastAsia="sk-SK"/>
        </w:rPr>
        <w:t xml:space="preserve">zlepšili </w:t>
      </w:r>
      <w:r w:rsidRPr="000C189C">
        <w:rPr>
          <w:rFonts w:ascii="Times New Roman" w:hAnsi="Times New Roman"/>
          <w:lang w:eastAsia="sk-SK"/>
        </w:rPr>
        <w:t>výsledok hospodárenia o</w:t>
      </w:r>
      <w:r w:rsidR="00865BFD" w:rsidRPr="000C189C">
        <w:rPr>
          <w:rFonts w:ascii="Times New Roman" w:hAnsi="Times New Roman"/>
          <w:lang w:eastAsia="sk-SK"/>
        </w:rPr>
        <w:t> 205</w:t>
      </w:r>
      <w:r w:rsidR="001960A0">
        <w:rPr>
          <w:rFonts w:ascii="Times New Roman" w:hAnsi="Times New Roman"/>
          <w:lang w:eastAsia="sk-SK"/>
        </w:rPr>
        <w:t> </w:t>
      </w:r>
      <w:r w:rsidR="00865BFD" w:rsidRPr="000C189C">
        <w:rPr>
          <w:rFonts w:ascii="Times New Roman" w:hAnsi="Times New Roman"/>
          <w:lang w:eastAsia="sk-SK"/>
        </w:rPr>
        <w:t>987</w:t>
      </w:r>
      <w:r w:rsidRPr="000C189C">
        <w:rPr>
          <w:rFonts w:ascii="Times New Roman" w:hAnsi="Times New Roman"/>
          <w:lang w:eastAsia="sk-SK"/>
        </w:rPr>
        <w:t xml:space="preserve"> tis. eur a subjekty územnej samosprávy naopak </w:t>
      </w:r>
      <w:r w:rsidR="00BE16BB" w:rsidRPr="000C189C">
        <w:rPr>
          <w:rFonts w:ascii="Times New Roman" w:hAnsi="Times New Roman"/>
          <w:lang w:eastAsia="sk-SK"/>
        </w:rPr>
        <w:t xml:space="preserve">zhoršili </w:t>
      </w:r>
      <w:r w:rsidRPr="000C189C">
        <w:rPr>
          <w:rFonts w:ascii="Times New Roman" w:hAnsi="Times New Roman"/>
          <w:lang w:eastAsia="sk-SK"/>
        </w:rPr>
        <w:t>o</w:t>
      </w:r>
      <w:r w:rsidR="000C189C">
        <w:rPr>
          <w:rFonts w:ascii="Times New Roman" w:hAnsi="Times New Roman"/>
          <w:lang w:eastAsia="sk-SK"/>
        </w:rPr>
        <w:t> </w:t>
      </w:r>
      <w:r w:rsidR="00BE16BB" w:rsidRPr="000C189C">
        <w:rPr>
          <w:rFonts w:ascii="Times New Roman" w:hAnsi="Times New Roman"/>
          <w:lang w:eastAsia="sk-SK"/>
        </w:rPr>
        <w:t>354</w:t>
      </w:r>
      <w:r w:rsidR="000C189C">
        <w:rPr>
          <w:rFonts w:ascii="Times New Roman" w:hAnsi="Times New Roman"/>
          <w:lang w:eastAsia="sk-SK"/>
        </w:rPr>
        <w:t> </w:t>
      </w:r>
      <w:r w:rsidR="00BE16BB" w:rsidRPr="000C189C">
        <w:rPr>
          <w:rFonts w:ascii="Times New Roman" w:hAnsi="Times New Roman"/>
          <w:lang w:eastAsia="sk-SK"/>
        </w:rPr>
        <w:t>781</w:t>
      </w:r>
      <w:r w:rsidRPr="000C189C">
        <w:rPr>
          <w:rFonts w:ascii="Times New Roman" w:hAnsi="Times New Roman"/>
          <w:lang w:eastAsia="sk-SK"/>
        </w:rPr>
        <w:t> tis. eur.</w:t>
      </w:r>
    </w:p>
    <w:p w14:paraId="3C321EDC" w14:textId="6129D092" w:rsidR="00647542" w:rsidRPr="000C189C" w:rsidRDefault="00462405" w:rsidP="000C189C">
      <w:pPr>
        <w:spacing w:after="120" w:line="240" w:lineRule="auto"/>
        <w:jc w:val="both"/>
        <w:rPr>
          <w:rFonts w:ascii="Times New Roman" w:hAnsi="Times New Roman"/>
          <w:szCs w:val="22"/>
          <w:lang w:eastAsia="sk-SK"/>
        </w:rPr>
      </w:pPr>
      <w:r>
        <w:rPr>
          <w:rFonts w:ascii="Times New Roman" w:hAnsi="Times New Roman"/>
          <w:szCs w:val="22"/>
          <w:lang w:eastAsia="sk-SK"/>
        </w:rPr>
        <w:t>Celkový</w:t>
      </w:r>
      <w:r w:rsidRPr="000C189C">
        <w:rPr>
          <w:rFonts w:ascii="Times New Roman" w:hAnsi="Times New Roman"/>
          <w:szCs w:val="22"/>
          <w:lang w:eastAsia="sk-SK"/>
        </w:rPr>
        <w:t xml:space="preserve"> </w:t>
      </w:r>
      <w:r w:rsidR="00647542" w:rsidRPr="000C189C">
        <w:rPr>
          <w:rFonts w:ascii="Times New Roman" w:hAnsi="Times New Roman"/>
          <w:szCs w:val="22"/>
          <w:lang w:eastAsia="sk-SK"/>
        </w:rPr>
        <w:t xml:space="preserve">negatívny výsledok bol dosiahnutý vyššími </w:t>
      </w:r>
      <w:r w:rsidR="00D32959" w:rsidRPr="000C189C">
        <w:rPr>
          <w:rFonts w:ascii="Times New Roman" w:hAnsi="Times New Roman"/>
          <w:szCs w:val="22"/>
          <w:lang w:eastAsia="sk-SK"/>
        </w:rPr>
        <w:t xml:space="preserve">osobnými </w:t>
      </w:r>
      <w:r w:rsidR="00647542" w:rsidRPr="000C189C">
        <w:rPr>
          <w:rFonts w:ascii="Times New Roman" w:hAnsi="Times New Roman"/>
          <w:szCs w:val="22"/>
          <w:lang w:eastAsia="sk-SK"/>
        </w:rPr>
        <w:t>nákladmi o</w:t>
      </w:r>
      <w:r w:rsidR="00D32959" w:rsidRPr="000C189C">
        <w:rPr>
          <w:rFonts w:ascii="Times New Roman" w:hAnsi="Times New Roman"/>
          <w:szCs w:val="22"/>
          <w:lang w:eastAsia="sk-SK"/>
        </w:rPr>
        <w:t> 1 169</w:t>
      </w:r>
      <w:r w:rsidR="001960A0">
        <w:rPr>
          <w:rFonts w:ascii="Times New Roman" w:hAnsi="Times New Roman"/>
          <w:szCs w:val="22"/>
          <w:lang w:eastAsia="sk-SK"/>
        </w:rPr>
        <w:t> </w:t>
      </w:r>
      <w:r w:rsidR="00D32959" w:rsidRPr="000C189C">
        <w:rPr>
          <w:rFonts w:ascii="Times New Roman" w:hAnsi="Times New Roman"/>
          <w:szCs w:val="22"/>
          <w:lang w:eastAsia="sk-SK"/>
        </w:rPr>
        <w:t>764</w:t>
      </w:r>
      <w:r w:rsidR="00647542" w:rsidRPr="000C189C">
        <w:rPr>
          <w:rFonts w:ascii="Times New Roman" w:hAnsi="Times New Roman"/>
          <w:szCs w:val="22"/>
          <w:lang w:eastAsia="sk-SK"/>
        </w:rPr>
        <w:t> tis. eur, nižšími výnosmi zo zúčtovania rezerv</w:t>
      </w:r>
      <w:r w:rsidR="00463CBD" w:rsidRPr="000C189C">
        <w:rPr>
          <w:rFonts w:ascii="Times New Roman" w:hAnsi="Times New Roman"/>
          <w:szCs w:val="22"/>
          <w:lang w:eastAsia="sk-SK"/>
        </w:rPr>
        <w:t xml:space="preserve"> a opravných </w:t>
      </w:r>
      <w:r w:rsidR="00363D90" w:rsidRPr="000C189C">
        <w:rPr>
          <w:rFonts w:ascii="Times New Roman" w:hAnsi="Times New Roman"/>
          <w:szCs w:val="22"/>
          <w:lang w:eastAsia="sk-SK"/>
        </w:rPr>
        <w:t xml:space="preserve">položiek </w:t>
      </w:r>
      <w:r w:rsidR="00647542" w:rsidRPr="000C189C">
        <w:rPr>
          <w:rFonts w:ascii="Times New Roman" w:hAnsi="Times New Roman"/>
          <w:szCs w:val="22"/>
          <w:lang w:eastAsia="sk-SK"/>
        </w:rPr>
        <w:t>o </w:t>
      </w:r>
      <w:r w:rsidR="0066101E" w:rsidRPr="000C189C">
        <w:rPr>
          <w:rFonts w:ascii="Times New Roman" w:hAnsi="Times New Roman"/>
          <w:szCs w:val="22"/>
          <w:lang w:eastAsia="sk-SK"/>
        </w:rPr>
        <w:t>2 063</w:t>
      </w:r>
      <w:r w:rsidR="001960A0">
        <w:rPr>
          <w:rFonts w:ascii="Times New Roman" w:hAnsi="Times New Roman"/>
          <w:szCs w:val="22"/>
          <w:lang w:eastAsia="sk-SK"/>
        </w:rPr>
        <w:t> </w:t>
      </w:r>
      <w:r w:rsidR="0066101E" w:rsidRPr="000C189C">
        <w:rPr>
          <w:rFonts w:ascii="Times New Roman" w:hAnsi="Times New Roman"/>
          <w:szCs w:val="22"/>
          <w:lang w:eastAsia="sk-SK"/>
        </w:rPr>
        <w:t>589</w:t>
      </w:r>
      <w:r w:rsidR="00647542" w:rsidRPr="000C189C">
        <w:rPr>
          <w:rFonts w:ascii="Times New Roman" w:hAnsi="Times New Roman"/>
          <w:szCs w:val="22"/>
          <w:lang w:eastAsia="sk-SK"/>
        </w:rPr>
        <w:t> tis. eur. Najvýznamnejš</w:t>
      </w:r>
      <w:r w:rsidR="00C53718">
        <w:rPr>
          <w:rFonts w:ascii="Times New Roman" w:hAnsi="Times New Roman"/>
          <w:szCs w:val="22"/>
          <w:lang w:eastAsia="sk-SK"/>
        </w:rPr>
        <w:t xml:space="preserve">í rast </w:t>
      </w:r>
      <w:r w:rsidR="00647542" w:rsidRPr="000C189C">
        <w:rPr>
          <w:rFonts w:ascii="Times New Roman" w:hAnsi="Times New Roman"/>
          <w:szCs w:val="22"/>
          <w:lang w:eastAsia="sk-SK"/>
        </w:rPr>
        <w:t xml:space="preserve">  osobných nákladov bol zaznamenan</w:t>
      </w:r>
      <w:r w:rsidR="00C53718">
        <w:rPr>
          <w:rFonts w:ascii="Times New Roman" w:hAnsi="Times New Roman"/>
          <w:szCs w:val="22"/>
          <w:lang w:eastAsia="sk-SK"/>
        </w:rPr>
        <w:t>ý</w:t>
      </w:r>
      <w:r w:rsidR="00647542" w:rsidRPr="000C189C">
        <w:rPr>
          <w:rFonts w:ascii="Times New Roman" w:hAnsi="Times New Roman"/>
          <w:szCs w:val="22"/>
          <w:lang w:eastAsia="sk-SK"/>
        </w:rPr>
        <w:t xml:space="preserve">  </w:t>
      </w:r>
      <w:r w:rsidR="00C53718">
        <w:rPr>
          <w:rFonts w:ascii="Times New Roman" w:hAnsi="Times New Roman"/>
          <w:szCs w:val="22"/>
          <w:lang w:eastAsia="sk-SK"/>
        </w:rPr>
        <w:t>u</w:t>
      </w:r>
      <w:r w:rsidR="00647542" w:rsidRPr="000C189C">
        <w:rPr>
          <w:rFonts w:ascii="Times New Roman" w:hAnsi="Times New Roman"/>
          <w:szCs w:val="22"/>
          <w:lang w:eastAsia="sk-SK"/>
        </w:rPr>
        <w:t xml:space="preserve"> ústrednej správ</w:t>
      </w:r>
      <w:r w:rsidR="00C53718">
        <w:rPr>
          <w:rFonts w:ascii="Times New Roman" w:hAnsi="Times New Roman"/>
          <w:szCs w:val="22"/>
          <w:lang w:eastAsia="sk-SK"/>
        </w:rPr>
        <w:t>y</w:t>
      </w:r>
      <w:r w:rsidR="00647542" w:rsidRPr="000C189C">
        <w:rPr>
          <w:rFonts w:ascii="Times New Roman" w:hAnsi="Times New Roman"/>
          <w:szCs w:val="22"/>
          <w:lang w:eastAsia="sk-SK"/>
        </w:rPr>
        <w:t xml:space="preserve"> </w:t>
      </w:r>
      <w:r w:rsidR="003C0908" w:rsidRPr="000C189C">
        <w:rPr>
          <w:rFonts w:ascii="Times New Roman" w:hAnsi="Times New Roman"/>
          <w:szCs w:val="22"/>
          <w:lang w:eastAsia="sk-SK"/>
        </w:rPr>
        <w:t xml:space="preserve">v sume </w:t>
      </w:r>
      <w:r w:rsidR="00C53718">
        <w:rPr>
          <w:rFonts w:ascii="Times New Roman" w:hAnsi="Times New Roman"/>
          <w:szCs w:val="22"/>
          <w:lang w:eastAsia="sk-SK"/>
        </w:rPr>
        <w:t>653 533</w:t>
      </w:r>
      <w:r w:rsidR="00647542" w:rsidRPr="000C189C">
        <w:rPr>
          <w:rFonts w:ascii="Times New Roman" w:hAnsi="Times New Roman"/>
          <w:szCs w:val="22"/>
          <w:lang w:eastAsia="sk-SK"/>
        </w:rPr>
        <w:t xml:space="preserve"> tis. eur, z čoho ide </w:t>
      </w:r>
      <w:r w:rsidR="00C53718">
        <w:rPr>
          <w:rFonts w:ascii="Times New Roman" w:hAnsi="Times New Roman"/>
          <w:szCs w:val="22"/>
          <w:lang w:eastAsia="sk-SK"/>
        </w:rPr>
        <w:t>najmä</w:t>
      </w:r>
      <w:r w:rsidR="00647542" w:rsidRPr="000C189C">
        <w:rPr>
          <w:rFonts w:ascii="Times New Roman" w:hAnsi="Times New Roman"/>
          <w:szCs w:val="22"/>
          <w:lang w:eastAsia="sk-SK"/>
        </w:rPr>
        <w:t xml:space="preserve"> o kapitoly s najväčším počtom zamestnancov ako kapitola Ministerstva zdravotníctva SR, </w:t>
      </w:r>
      <w:r w:rsidR="00C53718">
        <w:rPr>
          <w:rFonts w:ascii="Times New Roman" w:hAnsi="Times New Roman"/>
          <w:szCs w:val="22"/>
          <w:lang w:eastAsia="sk-SK"/>
        </w:rPr>
        <w:t xml:space="preserve">či </w:t>
      </w:r>
      <w:r w:rsidR="00647542" w:rsidRPr="000C189C">
        <w:rPr>
          <w:rFonts w:ascii="Times New Roman" w:hAnsi="Times New Roman"/>
          <w:szCs w:val="22"/>
          <w:lang w:eastAsia="sk-SK"/>
        </w:rPr>
        <w:t>kapitola Ministerstva vnútra SR</w:t>
      </w:r>
      <w:r w:rsidR="0055788E" w:rsidRPr="000C189C">
        <w:rPr>
          <w:rFonts w:ascii="Times New Roman" w:hAnsi="Times New Roman"/>
          <w:szCs w:val="22"/>
          <w:lang w:eastAsia="sk-SK"/>
        </w:rPr>
        <w:t>.</w:t>
      </w:r>
      <w:r w:rsidR="00647542" w:rsidRPr="000C189C">
        <w:rPr>
          <w:rFonts w:ascii="Times New Roman" w:hAnsi="Times New Roman"/>
          <w:szCs w:val="22"/>
          <w:lang w:eastAsia="sk-SK"/>
        </w:rPr>
        <w:t xml:space="preserve"> </w:t>
      </w:r>
    </w:p>
    <w:p w14:paraId="3E97AB32" w14:textId="77777777" w:rsidR="00A0455C" w:rsidRPr="000C189C" w:rsidRDefault="00A0455C" w:rsidP="000C189C">
      <w:pPr>
        <w:spacing w:after="120" w:line="240" w:lineRule="auto"/>
        <w:jc w:val="both"/>
        <w:rPr>
          <w:rFonts w:ascii="Times New Roman" w:hAnsi="Times New Roman"/>
          <w:szCs w:val="22"/>
          <w:lang w:eastAsia="sk-SK"/>
        </w:rPr>
      </w:pPr>
    </w:p>
    <w:p w14:paraId="69D6A686" w14:textId="77777777" w:rsidR="00647542" w:rsidRPr="00265F07" w:rsidRDefault="00647542" w:rsidP="0085799C">
      <w:pPr>
        <w:pStyle w:val="Nadpis3"/>
      </w:pPr>
      <w:r w:rsidRPr="00265F07">
        <w:t>A.III. Podiely iných účtovných jednotiek</w:t>
      </w:r>
    </w:p>
    <w:p w14:paraId="6ABF6341" w14:textId="5E23A158" w:rsidR="00647542" w:rsidRDefault="00647542" w:rsidP="000C189C">
      <w:pPr>
        <w:spacing w:after="120" w:line="240" w:lineRule="auto"/>
        <w:jc w:val="both"/>
        <w:rPr>
          <w:rFonts w:ascii="Times New Roman" w:hAnsi="Times New Roman"/>
          <w:szCs w:val="22"/>
          <w:lang w:eastAsia="sk-SK"/>
        </w:rPr>
      </w:pPr>
      <w:r w:rsidRPr="00907622">
        <w:rPr>
          <w:rFonts w:ascii="Times New Roman" w:hAnsi="Times New Roman"/>
          <w:szCs w:val="22"/>
          <w:lang w:eastAsia="sk-SK"/>
        </w:rPr>
        <w:t>Podiely iných účtovných jednotiek predstavujú pasívum v podobe vlastníckeho podielu iných spoločností na základnom imaní v obchodných spoločnostiach súhrnného celku. Vznikajú pri konsolidácii kapitálu u tých spoločností, v ktorých subjekty súhrnného celku majú podiel menší ako 100 %, ale vyšší ako 51 %. Podiely iných účtovných jednotiek teda jedným číslom vyjadrujú aktíva a pasíva danej obchodnej spoločnosti, ktoré subjekty súhrnného celku nevlastnia, pretože nevlastnia 100 % podiel. Oproti roku 202</w:t>
      </w:r>
      <w:r w:rsidR="00805AC5">
        <w:rPr>
          <w:rFonts w:ascii="Times New Roman" w:hAnsi="Times New Roman"/>
          <w:szCs w:val="22"/>
          <w:lang w:eastAsia="sk-SK"/>
        </w:rPr>
        <w:t>3</w:t>
      </w:r>
      <w:r w:rsidRPr="00907622">
        <w:rPr>
          <w:rFonts w:ascii="Times New Roman" w:hAnsi="Times New Roman"/>
          <w:szCs w:val="22"/>
          <w:lang w:eastAsia="sk-SK"/>
        </w:rPr>
        <w:t xml:space="preserve"> sa zvýšili o</w:t>
      </w:r>
      <w:r w:rsidR="00FE1BDD">
        <w:rPr>
          <w:rFonts w:ascii="Times New Roman" w:hAnsi="Times New Roman"/>
          <w:szCs w:val="22"/>
          <w:lang w:eastAsia="sk-SK"/>
        </w:rPr>
        <w:t> 10</w:t>
      </w:r>
      <w:r w:rsidR="001960A0">
        <w:rPr>
          <w:rFonts w:ascii="Times New Roman" w:hAnsi="Times New Roman"/>
          <w:szCs w:val="22"/>
          <w:lang w:eastAsia="sk-SK"/>
        </w:rPr>
        <w:t> </w:t>
      </w:r>
      <w:r w:rsidR="00FE1BDD">
        <w:rPr>
          <w:rFonts w:ascii="Times New Roman" w:hAnsi="Times New Roman"/>
          <w:szCs w:val="22"/>
          <w:lang w:eastAsia="sk-SK"/>
        </w:rPr>
        <w:t>281</w:t>
      </w:r>
      <w:r w:rsidRPr="00907622">
        <w:rPr>
          <w:rFonts w:ascii="Times New Roman" w:hAnsi="Times New Roman"/>
          <w:szCs w:val="22"/>
          <w:lang w:eastAsia="sk-SK"/>
        </w:rPr>
        <w:t xml:space="preserve"> tis. eur, a to najmä v prípade </w:t>
      </w:r>
      <w:r w:rsidR="00657F11">
        <w:rPr>
          <w:rFonts w:ascii="Times New Roman" w:hAnsi="Times New Roman"/>
          <w:szCs w:val="22"/>
          <w:lang w:eastAsia="sk-SK"/>
        </w:rPr>
        <w:t>ústrednej správy</w:t>
      </w:r>
      <w:r w:rsidR="000C189C">
        <w:rPr>
          <w:rFonts w:ascii="Times New Roman" w:hAnsi="Times New Roman"/>
          <w:szCs w:val="22"/>
          <w:lang w:eastAsia="sk-SK"/>
        </w:rPr>
        <w:t xml:space="preserve"> </w:t>
      </w:r>
      <w:r w:rsidRPr="00907622">
        <w:rPr>
          <w:rFonts w:ascii="Times New Roman" w:hAnsi="Times New Roman"/>
          <w:szCs w:val="22"/>
          <w:lang w:eastAsia="sk-SK"/>
        </w:rPr>
        <w:t>o</w:t>
      </w:r>
      <w:r w:rsidR="00657F11">
        <w:rPr>
          <w:rFonts w:ascii="Times New Roman" w:hAnsi="Times New Roman"/>
          <w:szCs w:val="22"/>
          <w:lang w:eastAsia="sk-SK"/>
        </w:rPr>
        <w:t> 11</w:t>
      </w:r>
      <w:r w:rsidR="000C189C">
        <w:rPr>
          <w:rFonts w:ascii="Times New Roman" w:hAnsi="Times New Roman"/>
          <w:szCs w:val="22"/>
          <w:lang w:eastAsia="sk-SK"/>
        </w:rPr>
        <w:t> </w:t>
      </w:r>
      <w:r w:rsidR="00657F11">
        <w:rPr>
          <w:rFonts w:ascii="Times New Roman" w:hAnsi="Times New Roman"/>
          <w:szCs w:val="22"/>
          <w:lang w:eastAsia="sk-SK"/>
        </w:rPr>
        <w:t>805</w:t>
      </w:r>
      <w:r w:rsidRPr="00907622">
        <w:rPr>
          <w:rFonts w:ascii="Times New Roman" w:hAnsi="Times New Roman"/>
          <w:szCs w:val="22"/>
          <w:lang w:eastAsia="sk-SK"/>
        </w:rPr>
        <w:t> tis. </w:t>
      </w:r>
      <w:r w:rsidR="00651E63">
        <w:rPr>
          <w:rFonts w:ascii="Times New Roman" w:hAnsi="Times New Roman"/>
          <w:szCs w:val="22"/>
          <w:lang w:eastAsia="sk-SK"/>
        </w:rPr>
        <w:t>e</w:t>
      </w:r>
      <w:r w:rsidRPr="00907622">
        <w:rPr>
          <w:rFonts w:ascii="Times New Roman" w:hAnsi="Times New Roman"/>
          <w:szCs w:val="22"/>
          <w:lang w:eastAsia="sk-SK"/>
        </w:rPr>
        <w:t>ur</w:t>
      </w:r>
      <w:r w:rsidR="00651E63">
        <w:rPr>
          <w:rFonts w:ascii="Times New Roman" w:hAnsi="Times New Roman"/>
          <w:szCs w:val="22"/>
          <w:lang w:eastAsia="sk-SK"/>
        </w:rPr>
        <w:t>.</w:t>
      </w:r>
      <w:r w:rsidRPr="00907622">
        <w:rPr>
          <w:rFonts w:ascii="Times New Roman" w:hAnsi="Times New Roman"/>
          <w:szCs w:val="22"/>
          <w:lang w:eastAsia="sk-SK"/>
        </w:rPr>
        <w:t xml:space="preserve"> </w:t>
      </w:r>
      <w:r w:rsidR="00885895">
        <w:rPr>
          <w:rFonts w:ascii="Times New Roman" w:hAnsi="Times New Roman"/>
          <w:szCs w:val="22"/>
          <w:lang w:eastAsia="sk-SK"/>
        </w:rPr>
        <w:t>Obce</w:t>
      </w:r>
      <w:r w:rsidRPr="00907622">
        <w:rPr>
          <w:rFonts w:ascii="Times New Roman" w:hAnsi="Times New Roman"/>
          <w:szCs w:val="22"/>
          <w:lang w:eastAsia="sk-SK"/>
        </w:rPr>
        <w:t xml:space="preserve"> vykazujú najväčší podiel iných účtovných jednotiek (13</w:t>
      </w:r>
      <w:r w:rsidR="001E29D7">
        <w:rPr>
          <w:rFonts w:ascii="Times New Roman" w:hAnsi="Times New Roman"/>
          <w:szCs w:val="22"/>
          <w:lang w:eastAsia="sk-SK"/>
        </w:rPr>
        <w:t>6</w:t>
      </w:r>
      <w:r w:rsidRPr="00907622">
        <w:rPr>
          <w:rFonts w:ascii="Times New Roman" w:hAnsi="Times New Roman"/>
          <w:szCs w:val="22"/>
          <w:lang w:eastAsia="sk-SK"/>
        </w:rPr>
        <w:t> </w:t>
      </w:r>
      <w:r w:rsidR="001E29D7">
        <w:rPr>
          <w:rFonts w:ascii="Times New Roman" w:hAnsi="Times New Roman"/>
          <w:szCs w:val="22"/>
          <w:lang w:eastAsia="sk-SK"/>
        </w:rPr>
        <w:t>535</w:t>
      </w:r>
      <w:r w:rsidRPr="00907622">
        <w:rPr>
          <w:rFonts w:ascii="Times New Roman" w:hAnsi="Times New Roman"/>
          <w:szCs w:val="22"/>
          <w:lang w:eastAsia="sk-SK"/>
        </w:rPr>
        <w:t> tis. eur)</w:t>
      </w:r>
      <w:r w:rsidR="000C189C">
        <w:rPr>
          <w:rFonts w:ascii="Times New Roman" w:hAnsi="Times New Roman"/>
          <w:szCs w:val="22"/>
          <w:lang w:eastAsia="sk-SK"/>
        </w:rPr>
        <w:t>.</w:t>
      </w:r>
      <w:r w:rsidR="00363CA3">
        <w:rPr>
          <w:rFonts w:ascii="Times New Roman" w:hAnsi="Times New Roman"/>
          <w:szCs w:val="22"/>
          <w:lang w:eastAsia="sk-SK"/>
        </w:rPr>
        <w:br/>
      </w:r>
      <w:r w:rsidRPr="00907622">
        <w:rPr>
          <w:rFonts w:ascii="Times New Roman" w:hAnsi="Times New Roman"/>
          <w:szCs w:val="22"/>
          <w:lang w:eastAsia="sk-SK"/>
        </w:rPr>
        <w:t>Vo väčšine prípadov ide o podiely v spoločnostiach, ktoré sú vlastnené viacerými obcami a mestami zároveň (vodárenské, teplárenské spoločnosti, spoločnosti spravujúce kanalizácie a podobne).</w:t>
      </w:r>
      <w:r w:rsidR="00BD1595">
        <w:rPr>
          <w:rFonts w:ascii="Times New Roman" w:hAnsi="Times New Roman"/>
          <w:szCs w:val="22"/>
          <w:lang w:eastAsia="sk-SK"/>
        </w:rPr>
        <w:t xml:space="preserve"> Aj napriek spoločnému väčšinovému vlastníctvu </w:t>
      </w:r>
      <w:r w:rsidR="00A43A6D">
        <w:rPr>
          <w:rFonts w:ascii="Times New Roman" w:hAnsi="Times New Roman"/>
          <w:szCs w:val="22"/>
          <w:lang w:eastAsia="sk-SK"/>
        </w:rPr>
        <w:t xml:space="preserve">obcí v týchto spoločnostiach, </w:t>
      </w:r>
      <w:r w:rsidR="00BD1595">
        <w:rPr>
          <w:rFonts w:ascii="Times New Roman" w:hAnsi="Times New Roman"/>
          <w:szCs w:val="22"/>
          <w:lang w:eastAsia="sk-SK"/>
        </w:rPr>
        <w:t xml:space="preserve">z dôvodu </w:t>
      </w:r>
      <w:r w:rsidR="00A43A6D">
        <w:rPr>
          <w:rFonts w:ascii="Times New Roman" w:hAnsi="Times New Roman"/>
          <w:szCs w:val="22"/>
          <w:lang w:eastAsia="sk-SK"/>
        </w:rPr>
        <w:t>ich čiastkovej konsolidácie na nižšej úrovni</w:t>
      </w:r>
      <w:r w:rsidR="00BD1595">
        <w:rPr>
          <w:rFonts w:ascii="Times New Roman" w:hAnsi="Times New Roman"/>
          <w:szCs w:val="22"/>
          <w:lang w:eastAsia="sk-SK"/>
        </w:rPr>
        <w:t>, nie sú tieto spoločnosti konsolidované úplnou metódou konsolidácie</w:t>
      </w:r>
      <w:r w:rsidR="00A43A6D">
        <w:rPr>
          <w:rFonts w:ascii="Times New Roman" w:hAnsi="Times New Roman"/>
          <w:szCs w:val="22"/>
          <w:lang w:eastAsia="sk-SK"/>
        </w:rPr>
        <w:t xml:space="preserve"> na úrovni súhrnného celku</w:t>
      </w:r>
      <w:r w:rsidR="00BD1595">
        <w:rPr>
          <w:rFonts w:ascii="Times New Roman" w:hAnsi="Times New Roman"/>
          <w:szCs w:val="22"/>
          <w:lang w:eastAsia="sk-SK"/>
        </w:rPr>
        <w:t xml:space="preserve">.  </w:t>
      </w:r>
    </w:p>
    <w:p w14:paraId="11978B5C" w14:textId="77777777" w:rsidR="00F837D4" w:rsidRDefault="00F837D4" w:rsidP="000C189C">
      <w:pPr>
        <w:spacing w:after="120" w:line="240" w:lineRule="auto"/>
        <w:jc w:val="both"/>
        <w:rPr>
          <w:rFonts w:ascii="Times New Roman" w:hAnsi="Times New Roman"/>
          <w:szCs w:val="22"/>
          <w:lang w:eastAsia="sk-SK"/>
        </w:rPr>
      </w:pPr>
    </w:p>
    <w:p w14:paraId="49C5CD3C" w14:textId="03F56C50" w:rsidR="00F837D4" w:rsidRPr="00265F07" w:rsidRDefault="00F837D4" w:rsidP="0085799C">
      <w:pPr>
        <w:pStyle w:val="Nadpis3"/>
        <w:rPr>
          <w:highlight w:val="yellow"/>
          <w:lang w:eastAsia="sk-SK"/>
        </w:rPr>
      </w:pPr>
      <w:r>
        <w:rPr>
          <w:lang w:eastAsia="sk-SK"/>
        </w:rPr>
        <w:t>B. Záväzky, rezervy, bankové úvery a výpomoci</w:t>
      </w:r>
    </w:p>
    <w:p w14:paraId="4A181BC6" w14:textId="1C334E8D" w:rsidR="00647542" w:rsidRPr="00907622" w:rsidRDefault="00647542" w:rsidP="000C189C">
      <w:pPr>
        <w:pStyle w:val="Pismenka"/>
        <w:tabs>
          <w:tab w:val="clear" w:pos="426"/>
        </w:tabs>
        <w:spacing w:after="120"/>
        <w:ind w:left="0" w:firstLine="0"/>
        <w:rPr>
          <w:b w:val="0"/>
          <w:bCs w:val="0"/>
          <w:sz w:val="22"/>
          <w:szCs w:val="22"/>
        </w:rPr>
      </w:pPr>
      <w:r w:rsidRPr="00907622">
        <w:rPr>
          <w:b w:val="0"/>
          <w:bCs w:val="0"/>
          <w:sz w:val="22"/>
          <w:szCs w:val="22"/>
        </w:rPr>
        <w:t xml:space="preserve">Záväzky, rezervy, bankové úvery a výpomoci spolu dosiahli hodnotu </w:t>
      </w:r>
      <w:r w:rsidR="00CD0628">
        <w:rPr>
          <w:b w:val="0"/>
          <w:bCs w:val="0"/>
          <w:sz w:val="22"/>
          <w:szCs w:val="22"/>
        </w:rPr>
        <w:t>117</w:t>
      </w:r>
      <w:r w:rsidR="000C189C">
        <w:rPr>
          <w:b w:val="0"/>
          <w:bCs w:val="0"/>
          <w:sz w:val="22"/>
          <w:szCs w:val="22"/>
        </w:rPr>
        <w:t> </w:t>
      </w:r>
      <w:r w:rsidR="00CD0628">
        <w:rPr>
          <w:b w:val="0"/>
          <w:bCs w:val="0"/>
          <w:sz w:val="22"/>
          <w:szCs w:val="22"/>
        </w:rPr>
        <w:t>726</w:t>
      </w:r>
      <w:r w:rsidR="000C189C">
        <w:rPr>
          <w:b w:val="0"/>
          <w:bCs w:val="0"/>
          <w:sz w:val="22"/>
          <w:szCs w:val="22"/>
        </w:rPr>
        <w:t> </w:t>
      </w:r>
      <w:r w:rsidR="00CD0628">
        <w:rPr>
          <w:b w:val="0"/>
          <w:bCs w:val="0"/>
          <w:sz w:val="22"/>
          <w:szCs w:val="22"/>
        </w:rPr>
        <w:t>23</w:t>
      </w:r>
      <w:r w:rsidR="00D6641A">
        <w:rPr>
          <w:b w:val="0"/>
          <w:bCs w:val="0"/>
          <w:sz w:val="22"/>
          <w:szCs w:val="22"/>
        </w:rPr>
        <w:t>8</w:t>
      </w:r>
      <w:r w:rsidRPr="00907622">
        <w:rPr>
          <w:b w:val="0"/>
          <w:bCs w:val="0"/>
          <w:sz w:val="22"/>
          <w:szCs w:val="22"/>
        </w:rPr>
        <w:t> tis. eur a medziročne sa zvýšili o</w:t>
      </w:r>
      <w:r w:rsidR="00CD0628">
        <w:rPr>
          <w:b w:val="0"/>
          <w:bCs w:val="0"/>
          <w:sz w:val="22"/>
          <w:szCs w:val="22"/>
        </w:rPr>
        <w:t> 8 880</w:t>
      </w:r>
      <w:r w:rsidR="00363CA3">
        <w:rPr>
          <w:b w:val="0"/>
          <w:sz w:val="22"/>
          <w:szCs w:val="22"/>
        </w:rPr>
        <w:t> </w:t>
      </w:r>
      <w:r w:rsidR="00CD0628">
        <w:rPr>
          <w:b w:val="0"/>
          <w:bCs w:val="0"/>
          <w:sz w:val="22"/>
          <w:szCs w:val="22"/>
        </w:rPr>
        <w:t>729</w:t>
      </w:r>
      <w:r w:rsidRPr="00907622">
        <w:rPr>
          <w:b w:val="0"/>
          <w:bCs w:val="0"/>
          <w:sz w:val="22"/>
          <w:szCs w:val="22"/>
        </w:rPr>
        <w:t xml:space="preserve"> tis. eur. Medzi krátkodobými záväzkami sa vykazujú aj záväzky vyplývajúce zo zúčtovacích vzťahov medzi subjektami verejnej správy v celkovej hodnote </w:t>
      </w:r>
      <w:r w:rsidR="00254E94">
        <w:rPr>
          <w:b w:val="0"/>
          <w:bCs w:val="0"/>
          <w:sz w:val="22"/>
          <w:szCs w:val="22"/>
        </w:rPr>
        <w:t>621</w:t>
      </w:r>
      <w:r w:rsidR="000C189C">
        <w:rPr>
          <w:b w:val="0"/>
          <w:bCs w:val="0"/>
          <w:sz w:val="22"/>
          <w:szCs w:val="22"/>
        </w:rPr>
        <w:t> </w:t>
      </w:r>
      <w:r w:rsidR="00254E94">
        <w:rPr>
          <w:b w:val="0"/>
          <w:bCs w:val="0"/>
          <w:sz w:val="22"/>
          <w:szCs w:val="22"/>
        </w:rPr>
        <w:t>881</w:t>
      </w:r>
      <w:r w:rsidRPr="00907622">
        <w:rPr>
          <w:b w:val="0"/>
          <w:bCs w:val="0"/>
          <w:sz w:val="22"/>
          <w:szCs w:val="22"/>
        </w:rPr>
        <w:t> tis. eur</w:t>
      </w:r>
      <w:r w:rsidR="000C189C">
        <w:rPr>
          <w:b w:val="0"/>
          <w:bCs w:val="0"/>
          <w:sz w:val="22"/>
          <w:szCs w:val="22"/>
        </w:rPr>
        <w:t xml:space="preserve"> </w:t>
      </w:r>
      <w:r w:rsidRPr="00907622">
        <w:rPr>
          <w:b w:val="0"/>
          <w:bCs w:val="0"/>
          <w:sz w:val="22"/>
          <w:szCs w:val="22"/>
        </w:rPr>
        <w:t>(202</w:t>
      </w:r>
      <w:r w:rsidR="00254E94">
        <w:rPr>
          <w:b w:val="0"/>
          <w:bCs w:val="0"/>
          <w:sz w:val="22"/>
          <w:szCs w:val="22"/>
        </w:rPr>
        <w:t>3</w:t>
      </w:r>
      <w:r w:rsidRPr="00907622">
        <w:rPr>
          <w:b w:val="0"/>
          <w:bCs w:val="0"/>
          <w:sz w:val="22"/>
          <w:szCs w:val="22"/>
        </w:rPr>
        <w:t xml:space="preserve">: </w:t>
      </w:r>
      <w:r w:rsidR="00254E94">
        <w:rPr>
          <w:b w:val="0"/>
          <w:bCs w:val="0"/>
          <w:sz w:val="22"/>
          <w:szCs w:val="22"/>
        </w:rPr>
        <w:t>530</w:t>
      </w:r>
      <w:r w:rsidR="000C189C">
        <w:rPr>
          <w:b w:val="0"/>
          <w:bCs w:val="0"/>
          <w:sz w:val="22"/>
          <w:szCs w:val="22"/>
        </w:rPr>
        <w:t> </w:t>
      </w:r>
      <w:r w:rsidR="00254E94">
        <w:rPr>
          <w:b w:val="0"/>
          <w:bCs w:val="0"/>
          <w:sz w:val="22"/>
          <w:szCs w:val="22"/>
        </w:rPr>
        <w:t>527</w:t>
      </w:r>
      <w:r w:rsidRPr="00907622">
        <w:rPr>
          <w:b w:val="0"/>
          <w:bCs w:val="0"/>
          <w:sz w:val="22"/>
          <w:szCs w:val="22"/>
        </w:rPr>
        <w:t> tis. eur). Bankové úvery so splatnosťou dlhšou ako jeden rok sa vykazujú ako súčasť dlhodobých záväzkov v</w:t>
      </w:r>
      <w:r w:rsidR="00363CA3">
        <w:rPr>
          <w:b w:val="0"/>
          <w:bCs w:val="0"/>
          <w:sz w:val="22"/>
          <w:szCs w:val="22"/>
        </w:rPr>
        <w:t> </w:t>
      </w:r>
      <w:r w:rsidRPr="00907622">
        <w:rPr>
          <w:b w:val="0"/>
          <w:bCs w:val="0"/>
          <w:sz w:val="22"/>
          <w:szCs w:val="22"/>
        </w:rPr>
        <w:t xml:space="preserve">hodnote </w:t>
      </w:r>
      <w:r w:rsidR="008A6A98">
        <w:rPr>
          <w:b w:val="0"/>
          <w:bCs w:val="0"/>
          <w:sz w:val="22"/>
          <w:szCs w:val="22"/>
        </w:rPr>
        <w:t>5</w:t>
      </w:r>
      <w:r w:rsidR="000C189C">
        <w:rPr>
          <w:b w:val="0"/>
          <w:bCs w:val="0"/>
          <w:sz w:val="22"/>
          <w:szCs w:val="22"/>
        </w:rPr>
        <w:t> </w:t>
      </w:r>
      <w:r w:rsidR="008A6A98">
        <w:rPr>
          <w:b w:val="0"/>
          <w:bCs w:val="0"/>
          <w:sz w:val="22"/>
          <w:szCs w:val="22"/>
        </w:rPr>
        <w:t>432</w:t>
      </w:r>
      <w:r w:rsidR="000C189C">
        <w:rPr>
          <w:b w:val="0"/>
          <w:bCs w:val="0"/>
          <w:sz w:val="22"/>
          <w:szCs w:val="22"/>
        </w:rPr>
        <w:t> </w:t>
      </w:r>
      <w:r w:rsidR="008A6A98">
        <w:rPr>
          <w:b w:val="0"/>
          <w:bCs w:val="0"/>
          <w:sz w:val="22"/>
          <w:szCs w:val="22"/>
        </w:rPr>
        <w:t>748</w:t>
      </w:r>
      <w:r w:rsidRPr="00907622">
        <w:rPr>
          <w:b w:val="0"/>
          <w:bCs w:val="0"/>
          <w:sz w:val="22"/>
          <w:szCs w:val="22"/>
        </w:rPr>
        <w:t> tis. eur (202</w:t>
      </w:r>
      <w:r w:rsidR="00254E94">
        <w:rPr>
          <w:b w:val="0"/>
          <w:bCs w:val="0"/>
          <w:sz w:val="22"/>
          <w:szCs w:val="22"/>
        </w:rPr>
        <w:t>3</w:t>
      </w:r>
      <w:r w:rsidRPr="00907622">
        <w:rPr>
          <w:b w:val="0"/>
          <w:bCs w:val="0"/>
          <w:sz w:val="22"/>
          <w:szCs w:val="22"/>
        </w:rPr>
        <w:t xml:space="preserve">: </w:t>
      </w:r>
      <w:r w:rsidR="00254E94">
        <w:rPr>
          <w:b w:val="0"/>
          <w:bCs w:val="0"/>
          <w:sz w:val="22"/>
          <w:szCs w:val="22"/>
        </w:rPr>
        <w:t>6</w:t>
      </w:r>
      <w:r w:rsidR="000C189C">
        <w:rPr>
          <w:b w:val="0"/>
          <w:bCs w:val="0"/>
          <w:sz w:val="22"/>
          <w:szCs w:val="22"/>
        </w:rPr>
        <w:t> </w:t>
      </w:r>
      <w:r w:rsidR="00254E94">
        <w:rPr>
          <w:b w:val="0"/>
          <w:bCs w:val="0"/>
          <w:sz w:val="22"/>
          <w:szCs w:val="22"/>
        </w:rPr>
        <w:t>097</w:t>
      </w:r>
      <w:r w:rsidR="000C189C">
        <w:rPr>
          <w:b w:val="0"/>
          <w:bCs w:val="0"/>
          <w:sz w:val="22"/>
          <w:szCs w:val="22"/>
        </w:rPr>
        <w:t> </w:t>
      </w:r>
      <w:r w:rsidR="00254E94">
        <w:rPr>
          <w:b w:val="0"/>
          <w:bCs w:val="0"/>
          <w:sz w:val="22"/>
          <w:szCs w:val="22"/>
        </w:rPr>
        <w:t>761</w:t>
      </w:r>
      <w:r w:rsidRPr="00907622">
        <w:rPr>
          <w:b w:val="0"/>
          <w:bCs w:val="0"/>
          <w:sz w:val="22"/>
          <w:szCs w:val="22"/>
        </w:rPr>
        <w:t> tis. eur) a</w:t>
      </w:r>
      <w:r w:rsidR="000C189C">
        <w:rPr>
          <w:b w:val="0"/>
          <w:bCs w:val="0"/>
          <w:sz w:val="22"/>
          <w:szCs w:val="22"/>
        </w:rPr>
        <w:t xml:space="preserve"> </w:t>
      </w:r>
      <w:r w:rsidRPr="00907622">
        <w:rPr>
          <w:b w:val="0"/>
          <w:bCs w:val="0"/>
          <w:sz w:val="22"/>
          <w:szCs w:val="22"/>
        </w:rPr>
        <w:t>so</w:t>
      </w:r>
      <w:r w:rsidR="000C189C">
        <w:rPr>
          <w:b w:val="0"/>
          <w:bCs w:val="0"/>
          <w:sz w:val="22"/>
          <w:szCs w:val="22"/>
        </w:rPr>
        <w:t xml:space="preserve"> </w:t>
      </w:r>
      <w:r w:rsidRPr="00907622">
        <w:rPr>
          <w:b w:val="0"/>
          <w:bCs w:val="0"/>
          <w:sz w:val="22"/>
          <w:szCs w:val="22"/>
        </w:rPr>
        <w:t>splatnosťou</w:t>
      </w:r>
      <w:r w:rsidR="00363CA3">
        <w:rPr>
          <w:b w:val="0"/>
          <w:sz w:val="22"/>
          <w:szCs w:val="22"/>
        </w:rPr>
        <w:br/>
      </w:r>
      <w:r w:rsidRPr="00907622">
        <w:rPr>
          <w:b w:val="0"/>
          <w:bCs w:val="0"/>
          <w:sz w:val="22"/>
          <w:szCs w:val="22"/>
        </w:rPr>
        <w:lastRenderedPageBreak/>
        <w:t>do</w:t>
      </w:r>
      <w:r w:rsidR="000C189C">
        <w:rPr>
          <w:b w:val="0"/>
          <w:bCs w:val="0"/>
          <w:sz w:val="22"/>
          <w:szCs w:val="22"/>
        </w:rPr>
        <w:t xml:space="preserve"> </w:t>
      </w:r>
      <w:r w:rsidRPr="00907622">
        <w:rPr>
          <w:b w:val="0"/>
          <w:bCs w:val="0"/>
          <w:sz w:val="22"/>
          <w:szCs w:val="22"/>
        </w:rPr>
        <w:t>jedného roka ako položka v</w:t>
      </w:r>
      <w:r w:rsidR="00363CA3">
        <w:rPr>
          <w:b w:val="0"/>
          <w:bCs w:val="0"/>
          <w:sz w:val="22"/>
          <w:szCs w:val="22"/>
        </w:rPr>
        <w:t> </w:t>
      </w:r>
      <w:r w:rsidRPr="00907622">
        <w:rPr>
          <w:b w:val="0"/>
          <w:bCs w:val="0"/>
          <w:sz w:val="22"/>
          <w:szCs w:val="22"/>
        </w:rPr>
        <w:t>rámci krátkodobých záväzkov v</w:t>
      </w:r>
      <w:r w:rsidR="00363CA3">
        <w:rPr>
          <w:b w:val="0"/>
          <w:bCs w:val="0"/>
          <w:sz w:val="22"/>
          <w:szCs w:val="22"/>
        </w:rPr>
        <w:t> </w:t>
      </w:r>
      <w:r w:rsidRPr="00907622">
        <w:rPr>
          <w:b w:val="0"/>
          <w:bCs w:val="0"/>
          <w:sz w:val="22"/>
          <w:szCs w:val="22"/>
        </w:rPr>
        <w:t xml:space="preserve">hodnote </w:t>
      </w:r>
      <w:r w:rsidR="007659AC">
        <w:rPr>
          <w:b w:val="0"/>
          <w:sz w:val="22"/>
          <w:szCs w:val="22"/>
        </w:rPr>
        <w:t>1 290</w:t>
      </w:r>
      <w:r w:rsidR="000C189C">
        <w:rPr>
          <w:b w:val="0"/>
          <w:sz w:val="22"/>
          <w:szCs w:val="22"/>
        </w:rPr>
        <w:t> </w:t>
      </w:r>
      <w:r w:rsidR="007659AC">
        <w:rPr>
          <w:b w:val="0"/>
          <w:sz w:val="22"/>
          <w:szCs w:val="22"/>
        </w:rPr>
        <w:t>980</w:t>
      </w:r>
      <w:r w:rsidRPr="00907622">
        <w:rPr>
          <w:b w:val="0"/>
          <w:bCs w:val="0"/>
          <w:sz w:val="22"/>
          <w:szCs w:val="22"/>
        </w:rPr>
        <w:t> tis. eur</w:t>
      </w:r>
      <w:r w:rsidR="000C189C">
        <w:rPr>
          <w:b w:val="0"/>
          <w:bCs w:val="0"/>
          <w:sz w:val="22"/>
          <w:szCs w:val="22"/>
        </w:rPr>
        <w:t xml:space="preserve"> </w:t>
      </w:r>
      <w:r w:rsidRPr="00907622">
        <w:rPr>
          <w:b w:val="0"/>
          <w:bCs w:val="0"/>
          <w:sz w:val="22"/>
          <w:szCs w:val="22"/>
        </w:rPr>
        <w:t>(202</w:t>
      </w:r>
      <w:r w:rsidR="00C917D8">
        <w:rPr>
          <w:b w:val="0"/>
          <w:bCs w:val="0"/>
          <w:sz w:val="22"/>
          <w:szCs w:val="22"/>
        </w:rPr>
        <w:t>3</w:t>
      </w:r>
      <w:r w:rsidRPr="00907622">
        <w:rPr>
          <w:b w:val="0"/>
          <w:bCs w:val="0"/>
          <w:sz w:val="22"/>
          <w:szCs w:val="22"/>
        </w:rPr>
        <w:t xml:space="preserve">: </w:t>
      </w:r>
      <w:r w:rsidR="00C917D8">
        <w:rPr>
          <w:b w:val="0"/>
          <w:bCs w:val="0"/>
          <w:sz w:val="22"/>
          <w:szCs w:val="22"/>
        </w:rPr>
        <w:t>839</w:t>
      </w:r>
      <w:r w:rsidR="000C189C">
        <w:rPr>
          <w:b w:val="0"/>
          <w:bCs w:val="0"/>
          <w:sz w:val="22"/>
          <w:szCs w:val="22"/>
        </w:rPr>
        <w:t> </w:t>
      </w:r>
      <w:r w:rsidR="00C917D8">
        <w:rPr>
          <w:b w:val="0"/>
          <w:bCs w:val="0"/>
          <w:sz w:val="22"/>
          <w:szCs w:val="22"/>
        </w:rPr>
        <w:t>811</w:t>
      </w:r>
      <w:r w:rsidRPr="00907622">
        <w:rPr>
          <w:b w:val="0"/>
          <w:bCs w:val="0"/>
          <w:sz w:val="22"/>
          <w:szCs w:val="22"/>
        </w:rPr>
        <w:t> tis. eur).</w:t>
      </w:r>
    </w:p>
    <w:p w14:paraId="19EE4B08" w14:textId="36BBB92D" w:rsidR="00647542" w:rsidRPr="00907622" w:rsidRDefault="00647542" w:rsidP="000C189C">
      <w:pPr>
        <w:pStyle w:val="Pismenka"/>
        <w:tabs>
          <w:tab w:val="clear" w:pos="426"/>
        </w:tabs>
        <w:spacing w:after="120"/>
        <w:ind w:left="0" w:firstLine="0"/>
        <w:rPr>
          <w:b w:val="0"/>
          <w:bCs w:val="0"/>
          <w:sz w:val="22"/>
          <w:szCs w:val="22"/>
        </w:rPr>
      </w:pPr>
      <w:r w:rsidRPr="00907622">
        <w:rPr>
          <w:b w:val="0"/>
          <w:bCs w:val="0"/>
          <w:sz w:val="22"/>
          <w:szCs w:val="22"/>
          <w:u w:val="single"/>
        </w:rPr>
        <w:t>Z celkovej sumy týchto záväzkov sú najvýznamnejšou položkou záväzky zo štátnych dlhopisov</w:t>
      </w:r>
      <w:r w:rsidRPr="00907622">
        <w:rPr>
          <w:rStyle w:val="Odkaznapoznmkupodiarou"/>
          <w:b w:val="0"/>
          <w:bCs w:val="0"/>
          <w:sz w:val="22"/>
          <w:szCs w:val="22"/>
          <w:u w:val="single"/>
        </w:rPr>
        <w:footnoteReference w:id="3"/>
      </w:r>
      <w:r w:rsidRPr="00907622">
        <w:rPr>
          <w:b w:val="0"/>
          <w:bCs w:val="0"/>
          <w:sz w:val="22"/>
          <w:szCs w:val="22"/>
        </w:rPr>
        <w:t xml:space="preserve"> vydávaných Agentúrou pre riadenie dlhu a likvidity, ktorá emituje štátne cenné papiere v mene a na účet Ministerstva financií SR na krytie </w:t>
      </w:r>
      <w:r w:rsidR="00420C9F">
        <w:rPr>
          <w:b w:val="0"/>
          <w:bCs w:val="0"/>
          <w:sz w:val="22"/>
          <w:szCs w:val="22"/>
        </w:rPr>
        <w:t xml:space="preserve">deficitu </w:t>
      </w:r>
      <w:r w:rsidR="00420C9F" w:rsidRPr="00907622">
        <w:rPr>
          <w:b w:val="0"/>
          <w:bCs w:val="0"/>
          <w:sz w:val="22"/>
          <w:szCs w:val="22"/>
        </w:rPr>
        <w:t>štátneho rozpočtu</w:t>
      </w:r>
      <w:r w:rsidR="00420C9F" w:rsidRPr="00907622" w:rsidDel="00420C9F">
        <w:rPr>
          <w:b w:val="0"/>
          <w:bCs w:val="0"/>
          <w:sz w:val="22"/>
          <w:szCs w:val="22"/>
        </w:rPr>
        <w:t xml:space="preserve"> </w:t>
      </w:r>
      <w:r w:rsidR="00420C9F">
        <w:rPr>
          <w:b w:val="0"/>
          <w:bCs w:val="0"/>
          <w:sz w:val="22"/>
          <w:szCs w:val="22"/>
        </w:rPr>
        <w:t>a obsluhu štátneho dlhu</w:t>
      </w:r>
      <w:r w:rsidRPr="00907622">
        <w:rPr>
          <w:b w:val="0"/>
          <w:bCs w:val="0"/>
          <w:sz w:val="22"/>
          <w:szCs w:val="22"/>
        </w:rPr>
        <w:t xml:space="preserve">. </w:t>
      </w:r>
    </w:p>
    <w:p w14:paraId="65C12C0C" w14:textId="7CC66B59" w:rsidR="00647542" w:rsidRPr="00907622" w:rsidRDefault="00647542" w:rsidP="000C189C">
      <w:pPr>
        <w:pStyle w:val="Pismenka"/>
        <w:tabs>
          <w:tab w:val="clear" w:pos="426"/>
        </w:tabs>
        <w:spacing w:after="120"/>
        <w:ind w:left="0" w:firstLine="0"/>
        <w:rPr>
          <w:b w:val="0"/>
          <w:bCs w:val="0"/>
          <w:sz w:val="22"/>
          <w:szCs w:val="22"/>
          <w:highlight w:val="yellow"/>
        </w:rPr>
      </w:pPr>
      <w:r w:rsidRPr="00907622">
        <w:rPr>
          <w:b w:val="0"/>
          <w:bCs w:val="0"/>
          <w:sz w:val="22"/>
          <w:szCs w:val="22"/>
          <w:u w:val="single"/>
        </w:rPr>
        <w:t>Dlhodobé štátne dlhopisy</w:t>
      </w:r>
      <w:r w:rsidRPr="00907622">
        <w:rPr>
          <w:b w:val="0"/>
          <w:bCs w:val="0"/>
          <w:sz w:val="22"/>
          <w:szCs w:val="22"/>
        </w:rPr>
        <w:t xml:space="preserve"> vykazované v záväzkoch tvoria z celkovej hodnoty záväzkov 51 % a medziročne ich podiel vzrástol o 5 p. b. </w:t>
      </w:r>
      <w:r w:rsidRPr="00907622">
        <w:rPr>
          <w:b w:val="0"/>
          <w:bCs w:val="0"/>
          <w:sz w:val="22"/>
          <w:szCs w:val="22"/>
          <w:u w:val="single"/>
        </w:rPr>
        <w:t>Krátkodobé dlhové cenné papiere štátu</w:t>
      </w:r>
      <w:r w:rsidRPr="00907622">
        <w:rPr>
          <w:b w:val="0"/>
          <w:bCs w:val="0"/>
          <w:sz w:val="22"/>
          <w:szCs w:val="22"/>
        </w:rPr>
        <w:t xml:space="preserve"> tvoria z hodnoty záväzkov 4,9 %. Celková hodnota záväzkov zo štátnych dlhopisov bola </w:t>
      </w:r>
      <w:r w:rsidR="00F93569">
        <w:rPr>
          <w:b w:val="0"/>
          <w:bCs w:val="0"/>
          <w:sz w:val="22"/>
          <w:szCs w:val="22"/>
        </w:rPr>
        <w:t>69</w:t>
      </w:r>
      <w:r w:rsidR="00B227B0">
        <w:rPr>
          <w:b w:val="0"/>
          <w:bCs w:val="0"/>
          <w:sz w:val="22"/>
          <w:szCs w:val="22"/>
        </w:rPr>
        <w:t> </w:t>
      </w:r>
      <w:r w:rsidR="00F93569">
        <w:rPr>
          <w:b w:val="0"/>
          <w:bCs w:val="0"/>
          <w:sz w:val="22"/>
          <w:szCs w:val="22"/>
        </w:rPr>
        <w:t>789</w:t>
      </w:r>
      <w:r w:rsidR="00B227B0">
        <w:rPr>
          <w:b w:val="0"/>
          <w:bCs w:val="0"/>
          <w:sz w:val="22"/>
          <w:szCs w:val="22"/>
        </w:rPr>
        <w:t> </w:t>
      </w:r>
      <w:r w:rsidR="00F93569" w:rsidRPr="00BD37E3">
        <w:rPr>
          <w:b w:val="0"/>
          <w:sz w:val="22"/>
          <w:szCs w:val="22"/>
        </w:rPr>
        <w:t>87</w:t>
      </w:r>
      <w:r w:rsidR="00ED44BB">
        <w:rPr>
          <w:b w:val="0"/>
          <w:sz w:val="22"/>
          <w:szCs w:val="22"/>
        </w:rPr>
        <w:t>4</w:t>
      </w:r>
      <w:r w:rsidRPr="00907622">
        <w:rPr>
          <w:b w:val="0"/>
          <w:bCs w:val="0"/>
          <w:sz w:val="22"/>
          <w:szCs w:val="22"/>
        </w:rPr>
        <w:t> tis. eur</w:t>
      </w:r>
      <w:r w:rsidRPr="00907622">
        <w:rPr>
          <w:b w:val="0"/>
          <w:bCs w:val="0"/>
          <w:sz w:val="22"/>
          <w:szCs w:val="22"/>
        </w:rPr>
        <w:br/>
        <w:t>(202</w:t>
      </w:r>
      <w:r w:rsidR="00F93569">
        <w:rPr>
          <w:b w:val="0"/>
          <w:bCs w:val="0"/>
          <w:sz w:val="22"/>
          <w:szCs w:val="22"/>
        </w:rPr>
        <w:t>3</w:t>
      </w:r>
      <w:r w:rsidRPr="00907622">
        <w:rPr>
          <w:b w:val="0"/>
          <w:bCs w:val="0"/>
          <w:sz w:val="22"/>
          <w:szCs w:val="22"/>
        </w:rPr>
        <w:t xml:space="preserve">: </w:t>
      </w:r>
      <w:r w:rsidR="00F93569">
        <w:rPr>
          <w:b w:val="0"/>
          <w:bCs w:val="0"/>
          <w:sz w:val="22"/>
          <w:szCs w:val="22"/>
        </w:rPr>
        <w:t>60 836</w:t>
      </w:r>
      <w:r w:rsidR="00363CA3">
        <w:rPr>
          <w:b w:val="0"/>
          <w:sz w:val="22"/>
          <w:szCs w:val="22"/>
        </w:rPr>
        <w:t> </w:t>
      </w:r>
      <w:r w:rsidR="00F93569">
        <w:rPr>
          <w:b w:val="0"/>
          <w:bCs w:val="0"/>
          <w:sz w:val="22"/>
          <w:szCs w:val="22"/>
        </w:rPr>
        <w:t>619</w:t>
      </w:r>
      <w:r w:rsidRPr="00907622">
        <w:rPr>
          <w:b w:val="0"/>
          <w:bCs w:val="0"/>
          <w:sz w:val="22"/>
          <w:szCs w:val="22"/>
        </w:rPr>
        <w:t xml:space="preserve"> tis. eur). </w:t>
      </w:r>
    </w:p>
    <w:p w14:paraId="3EC3C6C4" w14:textId="0B468C6D" w:rsidR="00647542" w:rsidRPr="00907622" w:rsidRDefault="00647542" w:rsidP="000C189C">
      <w:pPr>
        <w:pStyle w:val="Pismenka"/>
        <w:tabs>
          <w:tab w:val="clear" w:pos="426"/>
        </w:tabs>
        <w:spacing w:after="120"/>
        <w:ind w:left="0" w:firstLine="0"/>
        <w:rPr>
          <w:b w:val="0"/>
          <w:bCs w:val="0"/>
          <w:sz w:val="22"/>
          <w:szCs w:val="22"/>
        </w:rPr>
      </w:pPr>
      <w:r w:rsidRPr="00907622">
        <w:rPr>
          <w:b w:val="0"/>
          <w:bCs w:val="0"/>
          <w:sz w:val="22"/>
          <w:szCs w:val="22"/>
        </w:rPr>
        <w:t xml:space="preserve">Druhú najväčšou položku v rámci skupiny B. pasív predstavujú </w:t>
      </w:r>
      <w:r w:rsidRPr="00907622">
        <w:rPr>
          <w:b w:val="0"/>
          <w:bCs w:val="0"/>
          <w:sz w:val="22"/>
          <w:szCs w:val="22"/>
          <w:u w:val="single"/>
        </w:rPr>
        <w:t>účtovné rezervy</w:t>
      </w:r>
      <w:r w:rsidRPr="00907622">
        <w:rPr>
          <w:b w:val="0"/>
          <w:bCs w:val="0"/>
          <w:sz w:val="22"/>
          <w:szCs w:val="22"/>
        </w:rPr>
        <w:t xml:space="preserve"> v hodnote </w:t>
      </w:r>
      <w:r w:rsidR="00493BAF">
        <w:rPr>
          <w:b w:val="0"/>
          <w:bCs w:val="0"/>
          <w:sz w:val="22"/>
          <w:szCs w:val="22"/>
        </w:rPr>
        <w:br/>
      </w:r>
      <w:r w:rsidR="00B35C86">
        <w:rPr>
          <w:b w:val="0"/>
          <w:bCs w:val="0"/>
          <w:sz w:val="22"/>
          <w:szCs w:val="22"/>
        </w:rPr>
        <w:t>27 003 311</w:t>
      </w:r>
      <w:r w:rsidR="00363CA3">
        <w:rPr>
          <w:b w:val="0"/>
          <w:sz w:val="22"/>
          <w:szCs w:val="22"/>
        </w:rPr>
        <w:t> </w:t>
      </w:r>
      <w:r w:rsidRPr="00907622">
        <w:rPr>
          <w:b w:val="0"/>
          <w:bCs w:val="0"/>
          <w:sz w:val="22"/>
          <w:szCs w:val="22"/>
        </w:rPr>
        <w:t xml:space="preserve">tis. eur, čo predstavuje medziročný kumulatívny úbytok </w:t>
      </w:r>
      <w:r w:rsidR="00015294">
        <w:rPr>
          <w:b w:val="0"/>
          <w:bCs w:val="0"/>
          <w:sz w:val="22"/>
          <w:szCs w:val="22"/>
        </w:rPr>
        <w:t>650</w:t>
      </w:r>
      <w:r w:rsidR="00B227B0">
        <w:rPr>
          <w:b w:val="0"/>
          <w:bCs w:val="0"/>
          <w:sz w:val="22"/>
          <w:szCs w:val="22"/>
        </w:rPr>
        <w:t> </w:t>
      </w:r>
      <w:r w:rsidR="00015294">
        <w:rPr>
          <w:b w:val="0"/>
          <w:bCs w:val="0"/>
          <w:sz w:val="22"/>
          <w:szCs w:val="22"/>
        </w:rPr>
        <w:t>158</w:t>
      </w:r>
      <w:r w:rsidRPr="00907622">
        <w:rPr>
          <w:b w:val="0"/>
          <w:bCs w:val="0"/>
          <w:sz w:val="22"/>
          <w:szCs w:val="22"/>
        </w:rPr>
        <w:t> tis. eur.</w:t>
      </w:r>
    </w:p>
    <w:p w14:paraId="77AD1116" w14:textId="12D413EB" w:rsidR="00647542" w:rsidRPr="00907622" w:rsidRDefault="00647542" w:rsidP="000C189C">
      <w:pPr>
        <w:pStyle w:val="Pismenka"/>
        <w:tabs>
          <w:tab w:val="clear" w:pos="426"/>
        </w:tabs>
        <w:spacing w:after="120"/>
        <w:ind w:left="0" w:firstLine="0"/>
        <w:rPr>
          <w:b w:val="0"/>
          <w:bCs w:val="0"/>
          <w:sz w:val="22"/>
          <w:szCs w:val="22"/>
          <w:highlight w:val="yellow"/>
        </w:rPr>
      </w:pPr>
      <w:r w:rsidRPr="00907622">
        <w:rPr>
          <w:b w:val="0"/>
          <w:bCs w:val="0"/>
          <w:sz w:val="22"/>
          <w:szCs w:val="22"/>
          <w:u w:val="single"/>
        </w:rPr>
        <w:t>Bankové úvery</w:t>
      </w:r>
      <w:r w:rsidRPr="00907622">
        <w:rPr>
          <w:b w:val="0"/>
          <w:bCs w:val="0"/>
          <w:sz w:val="22"/>
          <w:szCs w:val="22"/>
        </w:rPr>
        <w:t xml:space="preserve"> dosiahli </w:t>
      </w:r>
      <w:r w:rsidR="00C61938">
        <w:rPr>
          <w:b w:val="0"/>
          <w:bCs w:val="0"/>
          <w:sz w:val="22"/>
          <w:szCs w:val="22"/>
        </w:rPr>
        <w:t>hodnotu 6</w:t>
      </w:r>
      <w:r w:rsidR="00B227B0">
        <w:rPr>
          <w:b w:val="0"/>
          <w:bCs w:val="0"/>
          <w:sz w:val="22"/>
          <w:szCs w:val="22"/>
        </w:rPr>
        <w:t> </w:t>
      </w:r>
      <w:r w:rsidR="00C61938">
        <w:rPr>
          <w:b w:val="0"/>
          <w:bCs w:val="0"/>
          <w:sz w:val="22"/>
          <w:szCs w:val="22"/>
        </w:rPr>
        <w:t>723</w:t>
      </w:r>
      <w:r w:rsidR="00B227B0">
        <w:rPr>
          <w:b w:val="0"/>
          <w:bCs w:val="0"/>
          <w:sz w:val="22"/>
          <w:szCs w:val="22"/>
        </w:rPr>
        <w:t> </w:t>
      </w:r>
      <w:r w:rsidR="00C61938">
        <w:rPr>
          <w:b w:val="0"/>
          <w:bCs w:val="0"/>
          <w:sz w:val="22"/>
          <w:szCs w:val="22"/>
        </w:rPr>
        <w:t>728</w:t>
      </w:r>
      <w:r w:rsidRPr="00907622">
        <w:rPr>
          <w:b w:val="0"/>
          <w:bCs w:val="0"/>
          <w:sz w:val="22"/>
          <w:szCs w:val="22"/>
        </w:rPr>
        <w:t xml:space="preserve"> tis. eur (v tom dlhodobé </w:t>
      </w:r>
      <w:r w:rsidR="00800283">
        <w:rPr>
          <w:b w:val="0"/>
          <w:bCs w:val="0"/>
          <w:sz w:val="22"/>
          <w:szCs w:val="22"/>
        </w:rPr>
        <w:t>5</w:t>
      </w:r>
      <w:r w:rsidR="00B227B0">
        <w:rPr>
          <w:b w:val="0"/>
          <w:bCs w:val="0"/>
          <w:sz w:val="22"/>
          <w:szCs w:val="22"/>
        </w:rPr>
        <w:t> </w:t>
      </w:r>
      <w:r w:rsidR="00800283">
        <w:rPr>
          <w:b w:val="0"/>
          <w:bCs w:val="0"/>
          <w:sz w:val="22"/>
          <w:szCs w:val="22"/>
        </w:rPr>
        <w:t>432</w:t>
      </w:r>
      <w:r w:rsidR="00B227B0">
        <w:rPr>
          <w:b w:val="0"/>
          <w:bCs w:val="0"/>
          <w:sz w:val="22"/>
          <w:szCs w:val="22"/>
        </w:rPr>
        <w:t> </w:t>
      </w:r>
      <w:r w:rsidR="00800283">
        <w:rPr>
          <w:b w:val="0"/>
          <w:bCs w:val="0"/>
          <w:sz w:val="22"/>
          <w:szCs w:val="22"/>
        </w:rPr>
        <w:t>748</w:t>
      </w:r>
      <w:r w:rsidRPr="00907622">
        <w:rPr>
          <w:b w:val="0"/>
          <w:bCs w:val="0"/>
          <w:sz w:val="22"/>
          <w:szCs w:val="22"/>
        </w:rPr>
        <w:t xml:space="preserve"> tis. eur a krátkodobé </w:t>
      </w:r>
      <w:r w:rsidR="00E76043">
        <w:rPr>
          <w:b w:val="0"/>
          <w:bCs w:val="0"/>
          <w:sz w:val="22"/>
          <w:szCs w:val="22"/>
        </w:rPr>
        <w:t>1 290</w:t>
      </w:r>
      <w:r w:rsidR="00363CA3">
        <w:rPr>
          <w:b w:val="0"/>
          <w:sz w:val="22"/>
          <w:szCs w:val="22"/>
        </w:rPr>
        <w:t> </w:t>
      </w:r>
      <w:r w:rsidR="00E76043">
        <w:rPr>
          <w:b w:val="0"/>
          <w:bCs w:val="0"/>
          <w:sz w:val="22"/>
          <w:szCs w:val="22"/>
        </w:rPr>
        <w:t>980</w:t>
      </w:r>
      <w:r w:rsidRPr="00907622">
        <w:rPr>
          <w:b w:val="0"/>
          <w:bCs w:val="0"/>
          <w:sz w:val="22"/>
          <w:szCs w:val="22"/>
        </w:rPr>
        <w:t xml:space="preserve"> tis. eur), medziročne boli </w:t>
      </w:r>
      <w:r w:rsidR="008B18B4">
        <w:rPr>
          <w:b w:val="0"/>
          <w:bCs w:val="0"/>
          <w:sz w:val="22"/>
          <w:szCs w:val="22"/>
        </w:rPr>
        <w:t>nižšie</w:t>
      </w:r>
      <w:r w:rsidRPr="00907622">
        <w:rPr>
          <w:b w:val="0"/>
          <w:bCs w:val="0"/>
          <w:sz w:val="22"/>
          <w:szCs w:val="22"/>
        </w:rPr>
        <w:t xml:space="preserve"> o</w:t>
      </w:r>
      <w:r w:rsidR="00B227B0">
        <w:rPr>
          <w:b w:val="0"/>
          <w:bCs w:val="0"/>
          <w:sz w:val="22"/>
          <w:szCs w:val="22"/>
        </w:rPr>
        <w:t> </w:t>
      </w:r>
      <w:r w:rsidR="007836BB">
        <w:rPr>
          <w:b w:val="0"/>
          <w:bCs w:val="0"/>
          <w:sz w:val="22"/>
          <w:szCs w:val="22"/>
        </w:rPr>
        <w:t>213</w:t>
      </w:r>
      <w:r w:rsidR="00B227B0">
        <w:rPr>
          <w:b w:val="0"/>
          <w:bCs w:val="0"/>
          <w:sz w:val="22"/>
          <w:szCs w:val="22"/>
        </w:rPr>
        <w:t> </w:t>
      </w:r>
      <w:r w:rsidR="007836BB">
        <w:rPr>
          <w:b w:val="0"/>
          <w:bCs w:val="0"/>
          <w:sz w:val="22"/>
          <w:szCs w:val="22"/>
        </w:rPr>
        <w:t>844</w:t>
      </w:r>
      <w:r w:rsidRPr="00907622">
        <w:rPr>
          <w:b w:val="0"/>
          <w:bCs w:val="0"/>
          <w:sz w:val="22"/>
          <w:szCs w:val="22"/>
        </w:rPr>
        <w:t> tis. eur.</w:t>
      </w:r>
    </w:p>
    <w:p w14:paraId="4575688F" w14:textId="7CA05205" w:rsidR="00647542" w:rsidRDefault="00647542" w:rsidP="0085799C">
      <w:pPr>
        <w:pStyle w:val="Pismenka"/>
        <w:tabs>
          <w:tab w:val="clear" w:pos="426"/>
        </w:tabs>
        <w:spacing w:after="120"/>
        <w:ind w:left="0" w:firstLine="0"/>
        <w:rPr>
          <w:b w:val="0"/>
          <w:sz w:val="22"/>
          <w:szCs w:val="22"/>
        </w:rPr>
      </w:pPr>
      <w:r w:rsidRPr="00907622">
        <w:rPr>
          <w:b w:val="0"/>
          <w:bCs w:val="0"/>
          <w:sz w:val="22"/>
          <w:szCs w:val="22"/>
          <w:u w:val="single"/>
        </w:rPr>
        <w:t>Z ostatných záväzkov</w:t>
      </w:r>
      <w:r w:rsidRPr="00907622">
        <w:rPr>
          <w:b w:val="0"/>
          <w:bCs w:val="0"/>
          <w:sz w:val="22"/>
          <w:szCs w:val="22"/>
        </w:rPr>
        <w:t xml:space="preserve"> sú významné záväzky zo zúčtovania s Európskou úniou (</w:t>
      </w:r>
      <w:r w:rsidR="005B10C9">
        <w:rPr>
          <w:b w:val="0"/>
          <w:bCs w:val="0"/>
          <w:sz w:val="22"/>
          <w:szCs w:val="22"/>
        </w:rPr>
        <w:t>3</w:t>
      </w:r>
      <w:r w:rsidR="00B227B0">
        <w:rPr>
          <w:b w:val="0"/>
          <w:bCs w:val="0"/>
          <w:sz w:val="22"/>
          <w:szCs w:val="22"/>
        </w:rPr>
        <w:t> </w:t>
      </w:r>
      <w:r w:rsidR="005B10C9">
        <w:rPr>
          <w:b w:val="0"/>
          <w:bCs w:val="0"/>
          <w:sz w:val="22"/>
          <w:szCs w:val="22"/>
        </w:rPr>
        <w:t>317</w:t>
      </w:r>
      <w:r w:rsidR="00B227B0">
        <w:rPr>
          <w:b w:val="0"/>
          <w:bCs w:val="0"/>
          <w:sz w:val="22"/>
          <w:szCs w:val="22"/>
        </w:rPr>
        <w:t> </w:t>
      </w:r>
      <w:r w:rsidR="005B10C9">
        <w:rPr>
          <w:b w:val="0"/>
          <w:bCs w:val="0"/>
          <w:sz w:val="22"/>
          <w:szCs w:val="22"/>
        </w:rPr>
        <w:t>473</w:t>
      </w:r>
      <w:r w:rsidRPr="00907622">
        <w:rPr>
          <w:b w:val="0"/>
          <w:bCs w:val="0"/>
          <w:sz w:val="22"/>
          <w:szCs w:val="22"/>
        </w:rPr>
        <w:t> tis. eur), záväzky voči dodávateľom s krátkodobou dobou splatnosti (</w:t>
      </w:r>
      <w:r w:rsidR="00052F11">
        <w:rPr>
          <w:b w:val="0"/>
          <w:bCs w:val="0"/>
          <w:sz w:val="22"/>
          <w:szCs w:val="22"/>
        </w:rPr>
        <w:t>1 955</w:t>
      </w:r>
      <w:r w:rsidR="00363CA3">
        <w:rPr>
          <w:b w:val="0"/>
          <w:sz w:val="22"/>
          <w:szCs w:val="22"/>
        </w:rPr>
        <w:t> </w:t>
      </w:r>
      <w:r w:rsidR="00052F11">
        <w:rPr>
          <w:b w:val="0"/>
          <w:bCs w:val="0"/>
          <w:sz w:val="22"/>
          <w:szCs w:val="22"/>
        </w:rPr>
        <w:t>710</w:t>
      </w:r>
      <w:r w:rsidRPr="00907622">
        <w:rPr>
          <w:b w:val="0"/>
          <w:bCs w:val="0"/>
          <w:sz w:val="22"/>
          <w:szCs w:val="22"/>
        </w:rPr>
        <w:t> tis. eur), záväzky Ministerstva financií SR (</w:t>
      </w:r>
      <w:r w:rsidRPr="00005B38">
        <w:rPr>
          <w:b w:val="0"/>
          <w:sz w:val="22"/>
          <w:szCs w:val="22"/>
        </w:rPr>
        <w:t>1</w:t>
      </w:r>
      <w:r w:rsidR="009E4A68" w:rsidRPr="00005B38">
        <w:rPr>
          <w:b w:val="0"/>
          <w:sz w:val="22"/>
          <w:szCs w:val="22"/>
        </w:rPr>
        <w:t> 846</w:t>
      </w:r>
      <w:r w:rsidR="00363CA3">
        <w:rPr>
          <w:b w:val="0"/>
          <w:sz w:val="22"/>
          <w:szCs w:val="22"/>
        </w:rPr>
        <w:t> </w:t>
      </w:r>
      <w:r w:rsidR="009E4A68" w:rsidRPr="00005B38">
        <w:rPr>
          <w:b w:val="0"/>
          <w:sz w:val="22"/>
          <w:szCs w:val="22"/>
        </w:rPr>
        <w:t>157</w:t>
      </w:r>
      <w:r w:rsidRPr="00907622">
        <w:rPr>
          <w:b w:val="0"/>
          <w:bCs w:val="0"/>
          <w:sz w:val="22"/>
          <w:szCs w:val="22"/>
        </w:rPr>
        <w:t> tis. eur) zo správy daní (najmä z nadmerných odpočtov, úhrad na základe predbežných opatrení), záväzky zo zúčtovania medzi subjektami verejnej správy (</w:t>
      </w:r>
      <w:r w:rsidR="00182A15">
        <w:rPr>
          <w:b w:val="0"/>
          <w:bCs w:val="0"/>
          <w:sz w:val="22"/>
          <w:szCs w:val="22"/>
        </w:rPr>
        <w:t>621</w:t>
      </w:r>
      <w:r w:rsidR="00B227B0">
        <w:rPr>
          <w:b w:val="0"/>
          <w:bCs w:val="0"/>
          <w:sz w:val="22"/>
          <w:szCs w:val="22"/>
        </w:rPr>
        <w:t> </w:t>
      </w:r>
      <w:r w:rsidR="00182A15">
        <w:rPr>
          <w:b w:val="0"/>
          <w:bCs w:val="0"/>
          <w:sz w:val="22"/>
          <w:szCs w:val="22"/>
        </w:rPr>
        <w:t>881</w:t>
      </w:r>
      <w:r w:rsidRPr="00907622">
        <w:rPr>
          <w:b w:val="0"/>
          <w:bCs w:val="0"/>
          <w:sz w:val="22"/>
          <w:szCs w:val="22"/>
        </w:rPr>
        <w:t> tis. eur),  záväzky voči zamestnancom (</w:t>
      </w:r>
      <w:r w:rsidR="00A27B4D">
        <w:rPr>
          <w:b w:val="0"/>
          <w:bCs w:val="0"/>
          <w:sz w:val="22"/>
          <w:szCs w:val="22"/>
        </w:rPr>
        <w:t>673</w:t>
      </w:r>
      <w:r w:rsidR="00363CA3">
        <w:rPr>
          <w:b w:val="0"/>
          <w:sz w:val="22"/>
          <w:szCs w:val="22"/>
        </w:rPr>
        <w:t> </w:t>
      </w:r>
      <w:r w:rsidR="00A27B4D">
        <w:rPr>
          <w:b w:val="0"/>
          <w:bCs w:val="0"/>
          <w:sz w:val="22"/>
          <w:szCs w:val="22"/>
        </w:rPr>
        <w:t>336</w:t>
      </w:r>
      <w:r w:rsidRPr="00907622">
        <w:rPr>
          <w:b w:val="0"/>
          <w:bCs w:val="0"/>
          <w:sz w:val="22"/>
          <w:szCs w:val="22"/>
        </w:rPr>
        <w:t> tis. eur), prijaté preddavky (</w:t>
      </w:r>
      <w:r w:rsidR="003A5241">
        <w:rPr>
          <w:b w:val="0"/>
          <w:bCs w:val="0"/>
          <w:sz w:val="22"/>
          <w:szCs w:val="22"/>
        </w:rPr>
        <w:t>260</w:t>
      </w:r>
      <w:r w:rsidR="00363CA3">
        <w:rPr>
          <w:b w:val="0"/>
          <w:sz w:val="22"/>
          <w:szCs w:val="22"/>
        </w:rPr>
        <w:t> </w:t>
      </w:r>
      <w:r w:rsidR="003A5241">
        <w:rPr>
          <w:b w:val="0"/>
          <w:bCs w:val="0"/>
          <w:sz w:val="22"/>
          <w:szCs w:val="22"/>
        </w:rPr>
        <w:t>988</w:t>
      </w:r>
      <w:r w:rsidRPr="00907622">
        <w:rPr>
          <w:b w:val="0"/>
          <w:bCs w:val="0"/>
          <w:sz w:val="22"/>
          <w:szCs w:val="22"/>
        </w:rPr>
        <w:t> tis. eur).</w:t>
      </w:r>
    </w:p>
    <w:p w14:paraId="573CB7FE" w14:textId="77777777" w:rsidR="00F837D4" w:rsidRPr="0085799C" w:rsidRDefault="00F837D4" w:rsidP="000C189C">
      <w:pPr>
        <w:pStyle w:val="Pismenka"/>
        <w:tabs>
          <w:tab w:val="clear" w:pos="426"/>
        </w:tabs>
        <w:spacing w:after="120"/>
        <w:ind w:left="0" w:firstLine="0"/>
        <w:rPr>
          <w:b w:val="0"/>
          <w:sz w:val="22"/>
          <w:szCs w:val="22"/>
        </w:rPr>
      </w:pPr>
    </w:p>
    <w:p w14:paraId="4439219F" w14:textId="77777777" w:rsidR="00647542" w:rsidRPr="00265F07" w:rsidRDefault="00647542" w:rsidP="0085799C">
      <w:pPr>
        <w:pStyle w:val="Nadpis3"/>
      </w:pPr>
      <w:r w:rsidRPr="00265F07">
        <w:t>B.I. Dlhodobé záväzky</w:t>
      </w:r>
    </w:p>
    <w:p w14:paraId="16456F03" w14:textId="34B679BD" w:rsidR="0074306A" w:rsidRDefault="00647542" w:rsidP="00D46DFF">
      <w:pPr>
        <w:pStyle w:val="Pismenka"/>
        <w:tabs>
          <w:tab w:val="clear" w:pos="426"/>
        </w:tabs>
        <w:spacing w:after="120"/>
        <w:ind w:left="0" w:firstLine="0"/>
        <w:rPr>
          <w:b w:val="0"/>
          <w:sz w:val="22"/>
          <w:szCs w:val="22"/>
        </w:rPr>
      </w:pPr>
      <w:r w:rsidRPr="00907622">
        <w:rPr>
          <w:b w:val="0"/>
          <w:bCs w:val="0"/>
          <w:sz w:val="22"/>
          <w:szCs w:val="22"/>
        </w:rPr>
        <w:t xml:space="preserve">Dlhodobé záväzky súhrnného celku dosiahli hodnotu </w:t>
      </w:r>
      <w:r w:rsidR="0039490F">
        <w:rPr>
          <w:b w:val="0"/>
          <w:bCs w:val="0"/>
          <w:sz w:val="22"/>
          <w:szCs w:val="22"/>
        </w:rPr>
        <w:t>71</w:t>
      </w:r>
      <w:r w:rsidR="00D46DFF">
        <w:rPr>
          <w:b w:val="0"/>
          <w:bCs w:val="0"/>
          <w:sz w:val="22"/>
          <w:szCs w:val="22"/>
        </w:rPr>
        <w:t> </w:t>
      </w:r>
      <w:r w:rsidR="0039490F">
        <w:rPr>
          <w:b w:val="0"/>
          <w:bCs w:val="0"/>
          <w:sz w:val="22"/>
          <w:szCs w:val="22"/>
        </w:rPr>
        <w:t>150</w:t>
      </w:r>
      <w:r w:rsidR="00D46DFF">
        <w:rPr>
          <w:b w:val="0"/>
          <w:bCs w:val="0"/>
          <w:sz w:val="22"/>
          <w:szCs w:val="22"/>
        </w:rPr>
        <w:t> </w:t>
      </w:r>
      <w:r w:rsidR="0039490F">
        <w:rPr>
          <w:b w:val="0"/>
          <w:bCs w:val="0"/>
          <w:sz w:val="22"/>
          <w:szCs w:val="22"/>
        </w:rPr>
        <w:t>459</w:t>
      </w:r>
      <w:r w:rsidRPr="00907622">
        <w:rPr>
          <w:b w:val="0"/>
          <w:bCs w:val="0"/>
          <w:sz w:val="22"/>
          <w:szCs w:val="22"/>
        </w:rPr>
        <w:t> tis. eur a medziročne sa zvýšili</w:t>
      </w:r>
      <w:r w:rsidR="0039490F">
        <w:rPr>
          <w:b w:val="0"/>
          <w:bCs w:val="0"/>
          <w:sz w:val="22"/>
          <w:szCs w:val="22"/>
        </w:rPr>
        <w:br/>
      </w:r>
      <w:r w:rsidRPr="00907622">
        <w:rPr>
          <w:b w:val="0"/>
          <w:bCs w:val="0"/>
          <w:sz w:val="22"/>
          <w:szCs w:val="22"/>
        </w:rPr>
        <w:t>o</w:t>
      </w:r>
      <w:r w:rsidR="0039490F">
        <w:rPr>
          <w:b w:val="0"/>
          <w:bCs w:val="0"/>
          <w:sz w:val="22"/>
          <w:szCs w:val="22"/>
        </w:rPr>
        <w:t> 8</w:t>
      </w:r>
      <w:r w:rsidR="00D46DFF">
        <w:rPr>
          <w:b w:val="0"/>
          <w:bCs w:val="0"/>
          <w:sz w:val="22"/>
          <w:szCs w:val="22"/>
        </w:rPr>
        <w:t> </w:t>
      </w:r>
      <w:r w:rsidR="0039490F">
        <w:rPr>
          <w:b w:val="0"/>
          <w:bCs w:val="0"/>
          <w:sz w:val="22"/>
          <w:szCs w:val="22"/>
        </w:rPr>
        <w:t>453</w:t>
      </w:r>
      <w:r w:rsidR="00D46DFF">
        <w:rPr>
          <w:b w:val="0"/>
          <w:bCs w:val="0"/>
          <w:sz w:val="22"/>
          <w:szCs w:val="22"/>
        </w:rPr>
        <w:t> </w:t>
      </w:r>
      <w:r w:rsidR="0039490F">
        <w:rPr>
          <w:b w:val="0"/>
          <w:bCs w:val="0"/>
          <w:sz w:val="22"/>
          <w:szCs w:val="22"/>
        </w:rPr>
        <w:t>788</w:t>
      </w:r>
      <w:r w:rsidRPr="00907622">
        <w:rPr>
          <w:b w:val="0"/>
          <w:bCs w:val="0"/>
          <w:sz w:val="22"/>
          <w:szCs w:val="22"/>
        </w:rPr>
        <w:t> tis. eur.</w:t>
      </w:r>
    </w:p>
    <w:p w14:paraId="71CE0F50" w14:textId="77777777" w:rsidR="0074306A" w:rsidRDefault="0074306A" w:rsidP="00D46DFF">
      <w:pPr>
        <w:pStyle w:val="Pismenka"/>
        <w:tabs>
          <w:tab w:val="clear" w:pos="426"/>
        </w:tabs>
        <w:spacing w:after="120"/>
        <w:ind w:left="0" w:firstLine="0"/>
        <w:rPr>
          <w:b w:val="0"/>
          <w:sz w:val="22"/>
          <w:szCs w:val="22"/>
        </w:rPr>
      </w:pPr>
    </w:p>
    <w:p w14:paraId="533A1925" w14:textId="7ACACDA7" w:rsidR="0074306A" w:rsidRDefault="00CB3FCC" w:rsidP="009F2AF6">
      <w:pPr>
        <w:pStyle w:val="Nadpis4"/>
        <w:numPr>
          <w:ilvl w:val="0"/>
          <w:numId w:val="54"/>
        </w:numPr>
        <w:ind w:left="426" w:hanging="426"/>
      </w:pPr>
      <w:bookmarkStart w:id="40" w:name="_Štátne_dlhopisy"/>
      <w:bookmarkEnd w:id="40"/>
      <w:r>
        <w:t>Štátne dlhopisy</w:t>
      </w:r>
    </w:p>
    <w:p w14:paraId="4C10EACE" w14:textId="3815274E" w:rsidR="00647542" w:rsidRDefault="00647542" w:rsidP="00D46DFF">
      <w:pPr>
        <w:pStyle w:val="Pismenka"/>
        <w:tabs>
          <w:tab w:val="clear" w:pos="426"/>
        </w:tabs>
        <w:spacing w:after="120"/>
        <w:ind w:left="0" w:firstLine="0"/>
        <w:rPr>
          <w:b w:val="0"/>
          <w:bCs w:val="0"/>
          <w:sz w:val="22"/>
          <w:szCs w:val="22"/>
        </w:rPr>
      </w:pPr>
      <w:r w:rsidRPr="0085799C">
        <w:rPr>
          <w:b w:val="0"/>
          <w:sz w:val="22"/>
          <w:szCs w:val="22"/>
        </w:rPr>
        <w:t>Štátom</w:t>
      </w:r>
      <w:r w:rsidRPr="00D46DFF">
        <w:rPr>
          <w:b w:val="0"/>
          <w:bCs w:val="0"/>
          <w:i/>
          <w:sz w:val="22"/>
          <w:szCs w:val="22"/>
          <w:u w:val="single"/>
        </w:rPr>
        <w:t xml:space="preserve"> emitované dlhodobé dlhopisy</w:t>
      </w:r>
      <w:r w:rsidRPr="00D46DFF">
        <w:rPr>
          <w:b w:val="0"/>
          <w:bCs w:val="0"/>
          <w:sz w:val="22"/>
          <w:szCs w:val="22"/>
        </w:rPr>
        <w:t xml:space="preserve"> dosiahli konsolidovanú hodnotu </w:t>
      </w:r>
      <w:r w:rsidR="004C21C7" w:rsidRPr="00D46DFF">
        <w:rPr>
          <w:b w:val="0"/>
          <w:bCs w:val="0"/>
          <w:sz w:val="22"/>
          <w:szCs w:val="22"/>
        </w:rPr>
        <w:t>62</w:t>
      </w:r>
      <w:r w:rsidR="00D46DFF">
        <w:rPr>
          <w:b w:val="0"/>
          <w:bCs w:val="0"/>
          <w:sz w:val="22"/>
          <w:szCs w:val="22"/>
        </w:rPr>
        <w:t> </w:t>
      </w:r>
      <w:r w:rsidR="004C21C7" w:rsidRPr="00D46DFF">
        <w:rPr>
          <w:b w:val="0"/>
          <w:bCs w:val="0"/>
          <w:sz w:val="22"/>
          <w:szCs w:val="22"/>
        </w:rPr>
        <w:t>989</w:t>
      </w:r>
      <w:r w:rsidR="00D46DFF">
        <w:rPr>
          <w:b w:val="0"/>
          <w:bCs w:val="0"/>
          <w:sz w:val="22"/>
          <w:szCs w:val="22"/>
        </w:rPr>
        <w:t> </w:t>
      </w:r>
      <w:r w:rsidR="004C21C7" w:rsidRPr="00D46DFF">
        <w:rPr>
          <w:b w:val="0"/>
          <w:bCs w:val="0"/>
          <w:sz w:val="22"/>
          <w:szCs w:val="22"/>
        </w:rPr>
        <w:t>158</w:t>
      </w:r>
      <w:r w:rsidRPr="00D46DFF">
        <w:rPr>
          <w:b w:val="0"/>
          <w:bCs w:val="0"/>
          <w:sz w:val="22"/>
          <w:szCs w:val="22"/>
        </w:rPr>
        <w:t> tis. eur, čo je</w:t>
      </w:r>
      <w:r w:rsidR="00D46DFF">
        <w:rPr>
          <w:b w:val="0"/>
          <w:bCs w:val="0"/>
          <w:sz w:val="22"/>
          <w:szCs w:val="22"/>
        </w:rPr>
        <w:t xml:space="preserve"> </w:t>
      </w:r>
      <w:r w:rsidRPr="00D46DFF">
        <w:rPr>
          <w:b w:val="0"/>
          <w:bCs w:val="0"/>
          <w:sz w:val="22"/>
          <w:szCs w:val="22"/>
        </w:rPr>
        <w:t>o</w:t>
      </w:r>
      <w:r w:rsidR="009475AE" w:rsidRPr="00D46DFF">
        <w:rPr>
          <w:b w:val="0"/>
          <w:bCs w:val="0"/>
          <w:sz w:val="22"/>
          <w:szCs w:val="22"/>
        </w:rPr>
        <w:t> 7 453</w:t>
      </w:r>
      <w:r w:rsidR="00D46DFF">
        <w:rPr>
          <w:b w:val="0"/>
          <w:bCs w:val="0"/>
          <w:sz w:val="22"/>
          <w:szCs w:val="22"/>
        </w:rPr>
        <w:t> </w:t>
      </w:r>
      <w:r w:rsidR="009475AE" w:rsidRPr="00D46DFF">
        <w:rPr>
          <w:b w:val="0"/>
          <w:bCs w:val="0"/>
          <w:sz w:val="22"/>
          <w:szCs w:val="22"/>
        </w:rPr>
        <w:t>836</w:t>
      </w:r>
      <w:r w:rsidRPr="00D46DFF">
        <w:rPr>
          <w:b w:val="0"/>
          <w:bCs w:val="0"/>
          <w:sz w:val="22"/>
          <w:szCs w:val="22"/>
        </w:rPr>
        <w:t xml:space="preserve"> tis. eur viac ako </w:t>
      </w:r>
      <w:r w:rsidR="00E16525" w:rsidRPr="00D46DFF">
        <w:rPr>
          <w:b w:val="0"/>
          <w:bCs w:val="0"/>
          <w:sz w:val="22"/>
          <w:szCs w:val="22"/>
        </w:rPr>
        <w:t>v</w:t>
      </w:r>
      <w:r w:rsidR="00363CA3" w:rsidRPr="005E2942">
        <w:rPr>
          <w:b w:val="0"/>
          <w:bCs w:val="0"/>
          <w:sz w:val="22"/>
          <w:szCs w:val="22"/>
        </w:rPr>
        <w:t> </w:t>
      </w:r>
      <w:r w:rsidRPr="00D46DFF">
        <w:rPr>
          <w:b w:val="0"/>
          <w:bCs w:val="0"/>
          <w:sz w:val="22"/>
          <w:szCs w:val="22"/>
        </w:rPr>
        <w:t>rok</w:t>
      </w:r>
      <w:r w:rsidR="00E16525" w:rsidRPr="00D46DFF">
        <w:rPr>
          <w:b w:val="0"/>
          <w:bCs w:val="0"/>
          <w:sz w:val="22"/>
          <w:szCs w:val="22"/>
        </w:rPr>
        <w:t>u</w:t>
      </w:r>
      <w:r w:rsidRPr="00D46DFF">
        <w:rPr>
          <w:b w:val="0"/>
          <w:bCs w:val="0"/>
          <w:sz w:val="22"/>
          <w:szCs w:val="22"/>
        </w:rPr>
        <w:t xml:space="preserve"> 202</w:t>
      </w:r>
      <w:r w:rsidR="005A531D" w:rsidRPr="00D46DFF">
        <w:rPr>
          <w:b w:val="0"/>
          <w:bCs w:val="0"/>
          <w:sz w:val="22"/>
          <w:szCs w:val="22"/>
        </w:rPr>
        <w:t>3</w:t>
      </w:r>
      <w:r w:rsidRPr="00D46DFF">
        <w:rPr>
          <w:b w:val="0"/>
          <w:bCs w:val="0"/>
          <w:sz w:val="22"/>
          <w:szCs w:val="22"/>
        </w:rPr>
        <w:t xml:space="preserve">. Emitentom dlhopisov je Slovenská republika zastúpená Ministerstvom financií SR. </w:t>
      </w:r>
      <w:r w:rsidR="005E2942" w:rsidRPr="005E2942">
        <w:rPr>
          <w:b w:val="0"/>
          <w:bCs w:val="0"/>
          <w:sz w:val="22"/>
          <w:szCs w:val="22"/>
        </w:rPr>
        <w:t>Vydávanie dlhopisov, ich predaj a splácanie má v kompetencii Agentúra pre riadenie dlhu a likvidity, v súlade so stratégiou riadenia dlhu schválenou Ministerstvom financií SR. Dlhodobé štátne dlhopisy emitované v tuzemsku boli v celkovej výške 62 989 158 tis. eur a emitované v zahraničí v celkovej výške 700 169 tis. eur (635 000 tis. CHF). Účtovná hodnota emitovaných dlhopisov v roku 2024 bola k 31.12.2024 12 789 600 tis. eur, dlhopisy boli splatné vo výške 4 465 179 tis. eur a spätné odkupy štátnych dlhopisov splatných v roku 2024 boli realizované v nominálnej hodnote 274 281 tis. eur. Na štátny dlh má vplyv najmä výška deficitu štátneho rozpočtu, podmienky na finančných trhoch, efektivita správy štátneho dlhu i ciele vlády SR, pre ktoré je nutné zabezpečiť finančné prostriedky v danom období. Krátkodobá časť štátnych dlhopisov dosiahla hodnotu 6 800 716 tis. eur a popisuje sa v časti B.III. pasív.</w:t>
      </w:r>
    </w:p>
    <w:p w14:paraId="568CAB87" w14:textId="77777777" w:rsidR="00D46DFF" w:rsidRDefault="00D46DFF" w:rsidP="00D46DFF">
      <w:pPr>
        <w:pStyle w:val="Pismenka"/>
        <w:tabs>
          <w:tab w:val="clear" w:pos="426"/>
        </w:tabs>
        <w:spacing w:after="120"/>
        <w:ind w:left="0" w:firstLine="0"/>
        <w:rPr>
          <w:b w:val="0"/>
          <w:bCs w:val="0"/>
          <w:sz w:val="22"/>
          <w:szCs w:val="22"/>
        </w:rPr>
      </w:pPr>
    </w:p>
    <w:p w14:paraId="0D1E7045" w14:textId="77777777" w:rsidR="00D46DFF" w:rsidRDefault="00D46DFF" w:rsidP="00D46DFF">
      <w:pPr>
        <w:pStyle w:val="Pismenka"/>
        <w:tabs>
          <w:tab w:val="clear" w:pos="426"/>
        </w:tabs>
        <w:spacing w:after="120"/>
        <w:ind w:left="0" w:firstLine="0"/>
        <w:rPr>
          <w:b w:val="0"/>
          <w:bCs w:val="0"/>
          <w:sz w:val="22"/>
          <w:szCs w:val="22"/>
        </w:rPr>
      </w:pPr>
    </w:p>
    <w:p w14:paraId="038E3F66" w14:textId="77777777" w:rsidR="00D46DFF" w:rsidRDefault="00D46DFF" w:rsidP="00D46DFF">
      <w:pPr>
        <w:pStyle w:val="Pismenka"/>
        <w:tabs>
          <w:tab w:val="clear" w:pos="426"/>
        </w:tabs>
        <w:spacing w:after="120"/>
        <w:ind w:left="0" w:firstLine="0"/>
        <w:rPr>
          <w:b w:val="0"/>
          <w:bCs w:val="0"/>
          <w:sz w:val="22"/>
          <w:szCs w:val="22"/>
        </w:rPr>
      </w:pPr>
    </w:p>
    <w:p w14:paraId="7E61E1B8" w14:textId="77777777" w:rsidR="00D46DFF" w:rsidRDefault="00D46DFF" w:rsidP="00D46DFF">
      <w:pPr>
        <w:pStyle w:val="Pismenka"/>
        <w:tabs>
          <w:tab w:val="clear" w:pos="426"/>
        </w:tabs>
        <w:spacing w:after="120"/>
        <w:ind w:left="0" w:firstLine="0"/>
        <w:rPr>
          <w:b w:val="0"/>
          <w:bCs w:val="0"/>
          <w:sz w:val="22"/>
          <w:szCs w:val="22"/>
        </w:rPr>
      </w:pPr>
    </w:p>
    <w:p w14:paraId="0D4DFFA7" w14:textId="77777777" w:rsidR="00D46DFF" w:rsidRDefault="00D46DFF" w:rsidP="00D46DFF">
      <w:pPr>
        <w:pStyle w:val="Pismenka"/>
        <w:tabs>
          <w:tab w:val="clear" w:pos="426"/>
        </w:tabs>
        <w:spacing w:after="120"/>
        <w:ind w:left="0" w:firstLine="0"/>
        <w:rPr>
          <w:b w:val="0"/>
          <w:bCs w:val="0"/>
          <w:sz w:val="22"/>
          <w:szCs w:val="22"/>
        </w:rPr>
      </w:pPr>
    </w:p>
    <w:p w14:paraId="2E11498B" w14:textId="77777777" w:rsidR="00D46DFF" w:rsidRDefault="00D46DFF" w:rsidP="00D46DFF">
      <w:pPr>
        <w:pStyle w:val="Pismenka"/>
        <w:tabs>
          <w:tab w:val="clear" w:pos="426"/>
        </w:tabs>
        <w:spacing w:after="120"/>
        <w:ind w:left="0" w:firstLine="0"/>
        <w:rPr>
          <w:b w:val="0"/>
          <w:bCs w:val="0"/>
          <w:sz w:val="22"/>
          <w:szCs w:val="22"/>
        </w:rPr>
      </w:pPr>
    </w:p>
    <w:p w14:paraId="4B5E70BA" w14:textId="77777777" w:rsidR="00D46DFF" w:rsidRDefault="00D46DFF" w:rsidP="00D46DFF">
      <w:pPr>
        <w:spacing w:after="120" w:line="240" w:lineRule="auto"/>
        <w:rPr>
          <w:rFonts w:ascii="Times New Roman" w:eastAsiaTheme="majorEastAsia" w:hAnsi="Times New Roman" w:cstheme="majorBidi"/>
          <w:b/>
          <w:sz w:val="24"/>
          <w:szCs w:val="32"/>
        </w:rPr>
      </w:pPr>
      <w:r w:rsidRPr="00CB4D8B">
        <w:rPr>
          <w:rFonts w:ascii="Times New Roman" w:hAnsi="Times New Roman"/>
        </w:rPr>
        <w:br w:type="page"/>
      </w:r>
    </w:p>
    <w:p w14:paraId="400CB26F" w14:textId="50A74606" w:rsidR="00647542" w:rsidRPr="00907622" w:rsidRDefault="00647542" w:rsidP="00647542">
      <w:pPr>
        <w:pStyle w:val="Popis"/>
        <w:keepNext/>
        <w:rPr>
          <w:noProof/>
        </w:rPr>
      </w:pPr>
      <w:r w:rsidRPr="00907622">
        <w:lastRenderedPageBreak/>
        <w:t xml:space="preserve">Tabuľka </w:t>
      </w:r>
      <w:r w:rsidRPr="00907622">
        <w:fldChar w:fldCharType="begin"/>
      </w:r>
      <w:r w:rsidRPr="00907622">
        <w:instrText xml:space="preserve"> SEQ Tabuľka \* ARABIC </w:instrText>
      </w:r>
      <w:r w:rsidRPr="00907622">
        <w:fldChar w:fldCharType="separate"/>
      </w:r>
      <w:r w:rsidRPr="00907622">
        <w:rPr>
          <w:noProof/>
        </w:rPr>
        <w:t>12</w:t>
      </w:r>
      <w:r w:rsidRPr="00907622">
        <w:rPr>
          <w:noProof/>
        </w:rPr>
        <w:fldChar w:fldCharType="end"/>
      </w:r>
    </w:p>
    <w:tbl>
      <w:tblPr>
        <w:tblW w:w="5000" w:type="pct"/>
        <w:jc w:val="center"/>
        <w:tblCellMar>
          <w:left w:w="70" w:type="dxa"/>
          <w:right w:w="70" w:type="dxa"/>
        </w:tblCellMar>
        <w:tblLook w:val="04A0" w:firstRow="1" w:lastRow="0" w:firstColumn="1" w:lastColumn="0" w:noHBand="0" w:noVBand="1"/>
      </w:tblPr>
      <w:tblGrid>
        <w:gridCol w:w="4155"/>
        <w:gridCol w:w="1638"/>
        <w:gridCol w:w="1638"/>
        <w:gridCol w:w="1640"/>
      </w:tblGrid>
      <w:tr w:rsidR="00AF3373" w:rsidRPr="00AF3373" w14:paraId="64BFC6EE" w14:textId="77777777" w:rsidTr="00AF3373">
        <w:trPr>
          <w:trHeight w:val="227"/>
          <w:jc w:val="center"/>
        </w:trPr>
        <w:tc>
          <w:tcPr>
            <w:tcW w:w="2290" w:type="pct"/>
            <w:tcBorders>
              <w:top w:val="single" w:sz="4" w:space="0" w:color="auto"/>
              <w:left w:val="nil"/>
              <w:bottom w:val="single" w:sz="4" w:space="0" w:color="auto"/>
              <w:right w:val="nil"/>
            </w:tcBorders>
            <w:shd w:val="clear" w:color="000000" w:fill="F4B084"/>
            <w:noWrap/>
            <w:vAlign w:val="center"/>
            <w:hideMark/>
          </w:tcPr>
          <w:p w14:paraId="2F0EE0A1" w14:textId="77777777" w:rsidR="00AF3373" w:rsidRPr="00AF3373" w:rsidRDefault="00AF3373" w:rsidP="00AF3373">
            <w:pPr>
              <w:spacing w:after="0" w:line="240" w:lineRule="auto"/>
              <w:rPr>
                <w:rFonts w:ascii="Times New Roman" w:hAnsi="Times New Roman"/>
                <w:b/>
                <w:bCs/>
                <w:color w:val="000000"/>
                <w:sz w:val="18"/>
                <w:szCs w:val="18"/>
                <w:lang w:eastAsia="sk-SK"/>
              </w:rPr>
            </w:pPr>
            <w:r w:rsidRPr="00AF3373">
              <w:rPr>
                <w:rFonts w:ascii="Times New Roman" w:hAnsi="Times New Roman"/>
                <w:b/>
                <w:bCs/>
                <w:color w:val="000000"/>
                <w:sz w:val="18"/>
                <w:szCs w:val="18"/>
                <w:lang w:eastAsia="sk-SK"/>
              </w:rPr>
              <w:t>Záväzky súhrnného celku</w:t>
            </w:r>
          </w:p>
        </w:tc>
        <w:tc>
          <w:tcPr>
            <w:tcW w:w="903" w:type="pct"/>
            <w:tcBorders>
              <w:top w:val="single" w:sz="4" w:space="0" w:color="auto"/>
              <w:left w:val="nil"/>
              <w:bottom w:val="single" w:sz="4" w:space="0" w:color="auto"/>
              <w:right w:val="nil"/>
            </w:tcBorders>
            <w:shd w:val="clear" w:color="000000" w:fill="F4B084"/>
            <w:noWrap/>
            <w:vAlign w:val="center"/>
            <w:hideMark/>
          </w:tcPr>
          <w:p w14:paraId="68CC5741" w14:textId="77777777" w:rsidR="00AF3373" w:rsidRPr="00AF3373" w:rsidRDefault="00AF3373" w:rsidP="00AF3373">
            <w:pPr>
              <w:spacing w:after="0" w:line="240" w:lineRule="auto"/>
              <w:rPr>
                <w:rFonts w:ascii="Times New Roman" w:hAnsi="Times New Roman"/>
                <w:b/>
                <w:bCs/>
                <w:color w:val="000000"/>
                <w:sz w:val="18"/>
                <w:szCs w:val="18"/>
                <w:lang w:eastAsia="sk-SK"/>
              </w:rPr>
            </w:pPr>
            <w:r w:rsidRPr="00AF3373">
              <w:rPr>
                <w:rFonts w:ascii="Times New Roman" w:hAnsi="Times New Roman"/>
                <w:b/>
                <w:bCs/>
                <w:color w:val="000000"/>
                <w:sz w:val="18"/>
                <w:szCs w:val="18"/>
                <w:lang w:eastAsia="sk-SK"/>
              </w:rPr>
              <w:t> </w:t>
            </w:r>
          </w:p>
        </w:tc>
        <w:tc>
          <w:tcPr>
            <w:tcW w:w="903" w:type="pct"/>
            <w:tcBorders>
              <w:top w:val="single" w:sz="4" w:space="0" w:color="auto"/>
              <w:left w:val="nil"/>
              <w:bottom w:val="single" w:sz="4" w:space="0" w:color="auto"/>
              <w:right w:val="nil"/>
            </w:tcBorders>
            <w:shd w:val="clear" w:color="000000" w:fill="F4B084"/>
            <w:noWrap/>
            <w:vAlign w:val="center"/>
            <w:hideMark/>
          </w:tcPr>
          <w:p w14:paraId="023C3F7E" w14:textId="77777777" w:rsidR="00AF3373" w:rsidRPr="00AF3373" w:rsidRDefault="00AF3373" w:rsidP="00AF3373">
            <w:pPr>
              <w:spacing w:after="0" w:line="240" w:lineRule="auto"/>
              <w:jc w:val="center"/>
              <w:rPr>
                <w:rFonts w:ascii="Times New Roman" w:hAnsi="Times New Roman"/>
                <w:b/>
                <w:bCs/>
                <w:color w:val="000000"/>
                <w:sz w:val="18"/>
                <w:szCs w:val="18"/>
                <w:lang w:eastAsia="sk-SK"/>
              </w:rPr>
            </w:pPr>
            <w:r w:rsidRPr="00AF3373">
              <w:rPr>
                <w:rFonts w:ascii="Times New Roman" w:hAnsi="Times New Roman"/>
                <w:b/>
                <w:bCs/>
                <w:color w:val="000000"/>
                <w:sz w:val="18"/>
                <w:szCs w:val="18"/>
                <w:lang w:eastAsia="sk-SK"/>
              </w:rPr>
              <w:t>(v tis. eur)</w:t>
            </w:r>
          </w:p>
        </w:tc>
        <w:tc>
          <w:tcPr>
            <w:tcW w:w="903" w:type="pct"/>
            <w:tcBorders>
              <w:top w:val="single" w:sz="4" w:space="0" w:color="auto"/>
              <w:left w:val="nil"/>
              <w:bottom w:val="single" w:sz="4" w:space="0" w:color="auto"/>
              <w:right w:val="nil"/>
            </w:tcBorders>
            <w:shd w:val="clear" w:color="000000" w:fill="F4B084"/>
            <w:noWrap/>
            <w:vAlign w:val="center"/>
            <w:hideMark/>
          </w:tcPr>
          <w:p w14:paraId="5C5C874F" w14:textId="77777777" w:rsidR="00AF3373" w:rsidRPr="00AF3373" w:rsidRDefault="00AF3373" w:rsidP="00AF3373">
            <w:pPr>
              <w:spacing w:after="0" w:line="240" w:lineRule="auto"/>
              <w:rPr>
                <w:rFonts w:ascii="Times New Roman" w:hAnsi="Times New Roman"/>
                <w:b/>
                <w:bCs/>
                <w:color w:val="000000"/>
                <w:sz w:val="18"/>
                <w:szCs w:val="18"/>
                <w:lang w:eastAsia="sk-SK"/>
              </w:rPr>
            </w:pPr>
            <w:r w:rsidRPr="00AF3373">
              <w:rPr>
                <w:rFonts w:ascii="Times New Roman" w:hAnsi="Times New Roman"/>
                <w:b/>
                <w:bCs/>
                <w:color w:val="000000"/>
                <w:sz w:val="18"/>
                <w:szCs w:val="18"/>
                <w:lang w:eastAsia="sk-SK"/>
              </w:rPr>
              <w:t> </w:t>
            </w:r>
          </w:p>
        </w:tc>
      </w:tr>
      <w:tr w:rsidR="00AF3373" w:rsidRPr="00AF3373" w14:paraId="61FBEBD2" w14:textId="77777777" w:rsidTr="00AF3373">
        <w:trPr>
          <w:trHeight w:val="227"/>
          <w:jc w:val="center"/>
        </w:trPr>
        <w:tc>
          <w:tcPr>
            <w:tcW w:w="2290" w:type="pct"/>
            <w:tcBorders>
              <w:top w:val="nil"/>
              <w:left w:val="nil"/>
              <w:bottom w:val="single" w:sz="4" w:space="0" w:color="auto"/>
              <w:right w:val="nil"/>
            </w:tcBorders>
            <w:shd w:val="clear" w:color="000000" w:fill="BDD7EE"/>
            <w:noWrap/>
            <w:vAlign w:val="center"/>
            <w:hideMark/>
          </w:tcPr>
          <w:p w14:paraId="2C3F7227" w14:textId="77777777" w:rsidR="00AF3373" w:rsidRPr="00AF3373" w:rsidRDefault="00AF3373" w:rsidP="00AF3373">
            <w:pPr>
              <w:spacing w:after="0" w:line="240" w:lineRule="auto"/>
              <w:rPr>
                <w:rFonts w:ascii="Times New Roman" w:hAnsi="Times New Roman"/>
                <w:b/>
                <w:bCs/>
                <w:color w:val="000000"/>
                <w:sz w:val="18"/>
                <w:szCs w:val="18"/>
                <w:lang w:eastAsia="sk-SK"/>
              </w:rPr>
            </w:pPr>
            <w:r w:rsidRPr="00AF3373">
              <w:rPr>
                <w:rFonts w:ascii="Times New Roman" w:hAnsi="Times New Roman"/>
                <w:b/>
                <w:bCs/>
                <w:color w:val="000000"/>
                <w:sz w:val="18"/>
                <w:szCs w:val="18"/>
                <w:lang w:eastAsia="sk-SK"/>
              </w:rPr>
              <w:t>Dlhodobé záväzky</w:t>
            </w:r>
          </w:p>
        </w:tc>
        <w:tc>
          <w:tcPr>
            <w:tcW w:w="903" w:type="pct"/>
            <w:tcBorders>
              <w:top w:val="nil"/>
              <w:left w:val="nil"/>
              <w:bottom w:val="single" w:sz="4" w:space="0" w:color="auto"/>
              <w:right w:val="nil"/>
            </w:tcBorders>
            <w:shd w:val="clear" w:color="000000" w:fill="BDD7EE"/>
            <w:noWrap/>
            <w:vAlign w:val="center"/>
            <w:hideMark/>
          </w:tcPr>
          <w:p w14:paraId="190B05E8" w14:textId="77777777" w:rsidR="00AF3373" w:rsidRPr="00AF3373" w:rsidRDefault="00AF3373" w:rsidP="00AF3373">
            <w:pPr>
              <w:spacing w:after="0" w:line="240" w:lineRule="auto"/>
              <w:jc w:val="center"/>
              <w:rPr>
                <w:rFonts w:ascii="Times New Roman" w:hAnsi="Times New Roman"/>
                <w:b/>
                <w:bCs/>
                <w:color w:val="000000"/>
                <w:sz w:val="18"/>
                <w:szCs w:val="18"/>
                <w:lang w:eastAsia="sk-SK"/>
              </w:rPr>
            </w:pPr>
            <w:r w:rsidRPr="00AF3373">
              <w:rPr>
                <w:rFonts w:ascii="Times New Roman" w:hAnsi="Times New Roman"/>
                <w:b/>
                <w:bCs/>
                <w:color w:val="000000"/>
                <w:sz w:val="18"/>
                <w:szCs w:val="18"/>
                <w:lang w:eastAsia="sk-SK"/>
              </w:rPr>
              <w:t>2024</w:t>
            </w:r>
          </w:p>
        </w:tc>
        <w:tc>
          <w:tcPr>
            <w:tcW w:w="903" w:type="pct"/>
            <w:tcBorders>
              <w:top w:val="nil"/>
              <w:left w:val="nil"/>
              <w:bottom w:val="single" w:sz="4" w:space="0" w:color="auto"/>
              <w:right w:val="nil"/>
            </w:tcBorders>
            <w:shd w:val="clear" w:color="000000" w:fill="BDD7EE"/>
            <w:noWrap/>
            <w:vAlign w:val="center"/>
            <w:hideMark/>
          </w:tcPr>
          <w:p w14:paraId="56EE508C" w14:textId="77777777" w:rsidR="00AF3373" w:rsidRPr="00AF3373" w:rsidRDefault="00AF3373" w:rsidP="00AF3373">
            <w:pPr>
              <w:spacing w:after="0" w:line="240" w:lineRule="auto"/>
              <w:jc w:val="center"/>
              <w:rPr>
                <w:rFonts w:ascii="Times New Roman" w:hAnsi="Times New Roman"/>
                <w:b/>
                <w:bCs/>
                <w:color w:val="000000"/>
                <w:sz w:val="18"/>
                <w:szCs w:val="18"/>
                <w:lang w:eastAsia="sk-SK"/>
              </w:rPr>
            </w:pPr>
            <w:r w:rsidRPr="00AF3373">
              <w:rPr>
                <w:rFonts w:ascii="Times New Roman" w:hAnsi="Times New Roman"/>
                <w:b/>
                <w:bCs/>
                <w:color w:val="000000"/>
                <w:sz w:val="18"/>
                <w:szCs w:val="18"/>
                <w:lang w:eastAsia="sk-SK"/>
              </w:rPr>
              <w:t>2023</w:t>
            </w:r>
          </w:p>
        </w:tc>
        <w:tc>
          <w:tcPr>
            <w:tcW w:w="903" w:type="pct"/>
            <w:tcBorders>
              <w:top w:val="nil"/>
              <w:left w:val="nil"/>
              <w:bottom w:val="single" w:sz="4" w:space="0" w:color="auto"/>
              <w:right w:val="nil"/>
            </w:tcBorders>
            <w:shd w:val="clear" w:color="000000" w:fill="BDD7EE"/>
            <w:vAlign w:val="center"/>
            <w:hideMark/>
          </w:tcPr>
          <w:p w14:paraId="0F94FEB4" w14:textId="77777777" w:rsidR="00AF3373" w:rsidRPr="00AF3373" w:rsidRDefault="00AF3373" w:rsidP="00AF3373">
            <w:pPr>
              <w:spacing w:after="0" w:line="240" w:lineRule="auto"/>
              <w:jc w:val="center"/>
              <w:rPr>
                <w:rFonts w:ascii="Times New Roman" w:hAnsi="Times New Roman"/>
                <w:b/>
                <w:bCs/>
                <w:color w:val="000000"/>
                <w:sz w:val="18"/>
                <w:szCs w:val="18"/>
                <w:lang w:eastAsia="sk-SK"/>
              </w:rPr>
            </w:pPr>
            <w:r w:rsidRPr="00AF3373">
              <w:rPr>
                <w:rFonts w:ascii="Times New Roman" w:hAnsi="Times New Roman"/>
                <w:b/>
                <w:bCs/>
                <w:color w:val="000000"/>
                <w:sz w:val="18"/>
                <w:szCs w:val="18"/>
                <w:lang w:eastAsia="sk-SK"/>
              </w:rPr>
              <w:t>Δ 2024-2023</w:t>
            </w:r>
          </w:p>
        </w:tc>
      </w:tr>
      <w:tr w:rsidR="00AF3373" w:rsidRPr="00AF3373" w14:paraId="754E4365" w14:textId="77777777" w:rsidTr="00AF3373">
        <w:trPr>
          <w:trHeight w:val="227"/>
          <w:jc w:val="center"/>
        </w:trPr>
        <w:tc>
          <w:tcPr>
            <w:tcW w:w="2290" w:type="pct"/>
            <w:tcBorders>
              <w:top w:val="nil"/>
              <w:left w:val="nil"/>
              <w:bottom w:val="nil"/>
              <w:right w:val="nil"/>
            </w:tcBorders>
            <w:vAlign w:val="center"/>
            <w:hideMark/>
          </w:tcPr>
          <w:p w14:paraId="1892CC7B" w14:textId="5ABBD414" w:rsidR="00AF3373" w:rsidRPr="00AF3373" w:rsidRDefault="00420C9F" w:rsidP="00AF3373">
            <w:pPr>
              <w:spacing w:after="0" w:line="240" w:lineRule="auto"/>
              <w:rPr>
                <w:rFonts w:ascii="Times New Roman" w:hAnsi="Times New Roman"/>
                <w:color w:val="000000"/>
                <w:sz w:val="18"/>
                <w:szCs w:val="18"/>
                <w:lang w:eastAsia="sk-SK"/>
              </w:rPr>
            </w:pPr>
            <w:r>
              <w:rPr>
                <w:rFonts w:ascii="Times New Roman" w:hAnsi="Times New Roman"/>
                <w:color w:val="000000"/>
                <w:sz w:val="18"/>
                <w:szCs w:val="18"/>
                <w:lang w:eastAsia="sk-SK"/>
              </w:rPr>
              <w:t>Štátne</w:t>
            </w:r>
            <w:r w:rsidRPr="00AF3373">
              <w:rPr>
                <w:rFonts w:ascii="Times New Roman" w:hAnsi="Times New Roman"/>
                <w:color w:val="000000"/>
                <w:sz w:val="18"/>
                <w:szCs w:val="18"/>
                <w:lang w:eastAsia="sk-SK"/>
              </w:rPr>
              <w:t xml:space="preserve"> </w:t>
            </w:r>
            <w:r w:rsidR="00AF3373" w:rsidRPr="00AF3373">
              <w:rPr>
                <w:rFonts w:ascii="Times New Roman" w:hAnsi="Times New Roman"/>
                <w:color w:val="000000"/>
                <w:sz w:val="18"/>
                <w:szCs w:val="18"/>
                <w:lang w:eastAsia="sk-SK"/>
              </w:rPr>
              <w:t xml:space="preserve">dlhopisy </w:t>
            </w:r>
          </w:p>
        </w:tc>
        <w:tc>
          <w:tcPr>
            <w:tcW w:w="903" w:type="pct"/>
            <w:tcBorders>
              <w:top w:val="nil"/>
              <w:left w:val="nil"/>
              <w:bottom w:val="nil"/>
              <w:right w:val="nil"/>
            </w:tcBorders>
            <w:vAlign w:val="center"/>
            <w:hideMark/>
          </w:tcPr>
          <w:p w14:paraId="52BB4175" w14:textId="77777777" w:rsidR="00AF3373" w:rsidRPr="00AF3373" w:rsidRDefault="00AF3373" w:rsidP="00AF3373">
            <w:pPr>
              <w:spacing w:after="0" w:line="240" w:lineRule="auto"/>
              <w:jc w:val="right"/>
              <w:rPr>
                <w:rFonts w:ascii="Times New Roman" w:hAnsi="Times New Roman"/>
                <w:color w:val="000000"/>
                <w:sz w:val="18"/>
                <w:szCs w:val="18"/>
                <w:lang w:eastAsia="sk-SK"/>
              </w:rPr>
            </w:pPr>
            <w:r w:rsidRPr="00AF3373">
              <w:rPr>
                <w:rFonts w:ascii="Times New Roman" w:hAnsi="Times New Roman"/>
                <w:color w:val="000000"/>
                <w:sz w:val="18"/>
                <w:szCs w:val="18"/>
                <w:lang w:eastAsia="sk-SK"/>
              </w:rPr>
              <w:t>62 989 158</w:t>
            </w:r>
          </w:p>
        </w:tc>
        <w:tc>
          <w:tcPr>
            <w:tcW w:w="903" w:type="pct"/>
            <w:tcBorders>
              <w:top w:val="nil"/>
              <w:left w:val="nil"/>
              <w:bottom w:val="nil"/>
              <w:right w:val="nil"/>
            </w:tcBorders>
            <w:vAlign w:val="center"/>
            <w:hideMark/>
          </w:tcPr>
          <w:p w14:paraId="74CAF6E0" w14:textId="77777777" w:rsidR="00AF3373" w:rsidRPr="00AF3373" w:rsidRDefault="00AF3373" w:rsidP="00AF3373">
            <w:pPr>
              <w:spacing w:after="0" w:line="240" w:lineRule="auto"/>
              <w:jc w:val="right"/>
              <w:rPr>
                <w:rFonts w:ascii="Times New Roman" w:hAnsi="Times New Roman"/>
                <w:color w:val="000000"/>
                <w:sz w:val="18"/>
                <w:szCs w:val="18"/>
                <w:lang w:eastAsia="sk-SK"/>
              </w:rPr>
            </w:pPr>
            <w:r w:rsidRPr="00AF3373">
              <w:rPr>
                <w:rFonts w:ascii="Times New Roman" w:hAnsi="Times New Roman"/>
                <w:color w:val="000000"/>
                <w:sz w:val="18"/>
                <w:szCs w:val="18"/>
                <w:lang w:eastAsia="sk-SK"/>
              </w:rPr>
              <w:t>55 535 321</w:t>
            </w:r>
          </w:p>
        </w:tc>
        <w:tc>
          <w:tcPr>
            <w:tcW w:w="903" w:type="pct"/>
            <w:tcBorders>
              <w:top w:val="nil"/>
              <w:left w:val="nil"/>
              <w:bottom w:val="nil"/>
              <w:right w:val="nil"/>
            </w:tcBorders>
            <w:vAlign w:val="center"/>
            <w:hideMark/>
          </w:tcPr>
          <w:p w14:paraId="296DD342" w14:textId="77777777" w:rsidR="00AF3373" w:rsidRPr="00AF3373" w:rsidRDefault="00AF3373" w:rsidP="00AF3373">
            <w:pPr>
              <w:spacing w:after="0" w:line="240" w:lineRule="auto"/>
              <w:jc w:val="right"/>
              <w:rPr>
                <w:rFonts w:ascii="Times New Roman" w:hAnsi="Times New Roman"/>
                <w:color w:val="000000"/>
                <w:sz w:val="18"/>
                <w:szCs w:val="18"/>
                <w:lang w:eastAsia="sk-SK"/>
              </w:rPr>
            </w:pPr>
            <w:r w:rsidRPr="00AF3373">
              <w:rPr>
                <w:rFonts w:ascii="Times New Roman" w:hAnsi="Times New Roman"/>
                <w:color w:val="000000"/>
                <w:sz w:val="18"/>
                <w:szCs w:val="18"/>
                <w:lang w:eastAsia="sk-SK"/>
              </w:rPr>
              <w:t>7 453 837</w:t>
            </w:r>
          </w:p>
        </w:tc>
      </w:tr>
      <w:tr w:rsidR="00AF3373" w:rsidRPr="00AF3373" w14:paraId="7DE3F5F5" w14:textId="77777777" w:rsidTr="00AF3373">
        <w:trPr>
          <w:trHeight w:val="227"/>
          <w:jc w:val="center"/>
        </w:trPr>
        <w:tc>
          <w:tcPr>
            <w:tcW w:w="2290" w:type="pct"/>
            <w:tcBorders>
              <w:top w:val="nil"/>
              <w:left w:val="nil"/>
              <w:bottom w:val="nil"/>
              <w:right w:val="nil"/>
            </w:tcBorders>
            <w:vAlign w:val="center"/>
            <w:hideMark/>
          </w:tcPr>
          <w:p w14:paraId="567C7147" w14:textId="77777777" w:rsidR="00AF3373" w:rsidRPr="00AF3373" w:rsidRDefault="00AF3373" w:rsidP="00AF3373">
            <w:pPr>
              <w:spacing w:after="0" w:line="240" w:lineRule="auto"/>
              <w:rPr>
                <w:rFonts w:ascii="Times New Roman" w:hAnsi="Times New Roman"/>
                <w:color w:val="000000"/>
                <w:sz w:val="18"/>
                <w:szCs w:val="18"/>
                <w:lang w:eastAsia="sk-SK"/>
              </w:rPr>
            </w:pPr>
            <w:r w:rsidRPr="00AF3373">
              <w:rPr>
                <w:rFonts w:ascii="Times New Roman" w:hAnsi="Times New Roman"/>
                <w:color w:val="000000"/>
                <w:sz w:val="18"/>
                <w:szCs w:val="18"/>
                <w:lang w:eastAsia="sk-SK"/>
              </w:rPr>
              <w:t xml:space="preserve">Bankové úvery </w:t>
            </w:r>
          </w:p>
        </w:tc>
        <w:tc>
          <w:tcPr>
            <w:tcW w:w="903" w:type="pct"/>
            <w:tcBorders>
              <w:top w:val="nil"/>
              <w:left w:val="nil"/>
              <w:bottom w:val="nil"/>
              <w:right w:val="nil"/>
            </w:tcBorders>
            <w:vAlign w:val="center"/>
            <w:hideMark/>
          </w:tcPr>
          <w:p w14:paraId="7F1286BB" w14:textId="5767A3F2" w:rsidR="00AF3373" w:rsidRPr="00AF3373" w:rsidRDefault="00AF3373" w:rsidP="00AF3373">
            <w:pPr>
              <w:spacing w:after="0" w:line="240" w:lineRule="auto"/>
              <w:jc w:val="right"/>
              <w:rPr>
                <w:rFonts w:ascii="Times New Roman" w:hAnsi="Times New Roman"/>
                <w:color w:val="000000"/>
                <w:sz w:val="18"/>
                <w:szCs w:val="18"/>
                <w:lang w:eastAsia="sk-SK"/>
              </w:rPr>
            </w:pPr>
            <w:r w:rsidRPr="00AF3373">
              <w:rPr>
                <w:rFonts w:ascii="Times New Roman" w:hAnsi="Times New Roman"/>
                <w:color w:val="000000"/>
                <w:sz w:val="18"/>
                <w:szCs w:val="18"/>
                <w:lang w:eastAsia="sk-SK"/>
              </w:rPr>
              <w:t>5 4</w:t>
            </w:r>
            <w:r w:rsidR="00A874D0">
              <w:rPr>
                <w:rFonts w:ascii="Times New Roman" w:hAnsi="Times New Roman"/>
                <w:color w:val="000000"/>
                <w:sz w:val="18"/>
                <w:szCs w:val="18"/>
                <w:lang w:eastAsia="sk-SK"/>
              </w:rPr>
              <w:t>32</w:t>
            </w:r>
            <w:r w:rsidRPr="00AF3373">
              <w:rPr>
                <w:rFonts w:ascii="Times New Roman" w:hAnsi="Times New Roman"/>
                <w:color w:val="000000"/>
                <w:sz w:val="18"/>
                <w:szCs w:val="18"/>
                <w:lang w:eastAsia="sk-SK"/>
              </w:rPr>
              <w:t xml:space="preserve"> </w:t>
            </w:r>
            <w:r w:rsidR="00A874D0">
              <w:rPr>
                <w:rFonts w:ascii="Times New Roman" w:hAnsi="Times New Roman"/>
                <w:color w:val="000000"/>
                <w:sz w:val="18"/>
                <w:szCs w:val="18"/>
                <w:lang w:eastAsia="sk-SK"/>
              </w:rPr>
              <w:t>748</w:t>
            </w:r>
          </w:p>
        </w:tc>
        <w:tc>
          <w:tcPr>
            <w:tcW w:w="903" w:type="pct"/>
            <w:tcBorders>
              <w:top w:val="nil"/>
              <w:left w:val="nil"/>
              <w:bottom w:val="nil"/>
              <w:right w:val="nil"/>
            </w:tcBorders>
            <w:vAlign w:val="center"/>
            <w:hideMark/>
          </w:tcPr>
          <w:p w14:paraId="04C7C141" w14:textId="77777777" w:rsidR="00AF3373" w:rsidRPr="00AF3373" w:rsidRDefault="00AF3373" w:rsidP="00AF3373">
            <w:pPr>
              <w:spacing w:after="0" w:line="240" w:lineRule="auto"/>
              <w:jc w:val="right"/>
              <w:rPr>
                <w:rFonts w:ascii="Times New Roman" w:hAnsi="Times New Roman"/>
                <w:color w:val="000000"/>
                <w:sz w:val="18"/>
                <w:szCs w:val="18"/>
                <w:lang w:eastAsia="sk-SK"/>
              </w:rPr>
            </w:pPr>
            <w:r w:rsidRPr="00AF3373">
              <w:rPr>
                <w:rFonts w:ascii="Times New Roman" w:hAnsi="Times New Roman"/>
                <w:color w:val="000000"/>
                <w:sz w:val="18"/>
                <w:szCs w:val="18"/>
                <w:lang w:eastAsia="sk-SK"/>
              </w:rPr>
              <w:t>6 097 761</w:t>
            </w:r>
          </w:p>
        </w:tc>
        <w:tc>
          <w:tcPr>
            <w:tcW w:w="903" w:type="pct"/>
            <w:tcBorders>
              <w:top w:val="nil"/>
              <w:left w:val="nil"/>
              <w:bottom w:val="nil"/>
              <w:right w:val="nil"/>
            </w:tcBorders>
            <w:vAlign w:val="center"/>
            <w:hideMark/>
          </w:tcPr>
          <w:p w14:paraId="7E4D7DE7" w14:textId="091EC99B" w:rsidR="00AF3373" w:rsidRPr="00AF3373" w:rsidRDefault="00AF3373" w:rsidP="00AF3373">
            <w:pPr>
              <w:spacing w:after="0" w:line="240" w:lineRule="auto"/>
              <w:jc w:val="right"/>
              <w:rPr>
                <w:rFonts w:ascii="Times New Roman" w:hAnsi="Times New Roman"/>
                <w:color w:val="000000"/>
                <w:sz w:val="18"/>
                <w:szCs w:val="18"/>
                <w:lang w:eastAsia="sk-SK"/>
              </w:rPr>
            </w:pPr>
            <w:r w:rsidRPr="00AF3373">
              <w:rPr>
                <w:rFonts w:ascii="Times New Roman" w:hAnsi="Times New Roman"/>
                <w:color w:val="000000"/>
                <w:sz w:val="18"/>
                <w:szCs w:val="18"/>
                <w:lang w:eastAsia="sk-SK"/>
              </w:rPr>
              <w:t>-6</w:t>
            </w:r>
            <w:r w:rsidR="00A874D0">
              <w:rPr>
                <w:rFonts w:ascii="Times New Roman" w:hAnsi="Times New Roman"/>
                <w:color w:val="000000"/>
                <w:sz w:val="18"/>
                <w:szCs w:val="18"/>
                <w:lang w:eastAsia="sk-SK"/>
              </w:rPr>
              <w:t>65</w:t>
            </w:r>
            <w:r w:rsidRPr="00AF3373">
              <w:rPr>
                <w:rFonts w:ascii="Times New Roman" w:hAnsi="Times New Roman"/>
                <w:color w:val="000000"/>
                <w:sz w:val="18"/>
                <w:szCs w:val="18"/>
                <w:lang w:eastAsia="sk-SK"/>
              </w:rPr>
              <w:t xml:space="preserve"> </w:t>
            </w:r>
            <w:r w:rsidR="00A874D0">
              <w:rPr>
                <w:rFonts w:ascii="Times New Roman" w:hAnsi="Times New Roman"/>
                <w:color w:val="000000"/>
                <w:sz w:val="18"/>
                <w:szCs w:val="18"/>
                <w:lang w:eastAsia="sk-SK"/>
              </w:rPr>
              <w:t>013</w:t>
            </w:r>
          </w:p>
        </w:tc>
      </w:tr>
      <w:tr w:rsidR="00AF3373" w:rsidRPr="00AF3373" w14:paraId="61D77611" w14:textId="77777777" w:rsidTr="00AF3373">
        <w:trPr>
          <w:trHeight w:val="227"/>
          <w:jc w:val="center"/>
        </w:trPr>
        <w:tc>
          <w:tcPr>
            <w:tcW w:w="2290" w:type="pct"/>
            <w:tcBorders>
              <w:top w:val="nil"/>
              <w:left w:val="nil"/>
              <w:bottom w:val="nil"/>
              <w:right w:val="nil"/>
            </w:tcBorders>
            <w:vAlign w:val="center"/>
            <w:hideMark/>
          </w:tcPr>
          <w:p w14:paraId="2D5FBFB3" w14:textId="77777777" w:rsidR="00AF3373" w:rsidRPr="00AF3373" w:rsidRDefault="00AF3373" w:rsidP="00AF3373">
            <w:pPr>
              <w:spacing w:after="0" w:line="240" w:lineRule="auto"/>
              <w:rPr>
                <w:rFonts w:ascii="Times New Roman" w:hAnsi="Times New Roman"/>
                <w:color w:val="000000"/>
                <w:sz w:val="18"/>
                <w:szCs w:val="18"/>
                <w:lang w:eastAsia="sk-SK"/>
              </w:rPr>
            </w:pPr>
            <w:r w:rsidRPr="00AF3373">
              <w:rPr>
                <w:rFonts w:ascii="Times New Roman" w:hAnsi="Times New Roman"/>
                <w:color w:val="000000"/>
                <w:sz w:val="18"/>
                <w:szCs w:val="18"/>
                <w:lang w:eastAsia="sk-SK"/>
              </w:rPr>
              <w:t>Záväzky z NJF</w:t>
            </w:r>
          </w:p>
        </w:tc>
        <w:tc>
          <w:tcPr>
            <w:tcW w:w="903" w:type="pct"/>
            <w:tcBorders>
              <w:top w:val="nil"/>
              <w:left w:val="nil"/>
              <w:bottom w:val="nil"/>
              <w:right w:val="nil"/>
            </w:tcBorders>
            <w:vAlign w:val="center"/>
            <w:hideMark/>
          </w:tcPr>
          <w:p w14:paraId="4D4A0E11" w14:textId="77777777" w:rsidR="00AF3373" w:rsidRPr="00AF3373" w:rsidRDefault="00AF3373" w:rsidP="00AF3373">
            <w:pPr>
              <w:spacing w:after="0" w:line="240" w:lineRule="auto"/>
              <w:jc w:val="right"/>
              <w:rPr>
                <w:rFonts w:ascii="Times New Roman" w:hAnsi="Times New Roman"/>
                <w:color w:val="000000"/>
                <w:sz w:val="18"/>
                <w:szCs w:val="18"/>
                <w:lang w:eastAsia="sk-SK"/>
              </w:rPr>
            </w:pPr>
            <w:r w:rsidRPr="00AF3373">
              <w:rPr>
                <w:rFonts w:ascii="Times New Roman" w:hAnsi="Times New Roman"/>
                <w:color w:val="000000"/>
                <w:sz w:val="18"/>
                <w:szCs w:val="18"/>
                <w:lang w:eastAsia="sk-SK"/>
              </w:rPr>
              <w:t>2 172 019</w:t>
            </w:r>
          </w:p>
        </w:tc>
        <w:tc>
          <w:tcPr>
            <w:tcW w:w="903" w:type="pct"/>
            <w:tcBorders>
              <w:top w:val="nil"/>
              <w:left w:val="nil"/>
              <w:bottom w:val="nil"/>
              <w:right w:val="nil"/>
            </w:tcBorders>
            <w:vAlign w:val="center"/>
            <w:hideMark/>
          </w:tcPr>
          <w:p w14:paraId="2D0A8C6D" w14:textId="77777777" w:rsidR="00AF3373" w:rsidRPr="00AF3373" w:rsidRDefault="00AF3373" w:rsidP="00AF3373">
            <w:pPr>
              <w:spacing w:after="0" w:line="240" w:lineRule="auto"/>
              <w:jc w:val="right"/>
              <w:rPr>
                <w:rFonts w:ascii="Times New Roman" w:hAnsi="Times New Roman"/>
                <w:color w:val="000000"/>
                <w:sz w:val="18"/>
                <w:szCs w:val="18"/>
                <w:lang w:eastAsia="sk-SK"/>
              </w:rPr>
            </w:pPr>
            <w:r w:rsidRPr="00AF3373">
              <w:rPr>
                <w:rFonts w:ascii="Times New Roman" w:hAnsi="Times New Roman"/>
                <w:color w:val="000000"/>
                <w:sz w:val="18"/>
                <w:szCs w:val="18"/>
                <w:lang w:eastAsia="sk-SK"/>
              </w:rPr>
              <w:t>539 239</w:t>
            </w:r>
          </w:p>
        </w:tc>
        <w:tc>
          <w:tcPr>
            <w:tcW w:w="903" w:type="pct"/>
            <w:tcBorders>
              <w:top w:val="nil"/>
              <w:left w:val="nil"/>
              <w:bottom w:val="nil"/>
              <w:right w:val="nil"/>
            </w:tcBorders>
            <w:vAlign w:val="center"/>
            <w:hideMark/>
          </w:tcPr>
          <w:p w14:paraId="08B9FACE" w14:textId="77777777" w:rsidR="00AF3373" w:rsidRPr="00AF3373" w:rsidRDefault="00AF3373" w:rsidP="00AF3373">
            <w:pPr>
              <w:spacing w:after="0" w:line="240" w:lineRule="auto"/>
              <w:jc w:val="right"/>
              <w:rPr>
                <w:rFonts w:ascii="Times New Roman" w:hAnsi="Times New Roman"/>
                <w:color w:val="000000"/>
                <w:sz w:val="18"/>
                <w:szCs w:val="18"/>
                <w:lang w:eastAsia="sk-SK"/>
              </w:rPr>
            </w:pPr>
            <w:r w:rsidRPr="00AF3373">
              <w:rPr>
                <w:rFonts w:ascii="Times New Roman" w:hAnsi="Times New Roman"/>
                <w:color w:val="000000"/>
                <w:sz w:val="18"/>
                <w:szCs w:val="18"/>
                <w:lang w:eastAsia="sk-SK"/>
              </w:rPr>
              <w:t>1 632 780</w:t>
            </w:r>
          </w:p>
        </w:tc>
      </w:tr>
      <w:tr w:rsidR="00AF3373" w:rsidRPr="00AF3373" w14:paraId="247A83E6" w14:textId="77777777" w:rsidTr="00AF3373">
        <w:trPr>
          <w:trHeight w:val="227"/>
          <w:jc w:val="center"/>
        </w:trPr>
        <w:tc>
          <w:tcPr>
            <w:tcW w:w="2290" w:type="pct"/>
            <w:tcBorders>
              <w:top w:val="nil"/>
              <w:left w:val="nil"/>
              <w:bottom w:val="nil"/>
              <w:right w:val="nil"/>
            </w:tcBorders>
            <w:vAlign w:val="center"/>
            <w:hideMark/>
          </w:tcPr>
          <w:p w14:paraId="21D96416" w14:textId="77777777" w:rsidR="00AF3373" w:rsidRPr="00AF3373" w:rsidRDefault="00AF3373" w:rsidP="00AF3373">
            <w:pPr>
              <w:spacing w:after="0" w:line="240" w:lineRule="auto"/>
              <w:rPr>
                <w:rFonts w:ascii="Times New Roman" w:hAnsi="Times New Roman"/>
                <w:color w:val="000000"/>
                <w:sz w:val="18"/>
                <w:szCs w:val="18"/>
                <w:lang w:eastAsia="sk-SK"/>
              </w:rPr>
            </w:pPr>
            <w:r w:rsidRPr="00AF3373">
              <w:rPr>
                <w:rFonts w:ascii="Times New Roman" w:hAnsi="Times New Roman"/>
                <w:color w:val="000000"/>
                <w:sz w:val="18"/>
                <w:szCs w:val="18"/>
                <w:lang w:eastAsia="sk-SK"/>
              </w:rPr>
              <w:t xml:space="preserve">Záväzky VV, </w:t>
            </w:r>
            <w:proofErr w:type="spellStart"/>
            <w:r w:rsidRPr="00AF3373">
              <w:rPr>
                <w:rFonts w:ascii="Times New Roman" w:hAnsi="Times New Roman"/>
                <w:color w:val="000000"/>
                <w:sz w:val="18"/>
                <w:szCs w:val="18"/>
                <w:lang w:eastAsia="sk-SK"/>
              </w:rPr>
              <w:t>š.p</w:t>
            </w:r>
            <w:proofErr w:type="spellEnd"/>
            <w:r w:rsidRPr="00AF3373">
              <w:rPr>
                <w:rFonts w:ascii="Times New Roman" w:hAnsi="Times New Roman"/>
                <w:color w:val="000000"/>
                <w:sz w:val="18"/>
                <w:szCs w:val="18"/>
                <w:lang w:eastAsia="sk-SK"/>
              </w:rPr>
              <w:t>.</w:t>
            </w:r>
          </w:p>
        </w:tc>
        <w:tc>
          <w:tcPr>
            <w:tcW w:w="903" w:type="pct"/>
            <w:tcBorders>
              <w:top w:val="nil"/>
              <w:left w:val="nil"/>
              <w:bottom w:val="nil"/>
              <w:right w:val="nil"/>
            </w:tcBorders>
            <w:vAlign w:val="center"/>
            <w:hideMark/>
          </w:tcPr>
          <w:p w14:paraId="2BE167C6" w14:textId="77777777" w:rsidR="00AF3373" w:rsidRPr="00AF3373" w:rsidRDefault="00AF3373" w:rsidP="00AF3373">
            <w:pPr>
              <w:spacing w:after="0" w:line="240" w:lineRule="auto"/>
              <w:jc w:val="right"/>
              <w:rPr>
                <w:rFonts w:ascii="Times New Roman" w:hAnsi="Times New Roman"/>
                <w:color w:val="000000"/>
                <w:sz w:val="18"/>
                <w:szCs w:val="18"/>
                <w:lang w:eastAsia="sk-SK"/>
              </w:rPr>
            </w:pPr>
            <w:r w:rsidRPr="00AF3373">
              <w:rPr>
                <w:rFonts w:ascii="Times New Roman" w:hAnsi="Times New Roman"/>
                <w:color w:val="000000"/>
                <w:sz w:val="18"/>
                <w:szCs w:val="18"/>
                <w:lang w:eastAsia="sk-SK"/>
              </w:rPr>
              <w:t>103 896</w:t>
            </w:r>
          </w:p>
        </w:tc>
        <w:tc>
          <w:tcPr>
            <w:tcW w:w="903" w:type="pct"/>
            <w:tcBorders>
              <w:top w:val="nil"/>
              <w:left w:val="nil"/>
              <w:bottom w:val="nil"/>
              <w:right w:val="nil"/>
            </w:tcBorders>
            <w:vAlign w:val="center"/>
            <w:hideMark/>
          </w:tcPr>
          <w:p w14:paraId="0156F139" w14:textId="77777777" w:rsidR="00AF3373" w:rsidRPr="00AF3373" w:rsidRDefault="00AF3373" w:rsidP="00AF3373">
            <w:pPr>
              <w:spacing w:after="0" w:line="240" w:lineRule="auto"/>
              <w:jc w:val="right"/>
              <w:rPr>
                <w:rFonts w:ascii="Times New Roman" w:hAnsi="Times New Roman"/>
                <w:color w:val="000000"/>
                <w:sz w:val="18"/>
                <w:szCs w:val="18"/>
                <w:lang w:eastAsia="sk-SK"/>
              </w:rPr>
            </w:pPr>
            <w:r w:rsidRPr="00AF3373">
              <w:rPr>
                <w:rFonts w:ascii="Times New Roman" w:hAnsi="Times New Roman"/>
                <w:color w:val="000000"/>
                <w:sz w:val="18"/>
                <w:szCs w:val="18"/>
                <w:lang w:eastAsia="sk-SK"/>
              </w:rPr>
              <w:t>107 348</w:t>
            </w:r>
          </w:p>
        </w:tc>
        <w:tc>
          <w:tcPr>
            <w:tcW w:w="903" w:type="pct"/>
            <w:tcBorders>
              <w:top w:val="nil"/>
              <w:left w:val="nil"/>
              <w:bottom w:val="nil"/>
              <w:right w:val="nil"/>
            </w:tcBorders>
            <w:vAlign w:val="center"/>
            <w:hideMark/>
          </w:tcPr>
          <w:p w14:paraId="7F70C675" w14:textId="77777777" w:rsidR="00AF3373" w:rsidRPr="00AF3373" w:rsidRDefault="00AF3373" w:rsidP="00AF3373">
            <w:pPr>
              <w:spacing w:after="0" w:line="240" w:lineRule="auto"/>
              <w:jc w:val="right"/>
              <w:rPr>
                <w:rFonts w:ascii="Times New Roman" w:hAnsi="Times New Roman"/>
                <w:color w:val="000000"/>
                <w:sz w:val="18"/>
                <w:szCs w:val="18"/>
                <w:lang w:eastAsia="sk-SK"/>
              </w:rPr>
            </w:pPr>
            <w:r w:rsidRPr="00AF3373">
              <w:rPr>
                <w:rFonts w:ascii="Times New Roman" w:hAnsi="Times New Roman"/>
                <w:color w:val="000000"/>
                <w:sz w:val="18"/>
                <w:szCs w:val="18"/>
                <w:lang w:eastAsia="sk-SK"/>
              </w:rPr>
              <w:t>-3 452</w:t>
            </w:r>
          </w:p>
        </w:tc>
      </w:tr>
      <w:tr w:rsidR="00AF3373" w:rsidRPr="00AF3373" w14:paraId="7F9F2C4C" w14:textId="77777777" w:rsidTr="00AF3373">
        <w:trPr>
          <w:trHeight w:val="227"/>
          <w:jc w:val="center"/>
        </w:trPr>
        <w:tc>
          <w:tcPr>
            <w:tcW w:w="2290" w:type="pct"/>
            <w:tcBorders>
              <w:top w:val="nil"/>
              <w:left w:val="nil"/>
              <w:bottom w:val="nil"/>
              <w:right w:val="nil"/>
            </w:tcBorders>
            <w:vAlign w:val="center"/>
            <w:hideMark/>
          </w:tcPr>
          <w:p w14:paraId="0B22C448" w14:textId="77777777" w:rsidR="00AF3373" w:rsidRPr="00AF3373" w:rsidRDefault="00AF3373" w:rsidP="00AF3373">
            <w:pPr>
              <w:spacing w:after="0" w:line="240" w:lineRule="auto"/>
              <w:rPr>
                <w:rFonts w:ascii="Times New Roman" w:hAnsi="Times New Roman"/>
                <w:color w:val="000000"/>
                <w:sz w:val="18"/>
                <w:szCs w:val="18"/>
                <w:lang w:eastAsia="sk-SK"/>
              </w:rPr>
            </w:pPr>
            <w:r w:rsidRPr="00AF3373">
              <w:rPr>
                <w:rFonts w:ascii="Times New Roman" w:hAnsi="Times New Roman"/>
                <w:color w:val="000000"/>
                <w:sz w:val="18"/>
                <w:szCs w:val="18"/>
                <w:lang w:eastAsia="sk-SK"/>
              </w:rPr>
              <w:t>Záväzky sociálneho fondu</w:t>
            </w:r>
          </w:p>
        </w:tc>
        <w:tc>
          <w:tcPr>
            <w:tcW w:w="903" w:type="pct"/>
            <w:tcBorders>
              <w:top w:val="nil"/>
              <w:left w:val="nil"/>
              <w:bottom w:val="nil"/>
              <w:right w:val="nil"/>
            </w:tcBorders>
            <w:vAlign w:val="center"/>
            <w:hideMark/>
          </w:tcPr>
          <w:p w14:paraId="4FD0BAB3" w14:textId="77777777" w:rsidR="00AF3373" w:rsidRPr="00AF3373" w:rsidRDefault="00AF3373" w:rsidP="00AF3373">
            <w:pPr>
              <w:spacing w:after="0" w:line="240" w:lineRule="auto"/>
              <w:jc w:val="right"/>
              <w:rPr>
                <w:rFonts w:ascii="Times New Roman" w:hAnsi="Times New Roman"/>
                <w:color w:val="000000"/>
                <w:sz w:val="18"/>
                <w:szCs w:val="18"/>
                <w:lang w:eastAsia="sk-SK"/>
              </w:rPr>
            </w:pPr>
            <w:r w:rsidRPr="00AF3373">
              <w:rPr>
                <w:rFonts w:ascii="Times New Roman" w:hAnsi="Times New Roman"/>
                <w:color w:val="000000"/>
                <w:sz w:val="18"/>
                <w:szCs w:val="18"/>
                <w:lang w:eastAsia="sk-SK"/>
              </w:rPr>
              <w:t>103 853</w:t>
            </w:r>
          </w:p>
        </w:tc>
        <w:tc>
          <w:tcPr>
            <w:tcW w:w="903" w:type="pct"/>
            <w:tcBorders>
              <w:top w:val="nil"/>
              <w:left w:val="nil"/>
              <w:bottom w:val="nil"/>
              <w:right w:val="nil"/>
            </w:tcBorders>
            <w:vAlign w:val="center"/>
            <w:hideMark/>
          </w:tcPr>
          <w:p w14:paraId="159735E1" w14:textId="77777777" w:rsidR="00AF3373" w:rsidRPr="00AF3373" w:rsidRDefault="00AF3373" w:rsidP="00AF3373">
            <w:pPr>
              <w:spacing w:after="0" w:line="240" w:lineRule="auto"/>
              <w:jc w:val="right"/>
              <w:rPr>
                <w:rFonts w:ascii="Times New Roman" w:hAnsi="Times New Roman"/>
                <w:color w:val="000000"/>
                <w:sz w:val="18"/>
                <w:szCs w:val="18"/>
                <w:lang w:eastAsia="sk-SK"/>
              </w:rPr>
            </w:pPr>
            <w:r w:rsidRPr="00AF3373">
              <w:rPr>
                <w:rFonts w:ascii="Times New Roman" w:hAnsi="Times New Roman"/>
                <w:color w:val="000000"/>
                <w:sz w:val="18"/>
                <w:szCs w:val="18"/>
                <w:lang w:eastAsia="sk-SK"/>
              </w:rPr>
              <w:t>100 263</w:t>
            </w:r>
          </w:p>
        </w:tc>
        <w:tc>
          <w:tcPr>
            <w:tcW w:w="903" w:type="pct"/>
            <w:tcBorders>
              <w:top w:val="nil"/>
              <w:left w:val="nil"/>
              <w:bottom w:val="nil"/>
              <w:right w:val="nil"/>
            </w:tcBorders>
            <w:vAlign w:val="center"/>
            <w:hideMark/>
          </w:tcPr>
          <w:p w14:paraId="64FAABD6" w14:textId="77777777" w:rsidR="00AF3373" w:rsidRPr="00AF3373" w:rsidRDefault="00AF3373" w:rsidP="00AF3373">
            <w:pPr>
              <w:spacing w:after="0" w:line="240" w:lineRule="auto"/>
              <w:jc w:val="right"/>
              <w:rPr>
                <w:rFonts w:ascii="Times New Roman" w:hAnsi="Times New Roman"/>
                <w:color w:val="000000"/>
                <w:sz w:val="18"/>
                <w:szCs w:val="18"/>
                <w:lang w:eastAsia="sk-SK"/>
              </w:rPr>
            </w:pPr>
            <w:r w:rsidRPr="00AF3373">
              <w:rPr>
                <w:rFonts w:ascii="Times New Roman" w:hAnsi="Times New Roman"/>
                <w:color w:val="000000"/>
                <w:sz w:val="18"/>
                <w:szCs w:val="18"/>
                <w:lang w:eastAsia="sk-SK"/>
              </w:rPr>
              <w:t>3 590</w:t>
            </w:r>
          </w:p>
        </w:tc>
      </w:tr>
      <w:tr w:rsidR="00AF3373" w:rsidRPr="00AF3373" w14:paraId="1965C8D9" w14:textId="77777777" w:rsidTr="00AF3373">
        <w:trPr>
          <w:trHeight w:val="227"/>
          <w:jc w:val="center"/>
        </w:trPr>
        <w:tc>
          <w:tcPr>
            <w:tcW w:w="2290" w:type="pct"/>
            <w:tcBorders>
              <w:top w:val="nil"/>
              <w:left w:val="nil"/>
              <w:bottom w:val="nil"/>
              <w:right w:val="nil"/>
            </w:tcBorders>
            <w:vAlign w:val="center"/>
            <w:hideMark/>
          </w:tcPr>
          <w:p w14:paraId="18734D9B" w14:textId="77777777" w:rsidR="00AF3373" w:rsidRPr="00AF3373" w:rsidRDefault="00AF3373" w:rsidP="00AF3373">
            <w:pPr>
              <w:spacing w:after="0" w:line="240" w:lineRule="auto"/>
              <w:rPr>
                <w:rFonts w:ascii="Times New Roman" w:hAnsi="Times New Roman"/>
                <w:color w:val="000000"/>
                <w:sz w:val="18"/>
                <w:szCs w:val="18"/>
                <w:lang w:eastAsia="sk-SK"/>
              </w:rPr>
            </w:pPr>
            <w:r w:rsidRPr="00AF3373">
              <w:rPr>
                <w:rFonts w:ascii="Times New Roman" w:hAnsi="Times New Roman"/>
                <w:color w:val="000000"/>
                <w:sz w:val="18"/>
                <w:szCs w:val="18"/>
                <w:lang w:eastAsia="sk-SK"/>
              </w:rPr>
              <w:t>Záväzky z pevných termínových operácií</w:t>
            </w:r>
          </w:p>
        </w:tc>
        <w:tc>
          <w:tcPr>
            <w:tcW w:w="903" w:type="pct"/>
            <w:tcBorders>
              <w:top w:val="nil"/>
              <w:left w:val="nil"/>
              <w:bottom w:val="nil"/>
              <w:right w:val="nil"/>
            </w:tcBorders>
            <w:vAlign w:val="center"/>
            <w:hideMark/>
          </w:tcPr>
          <w:p w14:paraId="1A74FFAA" w14:textId="77777777" w:rsidR="00AF3373" w:rsidRPr="00AF3373" w:rsidRDefault="00AF3373" w:rsidP="00AF3373">
            <w:pPr>
              <w:spacing w:after="0" w:line="240" w:lineRule="auto"/>
              <w:jc w:val="right"/>
              <w:rPr>
                <w:rFonts w:ascii="Times New Roman" w:hAnsi="Times New Roman"/>
                <w:color w:val="000000"/>
                <w:sz w:val="18"/>
                <w:szCs w:val="18"/>
                <w:lang w:eastAsia="sk-SK"/>
              </w:rPr>
            </w:pPr>
            <w:r w:rsidRPr="00AF3373">
              <w:rPr>
                <w:rFonts w:ascii="Times New Roman" w:hAnsi="Times New Roman"/>
                <w:color w:val="000000"/>
                <w:sz w:val="18"/>
                <w:szCs w:val="18"/>
                <w:lang w:eastAsia="sk-SK"/>
              </w:rPr>
              <w:t>53 254</w:t>
            </w:r>
          </w:p>
        </w:tc>
        <w:tc>
          <w:tcPr>
            <w:tcW w:w="903" w:type="pct"/>
            <w:tcBorders>
              <w:top w:val="nil"/>
              <w:left w:val="nil"/>
              <w:bottom w:val="nil"/>
              <w:right w:val="nil"/>
            </w:tcBorders>
            <w:vAlign w:val="center"/>
            <w:hideMark/>
          </w:tcPr>
          <w:p w14:paraId="1580D3C2" w14:textId="77777777" w:rsidR="00AF3373" w:rsidRPr="00AF3373" w:rsidRDefault="00AF3373" w:rsidP="00AF3373">
            <w:pPr>
              <w:spacing w:after="0" w:line="240" w:lineRule="auto"/>
              <w:jc w:val="right"/>
              <w:rPr>
                <w:rFonts w:ascii="Times New Roman" w:hAnsi="Times New Roman"/>
                <w:color w:val="000000"/>
                <w:sz w:val="18"/>
                <w:szCs w:val="18"/>
                <w:lang w:eastAsia="sk-SK"/>
              </w:rPr>
            </w:pPr>
            <w:r w:rsidRPr="00AF3373">
              <w:rPr>
                <w:rFonts w:ascii="Times New Roman" w:hAnsi="Times New Roman"/>
                <w:color w:val="000000"/>
                <w:sz w:val="18"/>
                <w:szCs w:val="18"/>
                <w:lang w:eastAsia="sk-SK"/>
              </w:rPr>
              <w:t>70 798</w:t>
            </w:r>
          </w:p>
        </w:tc>
        <w:tc>
          <w:tcPr>
            <w:tcW w:w="903" w:type="pct"/>
            <w:tcBorders>
              <w:top w:val="nil"/>
              <w:left w:val="nil"/>
              <w:bottom w:val="nil"/>
              <w:right w:val="nil"/>
            </w:tcBorders>
            <w:vAlign w:val="center"/>
            <w:hideMark/>
          </w:tcPr>
          <w:p w14:paraId="0A487965" w14:textId="77777777" w:rsidR="00AF3373" w:rsidRPr="00AF3373" w:rsidRDefault="00AF3373" w:rsidP="00AF3373">
            <w:pPr>
              <w:spacing w:after="0" w:line="240" w:lineRule="auto"/>
              <w:jc w:val="right"/>
              <w:rPr>
                <w:rFonts w:ascii="Times New Roman" w:hAnsi="Times New Roman"/>
                <w:color w:val="000000"/>
                <w:sz w:val="18"/>
                <w:szCs w:val="18"/>
                <w:lang w:eastAsia="sk-SK"/>
              </w:rPr>
            </w:pPr>
            <w:r w:rsidRPr="00AF3373">
              <w:rPr>
                <w:rFonts w:ascii="Times New Roman" w:hAnsi="Times New Roman"/>
                <w:color w:val="000000"/>
                <w:sz w:val="18"/>
                <w:szCs w:val="18"/>
                <w:lang w:eastAsia="sk-SK"/>
              </w:rPr>
              <w:t>-17 544</w:t>
            </w:r>
          </w:p>
        </w:tc>
      </w:tr>
      <w:tr w:rsidR="00AF3373" w:rsidRPr="00AF3373" w14:paraId="3C343971" w14:textId="77777777" w:rsidTr="00AF3373">
        <w:trPr>
          <w:trHeight w:val="227"/>
          <w:jc w:val="center"/>
        </w:trPr>
        <w:tc>
          <w:tcPr>
            <w:tcW w:w="2290" w:type="pct"/>
            <w:tcBorders>
              <w:top w:val="nil"/>
              <w:left w:val="nil"/>
              <w:bottom w:val="nil"/>
              <w:right w:val="nil"/>
            </w:tcBorders>
            <w:vAlign w:val="center"/>
            <w:hideMark/>
          </w:tcPr>
          <w:p w14:paraId="70D6E64D" w14:textId="77777777" w:rsidR="00AF3373" w:rsidRPr="00AF3373" w:rsidRDefault="00AF3373" w:rsidP="00AF3373">
            <w:pPr>
              <w:spacing w:after="0" w:line="240" w:lineRule="auto"/>
              <w:rPr>
                <w:rFonts w:ascii="Times New Roman" w:hAnsi="Times New Roman"/>
                <w:color w:val="000000"/>
                <w:sz w:val="18"/>
                <w:szCs w:val="18"/>
                <w:lang w:eastAsia="sk-SK"/>
              </w:rPr>
            </w:pPr>
            <w:r w:rsidRPr="00AF3373">
              <w:rPr>
                <w:rFonts w:ascii="Times New Roman" w:hAnsi="Times New Roman"/>
                <w:color w:val="000000"/>
                <w:sz w:val="18"/>
                <w:szCs w:val="18"/>
                <w:lang w:eastAsia="sk-SK"/>
              </w:rPr>
              <w:t>Záväzky NDS, a.s.</w:t>
            </w:r>
          </w:p>
        </w:tc>
        <w:tc>
          <w:tcPr>
            <w:tcW w:w="903" w:type="pct"/>
            <w:tcBorders>
              <w:top w:val="nil"/>
              <w:left w:val="nil"/>
              <w:bottom w:val="nil"/>
              <w:right w:val="nil"/>
            </w:tcBorders>
            <w:vAlign w:val="center"/>
            <w:hideMark/>
          </w:tcPr>
          <w:p w14:paraId="7F4DFE05" w14:textId="77777777" w:rsidR="00AF3373" w:rsidRPr="00AF3373" w:rsidRDefault="00AF3373" w:rsidP="00AF3373">
            <w:pPr>
              <w:spacing w:after="0" w:line="240" w:lineRule="auto"/>
              <w:jc w:val="right"/>
              <w:rPr>
                <w:rFonts w:ascii="Times New Roman" w:hAnsi="Times New Roman"/>
                <w:color w:val="000000"/>
                <w:sz w:val="18"/>
                <w:szCs w:val="18"/>
                <w:lang w:eastAsia="sk-SK"/>
              </w:rPr>
            </w:pPr>
            <w:r w:rsidRPr="00AF3373">
              <w:rPr>
                <w:rFonts w:ascii="Times New Roman" w:hAnsi="Times New Roman"/>
                <w:color w:val="000000"/>
                <w:sz w:val="18"/>
                <w:szCs w:val="18"/>
                <w:lang w:eastAsia="sk-SK"/>
              </w:rPr>
              <w:t>23 026</w:t>
            </w:r>
          </w:p>
        </w:tc>
        <w:tc>
          <w:tcPr>
            <w:tcW w:w="903" w:type="pct"/>
            <w:tcBorders>
              <w:top w:val="nil"/>
              <w:left w:val="nil"/>
              <w:bottom w:val="nil"/>
              <w:right w:val="nil"/>
            </w:tcBorders>
            <w:vAlign w:val="center"/>
            <w:hideMark/>
          </w:tcPr>
          <w:p w14:paraId="6E17154D" w14:textId="77777777" w:rsidR="00AF3373" w:rsidRPr="00AF3373" w:rsidRDefault="00AF3373" w:rsidP="00AF3373">
            <w:pPr>
              <w:spacing w:after="0" w:line="240" w:lineRule="auto"/>
              <w:jc w:val="right"/>
              <w:rPr>
                <w:rFonts w:ascii="Times New Roman" w:hAnsi="Times New Roman"/>
                <w:color w:val="000000"/>
                <w:sz w:val="18"/>
                <w:szCs w:val="18"/>
                <w:lang w:eastAsia="sk-SK"/>
              </w:rPr>
            </w:pPr>
            <w:r w:rsidRPr="00AF3373">
              <w:rPr>
                <w:rFonts w:ascii="Times New Roman" w:hAnsi="Times New Roman"/>
                <w:color w:val="000000"/>
                <w:sz w:val="18"/>
                <w:szCs w:val="18"/>
                <w:lang w:eastAsia="sk-SK"/>
              </w:rPr>
              <w:t>21 709</w:t>
            </w:r>
          </w:p>
        </w:tc>
        <w:tc>
          <w:tcPr>
            <w:tcW w:w="903" w:type="pct"/>
            <w:tcBorders>
              <w:top w:val="nil"/>
              <w:left w:val="nil"/>
              <w:bottom w:val="nil"/>
              <w:right w:val="nil"/>
            </w:tcBorders>
            <w:vAlign w:val="center"/>
            <w:hideMark/>
          </w:tcPr>
          <w:p w14:paraId="0699252F" w14:textId="77777777" w:rsidR="00AF3373" w:rsidRPr="00AF3373" w:rsidRDefault="00AF3373" w:rsidP="00AF3373">
            <w:pPr>
              <w:spacing w:after="0" w:line="240" w:lineRule="auto"/>
              <w:jc w:val="right"/>
              <w:rPr>
                <w:rFonts w:ascii="Times New Roman" w:hAnsi="Times New Roman"/>
                <w:color w:val="000000"/>
                <w:sz w:val="18"/>
                <w:szCs w:val="18"/>
                <w:lang w:eastAsia="sk-SK"/>
              </w:rPr>
            </w:pPr>
            <w:r w:rsidRPr="00AF3373">
              <w:rPr>
                <w:rFonts w:ascii="Times New Roman" w:hAnsi="Times New Roman"/>
                <w:color w:val="000000"/>
                <w:sz w:val="18"/>
                <w:szCs w:val="18"/>
                <w:lang w:eastAsia="sk-SK"/>
              </w:rPr>
              <w:t>1 317</w:t>
            </w:r>
          </w:p>
        </w:tc>
      </w:tr>
      <w:tr w:rsidR="00AF3373" w:rsidRPr="00AF3373" w14:paraId="60280630" w14:textId="77777777" w:rsidTr="00AF3373">
        <w:trPr>
          <w:trHeight w:val="227"/>
          <w:jc w:val="center"/>
        </w:trPr>
        <w:tc>
          <w:tcPr>
            <w:tcW w:w="2290" w:type="pct"/>
            <w:tcBorders>
              <w:top w:val="nil"/>
              <w:left w:val="nil"/>
              <w:bottom w:val="nil"/>
              <w:right w:val="nil"/>
            </w:tcBorders>
            <w:vAlign w:val="center"/>
            <w:hideMark/>
          </w:tcPr>
          <w:p w14:paraId="3A8C74D3" w14:textId="77777777" w:rsidR="00AF3373" w:rsidRPr="00AF3373" w:rsidRDefault="00AF3373" w:rsidP="00AF3373">
            <w:pPr>
              <w:spacing w:after="0" w:line="240" w:lineRule="auto"/>
              <w:rPr>
                <w:rFonts w:ascii="Times New Roman" w:hAnsi="Times New Roman"/>
                <w:color w:val="000000"/>
                <w:sz w:val="18"/>
                <w:szCs w:val="18"/>
                <w:lang w:eastAsia="sk-SK"/>
              </w:rPr>
            </w:pPr>
            <w:r w:rsidRPr="00AF3373">
              <w:rPr>
                <w:rFonts w:ascii="Times New Roman" w:hAnsi="Times New Roman"/>
                <w:color w:val="000000"/>
                <w:sz w:val="18"/>
                <w:szCs w:val="18"/>
                <w:lang w:eastAsia="sk-SK"/>
              </w:rPr>
              <w:t>Záväzky z nájmu</w:t>
            </w:r>
          </w:p>
        </w:tc>
        <w:tc>
          <w:tcPr>
            <w:tcW w:w="903" w:type="pct"/>
            <w:tcBorders>
              <w:top w:val="nil"/>
              <w:left w:val="nil"/>
              <w:bottom w:val="nil"/>
              <w:right w:val="nil"/>
            </w:tcBorders>
            <w:vAlign w:val="center"/>
            <w:hideMark/>
          </w:tcPr>
          <w:p w14:paraId="396A9526" w14:textId="77777777" w:rsidR="00AF3373" w:rsidRPr="00AF3373" w:rsidRDefault="00AF3373" w:rsidP="00AF3373">
            <w:pPr>
              <w:spacing w:after="0" w:line="240" w:lineRule="auto"/>
              <w:jc w:val="right"/>
              <w:rPr>
                <w:rFonts w:ascii="Times New Roman" w:hAnsi="Times New Roman"/>
                <w:color w:val="000000"/>
                <w:sz w:val="18"/>
                <w:szCs w:val="18"/>
                <w:lang w:eastAsia="sk-SK"/>
              </w:rPr>
            </w:pPr>
            <w:r w:rsidRPr="00AF3373">
              <w:rPr>
                <w:rFonts w:ascii="Times New Roman" w:hAnsi="Times New Roman"/>
                <w:color w:val="000000"/>
                <w:sz w:val="18"/>
                <w:szCs w:val="18"/>
                <w:lang w:eastAsia="sk-SK"/>
              </w:rPr>
              <w:t>14 442</w:t>
            </w:r>
          </w:p>
        </w:tc>
        <w:tc>
          <w:tcPr>
            <w:tcW w:w="903" w:type="pct"/>
            <w:tcBorders>
              <w:top w:val="nil"/>
              <w:left w:val="nil"/>
              <w:bottom w:val="nil"/>
              <w:right w:val="nil"/>
            </w:tcBorders>
            <w:vAlign w:val="center"/>
            <w:hideMark/>
          </w:tcPr>
          <w:p w14:paraId="48E8AC1E" w14:textId="77777777" w:rsidR="00AF3373" w:rsidRPr="00AF3373" w:rsidRDefault="00AF3373" w:rsidP="00AF3373">
            <w:pPr>
              <w:spacing w:after="0" w:line="240" w:lineRule="auto"/>
              <w:jc w:val="right"/>
              <w:rPr>
                <w:rFonts w:ascii="Times New Roman" w:hAnsi="Times New Roman"/>
                <w:color w:val="000000"/>
                <w:sz w:val="18"/>
                <w:szCs w:val="18"/>
                <w:lang w:eastAsia="sk-SK"/>
              </w:rPr>
            </w:pPr>
            <w:r w:rsidRPr="00AF3373">
              <w:rPr>
                <w:rFonts w:ascii="Times New Roman" w:hAnsi="Times New Roman"/>
                <w:color w:val="000000"/>
                <w:sz w:val="18"/>
                <w:szCs w:val="18"/>
                <w:lang w:eastAsia="sk-SK"/>
              </w:rPr>
              <w:t>13 039</w:t>
            </w:r>
          </w:p>
        </w:tc>
        <w:tc>
          <w:tcPr>
            <w:tcW w:w="903" w:type="pct"/>
            <w:tcBorders>
              <w:top w:val="nil"/>
              <w:left w:val="nil"/>
              <w:bottom w:val="nil"/>
              <w:right w:val="nil"/>
            </w:tcBorders>
            <w:vAlign w:val="center"/>
            <w:hideMark/>
          </w:tcPr>
          <w:p w14:paraId="211FE885" w14:textId="77777777" w:rsidR="00AF3373" w:rsidRPr="00AF3373" w:rsidRDefault="00AF3373" w:rsidP="00AF3373">
            <w:pPr>
              <w:spacing w:after="0" w:line="240" w:lineRule="auto"/>
              <w:jc w:val="right"/>
              <w:rPr>
                <w:rFonts w:ascii="Times New Roman" w:hAnsi="Times New Roman"/>
                <w:color w:val="000000"/>
                <w:sz w:val="18"/>
                <w:szCs w:val="18"/>
                <w:lang w:eastAsia="sk-SK"/>
              </w:rPr>
            </w:pPr>
            <w:r w:rsidRPr="00AF3373">
              <w:rPr>
                <w:rFonts w:ascii="Times New Roman" w:hAnsi="Times New Roman"/>
                <w:color w:val="000000"/>
                <w:sz w:val="18"/>
                <w:szCs w:val="18"/>
                <w:lang w:eastAsia="sk-SK"/>
              </w:rPr>
              <w:t>1 403</w:t>
            </w:r>
          </w:p>
        </w:tc>
      </w:tr>
      <w:tr w:rsidR="00AF3373" w:rsidRPr="00AF3373" w14:paraId="5462676D" w14:textId="77777777" w:rsidTr="00AF3373">
        <w:trPr>
          <w:trHeight w:val="227"/>
          <w:jc w:val="center"/>
        </w:trPr>
        <w:tc>
          <w:tcPr>
            <w:tcW w:w="2290" w:type="pct"/>
            <w:tcBorders>
              <w:top w:val="nil"/>
              <w:left w:val="nil"/>
              <w:bottom w:val="single" w:sz="4" w:space="0" w:color="auto"/>
              <w:right w:val="nil"/>
            </w:tcBorders>
            <w:vAlign w:val="center"/>
            <w:hideMark/>
          </w:tcPr>
          <w:p w14:paraId="7A825166" w14:textId="77777777" w:rsidR="00AF3373" w:rsidRPr="00AF3373" w:rsidRDefault="00AF3373" w:rsidP="00AF3373">
            <w:pPr>
              <w:spacing w:after="0" w:line="240" w:lineRule="auto"/>
              <w:rPr>
                <w:rFonts w:ascii="Times New Roman" w:hAnsi="Times New Roman"/>
                <w:color w:val="000000"/>
                <w:sz w:val="18"/>
                <w:szCs w:val="18"/>
                <w:lang w:eastAsia="sk-SK"/>
              </w:rPr>
            </w:pPr>
            <w:r w:rsidRPr="00AF3373">
              <w:rPr>
                <w:rFonts w:ascii="Times New Roman" w:hAnsi="Times New Roman"/>
                <w:color w:val="000000"/>
                <w:sz w:val="18"/>
                <w:szCs w:val="18"/>
                <w:lang w:eastAsia="sk-SK"/>
              </w:rPr>
              <w:t>Ostatné záväzky</w:t>
            </w:r>
          </w:p>
        </w:tc>
        <w:tc>
          <w:tcPr>
            <w:tcW w:w="903" w:type="pct"/>
            <w:tcBorders>
              <w:top w:val="nil"/>
              <w:left w:val="nil"/>
              <w:bottom w:val="single" w:sz="4" w:space="0" w:color="auto"/>
              <w:right w:val="nil"/>
            </w:tcBorders>
            <w:vAlign w:val="center"/>
            <w:hideMark/>
          </w:tcPr>
          <w:p w14:paraId="7479C0D2" w14:textId="7D28EEF6" w:rsidR="00AF3373" w:rsidRPr="00AF3373" w:rsidRDefault="00A874D0" w:rsidP="00AF3373">
            <w:pPr>
              <w:spacing w:after="0" w:line="240" w:lineRule="auto"/>
              <w:jc w:val="right"/>
              <w:rPr>
                <w:rFonts w:ascii="Times New Roman" w:hAnsi="Times New Roman"/>
                <w:color w:val="000000"/>
                <w:sz w:val="18"/>
                <w:szCs w:val="18"/>
                <w:lang w:eastAsia="sk-SK"/>
              </w:rPr>
            </w:pPr>
            <w:r>
              <w:rPr>
                <w:rFonts w:ascii="Times New Roman" w:hAnsi="Times New Roman"/>
                <w:color w:val="000000"/>
                <w:sz w:val="18"/>
                <w:szCs w:val="18"/>
                <w:lang w:eastAsia="sk-SK"/>
              </w:rPr>
              <w:t>258 063</w:t>
            </w:r>
          </w:p>
        </w:tc>
        <w:tc>
          <w:tcPr>
            <w:tcW w:w="903" w:type="pct"/>
            <w:tcBorders>
              <w:top w:val="nil"/>
              <w:left w:val="nil"/>
              <w:bottom w:val="single" w:sz="4" w:space="0" w:color="auto"/>
              <w:right w:val="nil"/>
            </w:tcBorders>
            <w:vAlign w:val="center"/>
            <w:hideMark/>
          </w:tcPr>
          <w:p w14:paraId="7DE72169" w14:textId="77777777" w:rsidR="00AF3373" w:rsidRPr="00AF3373" w:rsidRDefault="00AF3373" w:rsidP="00AF3373">
            <w:pPr>
              <w:spacing w:after="0" w:line="240" w:lineRule="auto"/>
              <w:jc w:val="right"/>
              <w:rPr>
                <w:rFonts w:ascii="Times New Roman" w:hAnsi="Times New Roman"/>
                <w:color w:val="000000"/>
                <w:sz w:val="18"/>
                <w:szCs w:val="18"/>
                <w:lang w:eastAsia="sk-SK"/>
              </w:rPr>
            </w:pPr>
            <w:r w:rsidRPr="00AF3373">
              <w:rPr>
                <w:rFonts w:ascii="Times New Roman" w:hAnsi="Times New Roman"/>
                <w:color w:val="000000"/>
                <w:sz w:val="18"/>
                <w:szCs w:val="18"/>
                <w:lang w:eastAsia="sk-SK"/>
              </w:rPr>
              <w:t>211 193</w:t>
            </w:r>
          </w:p>
        </w:tc>
        <w:tc>
          <w:tcPr>
            <w:tcW w:w="903" w:type="pct"/>
            <w:tcBorders>
              <w:top w:val="nil"/>
              <w:left w:val="nil"/>
              <w:bottom w:val="single" w:sz="4" w:space="0" w:color="auto"/>
              <w:right w:val="nil"/>
            </w:tcBorders>
            <w:vAlign w:val="center"/>
            <w:hideMark/>
          </w:tcPr>
          <w:p w14:paraId="26F9B35B" w14:textId="2664414A" w:rsidR="00AF3373" w:rsidRPr="00AF3373" w:rsidRDefault="00A874D0" w:rsidP="00AF3373">
            <w:pPr>
              <w:spacing w:after="0" w:line="240" w:lineRule="auto"/>
              <w:jc w:val="right"/>
              <w:rPr>
                <w:rFonts w:ascii="Times New Roman" w:hAnsi="Times New Roman"/>
                <w:color w:val="000000"/>
                <w:sz w:val="18"/>
                <w:szCs w:val="18"/>
                <w:lang w:eastAsia="sk-SK"/>
              </w:rPr>
            </w:pPr>
            <w:r>
              <w:rPr>
                <w:rFonts w:ascii="Times New Roman" w:hAnsi="Times New Roman"/>
                <w:color w:val="000000"/>
                <w:sz w:val="18"/>
                <w:szCs w:val="18"/>
                <w:lang w:eastAsia="sk-SK"/>
              </w:rPr>
              <w:t>46 870</w:t>
            </w:r>
          </w:p>
        </w:tc>
      </w:tr>
      <w:tr w:rsidR="00AF3373" w:rsidRPr="00AF3373" w14:paraId="69F5A87C" w14:textId="77777777" w:rsidTr="00AF3373">
        <w:trPr>
          <w:trHeight w:val="227"/>
          <w:jc w:val="center"/>
        </w:trPr>
        <w:tc>
          <w:tcPr>
            <w:tcW w:w="2290" w:type="pct"/>
            <w:tcBorders>
              <w:top w:val="nil"/>
              <w:left w:val="nil"/>
              <w:bottom w:val="single" w:sz="4" w:space="0" w:color="auto"/>
              <w:right w:val="nil"/>
            </w:tcBorders>
            <w:vAlign w:val="center"/>
            <w:hideMark/>
          </w:tcPr>
          <w:p w14:paraId="5E26915E" w14:textId="77777777" w:rsidR="00AF3373" w:rsidRPr="00AF3373" w:rsidRDefault="00AF3373" w:rsidP="00AF3373">
            <w:pPr>
              <w:spacing w:after="0" w:line="240" w:lineRule="auto"/>
              <w:rPr>
                <w:rFonts w:ascii="Times New Roman" w:hAnsi="Times New Roman"/>
                <w:b/>
                <w:bCs/>
                <w:color w:val="000000"/>
                <w:sz w:val="18"/>
                <w:szCs w:val="18"/>
                <w:lang w:eastAsia="sk-SK"/>
              </w:rPr>
            </w:pPr>
            <w:r w:rsidRPr="00AF3373">
              <w:rPr>
                <w:rFonts w:ascii="Times New Roman" w:hAnsi="Times New Roman"/>
                <w:b/>
                <w:bCs/>
                <w:color w:val="000000"/>
                <w:sz w:val="18"/>
                <w:szCs w:val="18"/>
                <w:lang w:eastAsia="sk-SK"/>
              </w:rPr>
              <w:t>Spolu</w:t>
            </w:r>
          </w:p>
        </w:tc>
        <w:tc>
          <w:tcPr>
            <w:tcW w:w="903" w:type="pct"/>
            <w:tcBorders>
              <w:top w:val="nil"/>
              <w:left w:val="nil"/>
              <w:bottom w:val="single" w:sz="4" w:space="0" w:color="auto"/>
              <w:right w:val="nil"/>
            </w:tcBorders>
            <w:vAlign w:val="center"/>
            <w:hideMark/>
          </w:tcPr>
          <w:p w14:paraId="08A3BC03" w14:textId="77777777" w:rsidR="00AF3373" w:rsidRPr="00AF3373" w:rsidRDefault="00AF3373" w:rsidP="00AF3373">
            <w:pPr>
              <w:spacing w:after="0" w:line="240" w:lineRule="auto"/>
              <w:jc w:val="right"/>
              <w:rPr>
                <w:rFonts w:ascii="Times New Roman" w:hAnsi="Times New Roman"/>
                <w:b/>
                <w:bCs/>
                <w:color w:val="000000"/>
                <w:sz w:val="18"/>
                <w:szCs w:val="18"/>
                <w:lang w:eastAsia="sk-SK"/>
              </w:rPr>
            </w:pPr>
            <w:r w:rsidRPr="00AF3373">
              <w:rPr>
                <w:rFonts w:ascii="Times New Roman" w:hAnsi="Times New Roman"/>
                <w:b/>
                <w:bCs/>
                <w:color w:val="000000"/>
                <w:sz w:val="18"/>
                <w:szCs w:val="18"/>
                <w:lang w:eastAsia="sk-SK"/>
              </w:rPr>
              <w:t>71 150 459</w:t>
            </w:r>
          </w:p>
        </w:tc>
        <w:tc>
          <w:tcPr>
            <w:tcW w:w="903" w:type="pct"/>
            <w:tcBorders>
              <w:top w:val="nil"/>
              <w:left w:val="nil"/>
              <w:bottom w:val="single" w:sz="4" w:space="0" w:color="auto"/>
              <w:right w:val="nil"/>
            </w:tcBorders>
            <w:vAlign w:val="center"/>
            <w:hideMark/>
          </w:tcPr>
          <w:p w14:paraId="0C70720B" w14:textId="77777777" w:rsidR="00AF3373" w:rsidRPr="00AF3373" w:rsidRDefault="00AF3373" w:rsidP="00AF3373">
            <w:pPr>
              <w:spacing w:after="0" w:line="240" w:lineRule="auto"/>
              <w:jc w:val="right"/>
              <w:rPr>
                <w:rFonts w:ascii="Times New Roman" w:hAnsi="Times New Roman"/>
                <w:b/>
                <w:bCs/>
                <w:color w:val="000000"/>
                <w:sz w:val="18"/>
                <w:szCs w:val="18"/>
                <w:lang w:eastAsia="sk-SK"/>
              </w:rPr>
            </w:pPr>
            <w:r w:rsidRPr="00AF3373">
              <w:rPr>
                <w:rFonts w:ascii="Times New Roman" w:hAnsi="Times New Roman"/>
                <w:b/>
                <w:bCs/>
                <w:color w:val="000000"/>
                <w:sz w:val="18"/>
                <w:szCs w:val="18"/>
                <w:lang w:eastAsia="sk-SK"/>
              </w:rPr>
              <w:t>62 696 671</w:t>
            </w:r>
          </w:p>
        </w:tc>
        <w:tc>
          <w:tcPr>
            <w:tcW w:w="903" w:type="pct"/>
            <w:tcBorders>
              <w:top w:val="nil"/>
              <w:left w:val="nil"/>
              <w:bottom w:val="single" w:sz="4" w:space="0" w:color="auto"/>
              <w:right w:val="nil"/>
            </w:tcBorders>
            <w:vAlign w:val="center"/>
            <w:hideMark/>
          </w:tcPr>
          <w:p w14:paraId="50D3D741" w14:textId="77777777" w:rsidR="00AF3373" w:rsidRPr="00AF3373" w:rsidRDefault="00AF3373" w:rsidP="00AF3373">
            <w:pPr>
              <w:spacing w:after="0" w:line="240" w:lineRule="auto"/>
              <w:jc w:val="right"/>
              <w:rPr>
                <w:rFonts w:ascii="Times New Roman" w:hAnsi="Times New Roman"/>
                <w:b/>
                <w:bCs/>
                <w:color w:val="000000"/>
                <w:sz w:val="18"/>
                <w:szCs w:val="18"/>
                <w:lang w:eastAsia="sk-SK"/>
              </w:rPr>
            </w:pPr>
            <w:r w:rsidRPr="00AF3373">
              <w:rPr>
                <w:rFonts w:ascii="Times New Roman" w:hAnsi="Times New Roman"/>
                <w:b/>
                <w:bCs/>
                <w:color w:val="000000"/>
                <w:sz w:val="18"/>
                <w:szCs w:val="18"/>
                <w:lang w:eastAsia="sk-SK"/>
              </w:rPr>
              <w:t>8 453 788</w:t>
            </w:r>
          </w:p>
        </w:tc>
      </w:tr>
      <w:tr w:rsidR="00AF3373" w:rsidRPr="00AF3373" w14:paraId="0A744A7F" w14:textId="77777777" w:rsidTr="0085799C">
        <w:trPr>
          <w:trHeight w:val="227"/>
          <w:jc w:val="center"/>
        </w:trPr>
        <w:tc>
          <w:tcPr>
            <w:tcW w:w="5000" w:type="pct"/>
            <w:gridSpan w:val="4"/>
            <w:tcBorders>
              <w:top w:val="nil"/>
              <w:left w:val="nil"/>
              <w:bottom w:val="nil"/>
              <w:right w:val="nil"/>
            </w:tcBorders>
            <w:noWrap/>
            <w:vAlign w:val="center"/>
            <w:hideMark/>
          </w:tcPr>
          <w:p w14:paraId="104D8F04" w14:textId="77777777" w:rsidR="00AF3373" w:rsidRPr="00AF3373" w:rsidRDefault="00AF3373" w:rsidP="00AF3373">
            <w:pPr>
              <w:spacing w:after="0" w:line="240" w:lineRule="auto"/>
              <w:jc w:val="right"/>
              <w:rPr>
                <w:rFonts w:ascii="Times New Roman" w:hAnsi="Times New Roman"/>
                <w:color w:val="000000"/>
                <w:sz w:val="16"/>
                <w:szCs w:val="16"/>
                <w:lang w:eastAsia="sk-SK"/>
              </w:rPr>
            </w:pPr>
            <w:r w:rsidRPr="00AF3373">
              <w:rPr>
                <w:rFonts w:ascii="Times New Roman" w:hAnsi="Times New Roman"/>
                <w:color w:val="000000"/>
                <w:sz w:val="16"/>
                <w:szCs w:val="16"/>
                <w:lang w:eastAsia="sk-SK"/>
              </w:rPr>
              <w:t>Zdroj: MF SR, Centrálny konsolidačný systém</w:t>
            </w:r>
          </w:p>
        </w:tc>
      </w:tr>
    </w:tbl>
    <w:p w14:paraId="2AC1537A" w14:textId="77777777" w:rsidR="002F0164" w:rsidRPr="000B0B19" w:rsidRDefault="002F0164" w:rsidP="0085799C">
      <w:pPr>
        <w:spacing w:after="120" w:line="240" w:lineRule="auto"/>
        <w:rPr>
          <w:rFonts w:ascii="Times New Roman" w:hAnsi="Times New Roman"/>
          <w:szCs w:val="22"/>
        </w:rPr>
      </w:pPr>
    </w:p>
    <w:p w14:paraId="6690B7A1" w14:textId="1693522D" w:rsidR="00CB3FCC" w:rsidRDefault="00331FF1" w:rsidP="0085799C">
      <w:pPr>
        <w:pStyle w:val="Nadpis4"/>
        <w:numPr>
          <w:ilvl w:val="0"/>
          <w:numId w:val="54"/>
        </w:numPr>
        <w:ind w:left="426" w:hanging="426"/>
      </w:pPr>
      <w:bookmarkStart w:id="41" w:name="_Bankové_úvery"/>
      <w:bookmarkEnd w:id="41"/>
      <w:r>
        <w:t>Bankové úvery</w:t>
      </w:r>
    </w:p>
    <w:p w14:paraId="4E58CC89" w14:textId="72C3F035" w:rsidR="00647542" w:rsidRPr="00907622" w:rsidRDefault="00647542" w:rsidP="0085799C">
      <w:pPr>
        <w:spacing w:after="120" w:line="240" w:lineRule="auto"/>
        <w:jc w:val="both"/>
        <w:rPr>
          <w:rFonts w:ascii="Times New Roman" w:hAnsi="Times New Roman"/>
          <w:szCs w:val="22"/>
        </w:rPr>
      </w:pPr>
      <w:r w:rsidRPr="00907622">
        <w:rPr>
          <w:rFonts w:ascii="Times New Roman" w:hAnsi="Times New Roman"/>
          <w:szCs w:val="22"/>
        </w:rPr>
        <w:t xml:space="preserve">Bankové úvery so splatnosťou dlhšou ako jeden rok dosiahli objem </w:t>
      </w:r>
      <w:r w:rsidR="002438DB" w:rsidRPr="00265F07">
        <w:rPr>
          <w:rFonts w:ascii="Times New Roman" w:hAnsi="Times New Roman"/>
          <w:szCs w:val="22"/>
        </w:rPr>
        <w:t>5</w:t>
      </w:r>
      <w:r w:rsidR="000B0B19">
        <w:rPr>
          <w:rFonts w:ascii="Times New Roman" w:hAnsi="Times New Roman"/>
          <w:szCs w:val="22"/>
        </w:rPr>
        <w:t> </w:t>
      </w:r>
      <w:r w:rsidR="002438DB" w:rsidRPr="00265F07">
        <w:rPr>
          <w:rFonts w:ascii="Times New Roman" w:hAnsi="Times New Roman"/>
          <w:szCs w:val="22"/>
        </w:rPr>
        <w:t>432</w:t>
      </w:r>
      <w:r w:rsidR="000B0B19">
        <w:rPr>
          <w:rFonts w:ascii="Times New Roman" w:hAnsi="Times New Roman"/>
          <w:szCs w:val="22"/>
        </w:rPr>
        <w:t> </w:t>
      </w:r>
      <w:r w:rsidR="002438DB" w:rsidRPr="00265F07">
        <w:rPr>
          <w:rFonts w:ascii="Times New Roman" w:hAnsi="Times New Roman"/>
          <w:szCs w:val="22"/>
        </w:rPr>
        <w:t>748</w:t>
      </w:r>
      <w:r w:rsidRPr="00907622">
        <w:rPr>
          <w:rFonts w:ascii="Times New Roman" w:hAnsi="Times New Roman"/>
          <w:szCs w:val="22"/>
        </w:rPr>
        <w:t xml:space="preserve"> tis. eur. Zostatok dlhodobých bankových úverov sa medziročne </w:t>
      </w:r>
      <w:r w:rsidR="00933024" w:rsidRPr="00265F07">
        <w:rPr>
          <w:rFonts w:ascii="Times New Roman" w:hAnsi="Times New Roman"/>
          <w:szCs w:val="22"/>
        </w:rPr>
        <w:t xml:space="preserve">znížil </w:t>
      </w:r>
      <w:r w:rsidRPr="00907622">
        <w:rPr>
          <w:rFonts w:ascii="Times New Roman" w:hAnsi="Times New Roman"/>
          <w:szCs w:val="22"/>
        </w:rPr>
        <w:t>o</w:t>
      </w:r>
      <w:r w:rsidR="0017556A" w:rsidRPr="00265F07">
        <w:rPr>
          <w:rFonts w:ascii="Times New Roman" w:hAnsi="Times New Roman"/>
          <w:szCs w:val="22"/>
        </w:rPr>
        <w:t> 665</w:t>
      </w:r>
      <w:r w:rsidR="001C2511">
        <w:rPr>
          <w:rFonts w:ascii="Times New Roman" w:hAnsi="Times New Roman"/>
          <w:szCs w:val="22"/>
        </w:rPr>
        <w:t> </w:t>
      </w:r>
      <w:r w:rsidR="0017556A" w:rsidRPr="00265F07">
        <w:rPr>
          <w:rFonts w:ascii="Times New Roman" w:hAnsi="Times New Roman"/>
          <w:szCs w:val="22"/>
        </w:rPr>
        <w:t>013</w:t>
      </w:r>
      <w:r w:rsidRPr="00907622">
        <w:rPr>
          <w:rFonts w:ascii="Times New Roman" w:hAnsi="Times New Roman"/>
          <w:szCs w:val="22"/>
        </w:rPr>
        <w:t xml:space="preserve"> tis. eur najmä vplyvom </w:t>
      </w:r>
      <w:r w:rsidR="00830DE6" w:rsidRPr="00265F07">
        <w:rPr>
          <w:rFonts w:ascii="Times New Roman" w:hAnsi="Times New Roman"/>
          <w:szCs w:val="22"/>
        </w:rPr>
        <w:t xml:space="preserve">zníženia </w:t>
      </w:r>
      <w:r w:rsidRPr="00907622">
        <w:rPr>
          <w:rFonts w:ascii="Times New Roman" w:hAnsi="Times New Roman"/>
          <w:szCs w:val="22"/>
        </w:rPr>
        <w:t xml:space="preserve">v prípade </w:t>
      </w:r>
      <w:r w:rsidR="00F35B8F" w:rsidRPr="00265F07">
        <w:rPr>
          <w:rFonts w:ascii="Times New Roman" w:hAnsi="Times New Roman"/>
          <w:szCs w:val="22"/>
        </w:rPr>
        <w:t xml:space="preserve">ústrednej správy </w:t>
      </w:r>
      <w:r w:rsidRPr="00907622">
        <w:rPr>
          <w:rFonts w:ascii="Times New Roman" w:hAnsi="Times New Roman"/>
          <w:szCs w:val="22"/>
        </w:rPr>
        <w:t>o</w:t>
      </w:r>
      <w:r w:rsidR="00C322F3">
        <w:rPr>
          <w:rFonts w:ascii="Times New Roman" w:hAnsi="Times New Roman"/>
          <w:szCs w:val="22"/>
        </w:rPr>
        <w:t> 665 419</w:t>
      </w:r>
      <w:r w:rsidRPr="00907622">
        <w:rPr>
          <w:rFonts w:ascii="Times New Roman" w:hAnsi="Times New Roman"/>
          <w:szCs w:val="22"/>
        </w:rPr>
        <w:t> tis. eur. V najväčšej miere sú dlhodobé bankové úvery čerpané subjektami ústrednej správy (</w:t>
      </w:r>
      <w:r w:rsidR="004D678D">
        <w:rPr>
          <w:rFonts w:ascii="Times New Roman" w:hAnsi="Times New Roman"/>
          <w:szCs w:val="22"/>
        </w:rPr>
        <w:t>3 990 309</w:t>
      </w:r>
      <w:r w:rsidRPr="00907622">
        <w:rPr>
          <w:rFonts w:ascii="Times New Roman" w:hAnsi="Times New Roman"/>
          <w:szCs w:val="22"/>
        </w:rPr>
        <w:t> tis. eur) a</w:t>
      </w:r>
      <w:r w:rsidR="003C6A02">
        <w:rPr>
          <w:rFonts w:ascii="Times New Roman" w:hAnsi="Times New Roman"/>
          <w:szCs w:val="22"/>
        </w:rPr>
        <w:t xml:space="preserve"> </w:t>
      </w:r>
      <w:r w:rsidRPr="00907622">
        <w:rPr>
          <w:rFonts w:ascii="Times New Roman" w:hAnsi="Times New Roman"/>
          <w:szCs w:val="22"/>
        </w:rPr>
        <w:t>subjektami územnej samosprávy (</w:t>
      </w:r>
      <w:r w:rsidR="008751D0" w:rsidRPr="00265F07">
        <w:rPr>
          <w:rFonts w:ascii="Times New Roman" w:hAnsi="Times New Roman"/>
          <w:szCs w:val="22"/>
        </w:rPr>
        <w:t>1</w:t>
      </w:r>
      <w:r w:rsidR="003C6A02">
        <w:rPr>
          <w:rFonts w:ascii="Times New Roman" w:hAnsi="Times New Roman"/>
          <w:szCs w:val="22"/>
        </w:rPr>
        <w:t> </w:t>
      </w:r>
      <w:r w:rsidR="008751D0" w:rsidRPr="00265F07">
        <w:rPr>
          <w:rFonts w:ascii="Times New Roman" w:hAnsi="Times New Roman"/>
          <w:szCs w:val="22"/>
        </w:rPr>
        <w:t>433</w:t>
      </w:r>
      <w:r w:rsidR="003C6A02">
        <w:rPr>
          <w:rFonts w:ascii="Times New Roman" w:hAnsi="Times New Roman"/>
          <w:szCs w:val="22"/>
        </w:rPr>
        <w:t> </w:t>
      </w:r>
      <w:r w:rsidR="008751D0" w:rsidRPr="00265F07">
        <w:rPr>
          <w:rFonts w:ascii="Times New Roman" w:hAnsi="Times New Roman"/>
          <w:szCs w:val="22"/>
        </w:rPr>
        <w:t>064</w:t>
      </w:r>
      <w:r w:rsidRPr="00907622">
        <w:rPr>
          <w:rFonts w:ascii="Times New Roman" w:hAnsi="Times New Roman"/>
          <w:szCs w:val="22"/>
        </w:rPr>
        <w:t xml:space="preserve"> tis. eur). </w:t>
      </w:r>
    </w:p>
    <w:p w14:paraId="3FAB95E3" w14:textId="418A66F2" w:rsidR="00647542" w:rsidRPr="00907622" w:rsidRDefault="00647542" w:rsidP="0085799C">
      <w:pPr>
        <w:pStyle w:val="Pismenka"/>
        <w:tabs>
          <w:tab w:val="clear" w:pos="426"/>
        </w:tabs>
        <w:spacing w:after="120"/>
        <w:ind w:left="0" w:firstLine="0"/>
        <w:rPr>
          <w:b w:val="0"/>
          <w:iCs/>
        </w:rPr>
      </w:pPr>
      <w:r w:rsidRPr="00907622">
        <w:rPr>
          <w:b w:val="0"/>
          <w:bCs w:val="0"/>
          <w:sz w:val="22"/>
          <w:szCs w:val="22"/>
          <w:lang w:eastAsia="en-US"/>
        </w:rPr>
        <w:t>Z ústrednej správy je rozhodujúcim subjektom vo výške prijatých a splácaných úverov Ministerstvo financií SR, ktoré využíva výhodnejšie úrokové a úverové podmienky od medzinárodných finančných inštitúcií (ktorých väčšinou je Slovensko aj samotným členom a prispievateľom) na financovanie projektov v oblasti infraštruktúry, životného prostredia, podpory hospodárstva a jeho modernizácie, na krytie zvýšených výdavkov spôsobených celosvetovou pandémiou a na podporu hospodárstva v čase krízy. Prostriedky sú väčšinou používané ako zdroj spolufinancovania k spoločným projektom s EÚ v rámci jednotlivých programových období.</w:t>
      </w:r>
    </w:p>
    <w:p w14:paraId="0E850126" w14:textId="77D6ECF7" w:rsidR="00D3246F" w:rsidRPr="0085799C" w:rsidRDefault="00F920D0" w:rsidP="2F579C59">
      <w:pPr>
        <w:spacing w:after="120" w:line="240" w:lineRule="auto"/>
        <w:rPr>
          <w:rFonts w:ascii="Times New Roman" w:hAnsi="Times New Roman"/>
          <w:b/>
          <w:sz w:val="18"/>
          <w:szCs w:val="18"/>
        </w:rPr>
      </w:pPr>
      <w:r w:rsidRPr="0085799C">
        <w:rPr>
          <w:rFonts w:ascii="Times New Roman" w:hAnsi="Times New Roman"/>
          <w:b/>
          <w:bCs/>
          <w:sz w:val="18"/>
          <w:szCs w:val="18"/>
        </w:rPr>
        <w:t>Tabuľka 13</w:t>
      </w:r>
    </w:p>
    <w:tbl>
      <w:tblPr>
        <w:tblW w:w="5000" w:type="pct"/>
        <w:jc w:val="center"/>
        <w:tblCellMar>
          <w:left w:w="70" w:type="dxa"/>
          <w:right w:w="70" w:type="dxa"/>
        </w:tblCellMar>
        <w:tblLook w:val="04A0" w:firstRow="1" w:lastRow="0" w:firstColumn="1" w:lastColumn="0" w:noHBand="0" w:noVBand="1"/>
      </w:tblPr>
      <w:tblGrid>
        <w:gridCol w:w="4890"/>
        <w:gridCol w:w="1393"/>
        <w:gridCol w:w="1393"/>
        <w:gridCol w:w="1395"/>
      </w:tblGrid>
      <w:tr w:rsidR="00F920D0" w:rsidRPr="00F920D0" w14:paraId="673C2452" w14:textId="77777777" w:rsidTr="0085799C">
        <w:trPr>
          <w:trHeight w:val="227"/>
          <w:jc w:val="center"/>
        </w:trPr>
        <w:tc>
          <w:tcPr>
            <w:tcW w:w="2695" w:type="pct"/>
            <w:tcBorders>
              <w:top w:val="single" w:sz="8" w:space="0" w:color="auto"/>
              <w:left w:val="nil"/>
              <w:bottom w:val="single" w:sz="8" w:space="0" w:color="auto"/>
              <w:right w:val="nil"/>
            </w:tcBorders>
            <w:shd w:val="clear" w:color="000000" w:fill="F4B084"/>
            <w:vAlign w:val="center"/>
            <w:hideMark/>
          </w:tcPr>
          <w:p w14:paraId="20D5595F" w14:textId="77777777" w:rsidR="00F920D0" w:rsidRPr="00F920D0" w:rsidRDefault="00F920D0" w:rsidP="00F920D0">
            <w:pPr>
              <w:spacing w:after="0" w:line="240" w:lineRule="auto"/>
              <w:rPr>
                <w:rFonts w:ascii="Times New Roman" w:hAnsi="Times New Roman"/>
                <w:b/>
                <w:bCs/>
                <w:color w:val="000000"/>
                <w:sz w:val="18"/>
                <w:szCs w:val="18"/>
                <w:lang w:eastAsia="sk-SK"/>
              </w:rPr>
            </w:pPr>
            <w:r w:rsidRPr="00F920D0">
              <w:rPr>
                <w:rFonts w:ascii="Times New Roman" w:hAnsi="Times New Roman"/>
                <w:b/>
                <w:bCs/>
                <w:color w:val="000000"/>
                <w:sz w:val="18"/>
                <w:szCs w:val="18"/>
                <w:lang w:eastAsia="sk-SK"/>
              </w:rPr>
              <w:t>Dlhodobé úvery SR voči zahraničným inštitúciám v správe Ministerstva financií SR</w:t>
            </w:r>
          </w:p>
        </w:tc>
        <w:tc>
          <w:tcPr>
            <w:tcW w:w="768" w:type="pct"/>
            <w:tcBorders>
              <w:top w:val="single" w:sz="8" w:space="0" w:color="auto"/>
              <w:left w:val="nil"/>
              <w:bottom w:val="single" w:sz="8" w:space="0" w:color="auto"/>
              <w:right w:val="nil"/>
            </w:tcBorders>
            <w:shd w:val="clear" w:color="000000" w:fill="F4B084"/>
            <w:noWrap/>
            <w:vAlign w:val="center"/>
            <w:hideMark/>
          </w:tcPr>
          <w:p w14:paraId="33D25F83" w14:textId="77777777" w:rsidR="00F920D0" w:rsidRPr="00F920D0" w:rsidRDefault="00F920D0" w:rsidP="00F920D0">
            <w:pPr>
              <w:spacing w:after="0" w:line="240" w:lineRule="auto"/>
              <w:rPr>
                <w:rFonts w:ascii="Times New Roman" w:hAnsi="Times New Roman"/>
                <w:b/>
                <w:bCs/>
                <w:color w:val="000000"/>
                <w:sz w:val="18"/>
                <w:szCs w:val="18"/>
                <w:lang w:eastAsia="sk-SK"/>
              </w:rPr>
            </w:pPr>
            <w:r w:rsidRPr="00F920D0">
              <w:rPr>
                <w:rFonts w:ascii="Times New Roman" w:hAnsi="Times New Roman"/>
                <w:b/>
                <w:bCs/>
                <w:color w:val="000000"/>
                <w:sz w:val="18"/>
                <w:szCs w:val="18"/>
                <w:lang w:eastAsia="sk-SK"/>
              </w:rPr>
              <w:t> </w:t>
            </w:r>
          </w:p>
        </w:tc>
        <w:tc>
          <w:tcPr>
            <w:tcW w:w="768" w:type="pct"/>
            <w:tcBorders>
              <w:top w:val="single" w:sz="8" w:space="0" w:color="auto"/>
              <w:left w:val="nil"/>
              <w:bottom w:val="single" w:sz="8" w:space="0" w:color="auto"/>
              <w:right w:val="nil"/>
            </w:tcBorders>
            <w:shd w:val="clear" w:color="000000" w:fill="F4B084"/>
            <w:noWrap/>
            <w:vAlign w:val="center"/>
            <w:hideMark/>
          </w:tcPr>
          <w:p w14:paraId="28A701CD" w14:textId="77777777" w:rsidR="00F920D0" w:rsidRPr="00F920D0" w:rsidRDefault="00F920D0" w:rsidP="00F920D0">
            <w:pPr>
              <w:spacing w:after="0" w:line="240" w:lineRule="auto"/>
              <w:jc w:val="center"/>
              <w:rPr>
                <w:rFonts w:ascii="Times New Roman" w:hAnsi="Times New Roman"/>
                <w:b/>
                <w:bCs/>
                <w:color w:val="000000"/>
                <w:sz w:val="18"/>
                <w:szCs w:val="18"/>
                <w:lang w:eastAsia="sk-SK"/>
              </w:rPr>
            </w:pPr>
            <w:r w:rsidRPr="00F920D0">
              <w:rPr>
                <w:rFonts w:ascii="Times New Roman" w:hAnsi="Times New Roman"/>
                <w:b/>
                <w:bCs/>
                <w:color w:val="000000"/>
                <w:sz w:val="18"/>
                <w:szCs w:val="18"/>
                <w:lang w:eastAsia="sk-SK"/>
              </w:rPr>
              <w:t>(v tis. eur)</w:t>
            </w:r>
          </w:p>
        </w:tc>
        <w:tc>
          <w:tcPr>
            <w:tcW w:w="768" w:type="pct"/>
            <w:tcBorders>
              <w:top w:val="single" w:sz="8" w:space="0" w:color="auto"/>
              <w:left w:val="nil"/>
              <w:bottom w:val="single" w:sz="8" w:space="0" w:color="auto"/>
              <w:right w:val="nil"/>
            </w:tcBorders>
            <w:shd w:val="clear" w:color="000000" w:fill="F4B084"/>
            <w:noWrap/>
            <w:vAlign w:val="center"/>
            <w:hideMark/>
          </w:tcPr>
          <w:p w14:paraId="29FCEDD1" w14:textId="77777777" w:rsidR="00F920D0" w:rsidRPr="00F920D0" w:rsidRDefault="00F920D0" w:rsidP="00F920D0">
            <w:pPr>
              <w:spacing w:after="0" w:line="240" w:lineRule="auto"/>
              <w:rPr>
                <w:rFonts w:ascii="Times New Roman" w:hAnsi="Times New Roman"/>
                <w:b/>
                <w:bCs/>
                <w:color w:val="000000"/>
                <w:sz w:val="18"/>
                <w:szCs w:val="18"/>
                <w:lang w:eastAsia="sk-SK"/>
              </w:rPr>
            </w:pPr>
            <w:r w:rsidRPr="00F920D0">
              <w:rPr>
                <w:rFonts w:ascii="Times New Roman" w:hAnsi="Times New Roman"/>
                <w:b/>
                <w:bCs/>
                <w:color w:val="000000"/>
                <w:sz w:val="18"/>
                <w:szCs w:val="18"/>
                <w:lang w:eastAsia="sk-SK"/>
              </w:rPr>
              <w:t> </w:t>
            </w:r>
          </w:p>
        </w:tc>
      </w:tr>
      <w:tr w:rsidR="00F920D0" w:rsidRPr="00F920D0" w14:paraId="3EE8719B" w14:textId="77777777" w:rsidTr="0085799C">
        <w:trPr>
          <w:trHeight w:val="227"/>
          <w:jc w:val="center"/>
        </w:trPr>
        <w:tc>
          <w:tcPr>
            <w:tcW w:w="2695" w:type="pct"/>
            <w:tcBorders>
              <w:top w:val="nil"/>
              <w:left w:val="nil"/>
              <w:bottom w:val="single" w:sz="8" w:space="0" w:color="auto"/>
              <w:right w:val="nil"/>
            </w:tcBorders>
            <w:shd w:val="clear" w:color="000000" w:fill="BDD7EE"/>
            <w:noWrap/>
            <w:vAlign w:val="center"/>
            <w:hideMark/>
          </w:tcPr>
          <w:p w14:paraId="094A3CE0" w14:textId="77777777" w:rsidR="00F920D0" w:rsidRPr="00F920D0" w:rsidRDefault="00F920D0" w:rsidP="00F920D0">
            <w:pPr>
              <w:spacing w:after="0" w:line="240" w:lineRule="auto"/>
              <w:rPr>
                <w:rFonts w:ascii="Times New Roman" w:hAnsi="Times New Roman"/>
                <w:b/>
                <w:bCs/>
                <w:color w:val="000000"/>
                <w:sz w:val="18"/>
                <w:szCs w:val="18"/>
                <w:lang w:eastAsia="sk-SK"/>
              </w:rPr>
            </w:pPr>
            <w:r w:rsidRPr="00F920D0">
              <w:rPr>
                <w:rFonts w:ascii="Times New Roman" w:hAnsi="Times New Roman"/>
                <w:b/>
                <w:bCs/>
                <w:color w:val="000000"/>
                <w:sz w:val="18"/>
                <w:szCs w:val="18"/>
                <w:lang w:eastAsia="sk-SK"/>
              </w:rPr>
              <w:t>Finančná inštitúcia</w:t>
            </w:r>
          </w:p>
        </w:tc>
        <w:tc>
          <w:tcPr>
            <w:tcW w:w="768" w:type="pct"/>
            <w:tcBorders>
              <w:top w:val="nil"/>
              <w:left w:val="nil"/>
              <w:bottom w:val="single" w:sz="8" w:space="0" w:color="auto"/>
              <w:right w:val="nil"/>
            </w:tcBorders>
            <w:shd w:val="clear" w:color="000000" w:fill="BDD7EE"/>
            <w:noWrap/>
            <w:vAlign w:val="center"/>
            <w:hideMark/>
          </w:tcPr>
          <w:p w14:paraId="000E241D" w14:textId="77777777" w:rsidR="00F920D0" w:rsidRPr="00F920D0" w:rsidRDefault="00F920D0" w:rsidP="00F920D0">
            <w:pPr>
              <w:spacing w:after="0" w:line="240" w:lineRule="auto"/>
              <w:jc w:val="center"/>
              <w:rPr>
                <w:rFonts w:ascii="Times New Roman" w:hAnsi="Times New Roman"/>
                <w:b/>
                <w:bCs/>
                <w:color w:val="000000"/>
                <w:sz w:val="18"/>
                <w:szCs w:val="18"/>
                <w:lang w:eastAsia="sk-SK"/>
              </w:rPr>
            </w:pPr>
            <w:r w:rsidRPr="00F920D0">
              <w:rPr>
                <w:rFonts w:ascii="Times New Roman" w:hAnsi="Times New Roman"/>
                <w:b/>
                <w:bCs/>
                <w:color w:val="000000"/>
                <w:sz w:val="18"/>
                <w:szCs w:val="18"/>
                <w:lang w:eastAsia="sk-SK"/>
              </w:rPr>
              <w:t>2024</w:t>
            </w:r>
          </w:p>
        </w:tc>
        <w:tc>
          <w:tcPr>
            <w:tcW w:w="768" w:type="pct"/>
            <w:tcBorders>
              <w:top w:val="nil"/>
              <w:left w:val="nil"/>
              <w:bottom w:val="single" w:sz="8" w:space="0" w:color="auto"/>
              <w:right w:val="nil"/>
            </w:tcBorders>
            <w:shd w:val="clear" w:color="000000" w:fill="BDD7EE"/>
            <w:noWrap/>
            <w:vAlign w:val="center"/>
            <w:hideMark/>
          </w:tcPr>
          <w:p w14:paraId="398C0BA2" w14:textId="77777777" w:rsidR="00F920D0" w:rsidRPr="00F920D0" w:rsidRDefault="00F920D0" w:rsidP="00F920D0">
            <w:pPr>
              <w:spacing w:after="0" w:line="240" w:lineRule="auto"/>
              <w:jc w:val="center"/>
              <w:rPr>
                <w:rFonts w:ascii="Times New Roman" w:hAnsi="Times New Roman"/>
                <w:b/>
                <w:bCs/>
                <w:color w:val="000000"/>
                <w:sz w:val="18"/>
                <w:szCs w:val="18"/>
                <w:lang w:eastAsia="sk-SK"/>
              </w:rPr>
            </w:pPr>
            <w:r w:rsidRPr="00F920D0">
              <w:rPr>
                <w:rFonts w:ascii="Times New Roman" w:hAnsi="Times New Roman"/>
                <w:b/>
                <w:bCs/>
                <w:color w:val="000000"/>
                <w:sz w:val="18"/>
                <w:szCs w:val="18"/>
                <w:lang w:eastAsia="sk-SK"/>
              </w:rPr>
              <w:t>2023</w:t>
            </w:r>
          </w:p>
        </w:tc>
        <w:tc>
          <w:tcPr>
            <w:tcW w:w="768" w:type="pct"/>
            <w:tcBorders>
              <w:top w:val="nil"/>
              <w:left w:val="nil"/>
              <w:bottom w:val="single" w:sz="8" w:space="0" w:color="auto"/>
              <w:right w:val="nil"/>
            </w:tcBorders>
            <w:shd w:val="clear" w:color="000000" w:fill="BDD7EE"/>
            <w:vAlign w:val="center"/>
            <w:hideMark/>
          </w:tcPr>
          <w:p w14:paraId="4CA707F0" w14:textId="77777777" w:rsidR="00F920D0" w:rsidRPr="00F920D0" w:rsidRDefault="00F920D0" w:rsidP="00F920D0">
            <w:pPr>
              <w:spacing w:after="0" w:line="240" w:lineRule="auto"/>
              <w:jc w:val="center"/>
              <w:rPr>
                <w:rFonts w:ascii="Times New Roman" w:hAnsi="Times New Roman"/>
                <w:b/>
                <w:bCs/>
                <w:color w:val="000000"/>
                <w:sz w:val="18"/>
                <w:szCs w:val="18"/>
                <w:lang w:eastAsia="sk-SK"/>
              </w:rPr>
            </w:pPr>
            <w:r w:rsidRPr="00F920D0">
              <w:rPr>
                <w:rFonts w:ascii="Times New Roman" w:hAnsi="Times New Roman"/>
                <w:b/>
                <w:bCs/>
                <w:color w:val="000000"/>
                <w:sz w:val="18"/>
                <w:szCs w:val="18"/>
                <w:lang w:eastAsia="sk-SK"/>
              </w:rPr>
              <w:t>Δ 2024-2023</w:t>
            </w:r>
          </w:p>
        </w:tc>
      </w:tr>
      <w:tr w:rsidR="00F920D0" w:rsidRPr="00F920D0" w14:paraId="7321FA6E" w14:textId="77777777" w:rsidTr="0085799C">
        <w:trPr>
          <w:trHeight w:val="227"/>
          <w:jc w:val="center"/>
        </w:trPr>
        <w:tc>
          <w:tcPr>
            <w:tcW w:w="2695" w:type="pct"/>
            <w:tcBorders>
              <w:top w:val="nil"/>
              <w:left w:val="nil"/>
              <w:bottom w:val="nil"/>
              <w:right w:val="nil"/>
            </w:tcBorders>
            <w:vAlign w:val="center"/>
            <w:hideMark/>
          </w:tcPr>
          <w:p w14:paraId="765B24F7" w14:textId="77777777" w:rsidR="00F920D0" w:rsidRPr="00F920D0" w:rsidRDefault="00F920D0" w:rsidP="00F920D0">
            <w:pPr>
              <w:spacing w:after="0" w:line="240" w:lineRule="auto"/>
              <w:rPr>
                <w:rFonts w:ascii="Times New Roman" w:hAnsi="Times New Roman"/>
                <w:color w:val="000000"/>
                <w:sz w:val="18"/>
                <w:szCs w:val="18"/>
                <w:lang w:eastAsia="sk-SK"/>
              </w:rPr>
            </w:pPr>
            <w:r w:rsidRPr="00F920D0">
              <w:rPr>
                <w:rFonts w:ascii="Times New Roman" w:hAnsi="Times New Roman"/>
                <w:color w:val="000000"/>
                <w:sz w:val="18"/>
                <w:szCs w:val="18"/>
                <w:lang w:eastAsia="sk-SK"/>
              </w:rPr>
              <w:t>Európska investičná banka (EIB)</w:t>
            </w:r>
          </w:p>
        </w:tc>
        <w:tc>
          <w:tcPr>
            <w:tcW w:w="768" w:type="pct"/>
            <w:tcBorders>
              <w:top w:val="nil"/>
              <w:left w:val="nil"/>
              <w:bottom w:val="nil"/>
              <w:right w:val="nil"/>
            </w:tcBorders>
            <w:vAlign w:val="center"/>
            <w:hideMark/>
          </w:tcPr>
          <w:p w14:paraId="21A619E2" w14:textId="77777777" w:rsidR="00F920D0" w:rsidRPr="00F920D0" w:rsidRDefault="00F920D0" w:rsidP="00F920D0">
            <w:pPr>
              <w:spacing w:after="0" w:line="240" w:lineRule="auto"/>
              <w:jc w:val="right"/>
              <w:rPr>
                <w:rFonts w:ascii="Times New Roman" w:hAnsi="Times New Roman"/>
                <w:color w:val="000000"/>
                <w:sz w:val="18"/>
                <w:szCs w:val="18"/>
                <w:lang w:eastAsia="sk-SK"/>
              </w:rPr>
            </w:pPr>
            <w:r w:rsidRPr="00F920D0">
              <w:rPr>
                <w:rFonts w:ascii="Times New Roman" w:hAnsi="Times New Roman"/>
                <w:color w:val="000000"/>
                <w:sz w:val="18"/>
                <w:szCs w:val="18"/>
                <w:lang w:eastAsia="sk-SK"/>
              </w:rPr>
              <w:t>2 385 608</w:t>
            </w:r>
          </w:p>
        </w:tc>
        <w:tc>
          <w:tcPr>
            <w:tcW w:w="768" w:type="pct"/>
            <w:tcBorders>
              <w:top w:val="nil"/>
              <w:left w:val="nil"/>
              <w:bottom w:val="nil"/>
              <w:right w:val="nil"/>
            </w:tcBorders>
            <w:vAlign w:val="center"/>
            <w:hideMark/>
          </w:tcPr>
          <w:p w14:paraId="7C3BBA35" w14:textId="77777777" w:rsidR="00F920D0" w:rsidRPr="00F920D0" w:rsidRDefault="00F920D0" w:rsidP="00F920D0">
            <w:pPr>
              <w:spacing w:after="0" w:line="240" w:lineRule="auto"/>
              <w:jc w:val="right"/>
              <w:rPr>
                <w:rFonts w:ascii="Times New Roman" w:hAnsi="Times New Roman"/>
                <w:color w:val="000000"/>
                <w:sz w:val="18"/>
                <w:szCs w:val="18"/>
                <w:lang w:eastAsia="sk-SK"/>
              </w:rPr>
            </w:pPr>
            <w:r w:rsidRPr="00F920D0">
              <w:rPr>
                <w:rFonts w:ascii="Times New Roman" w:hAnsi="Times New Roman"/>
                <w:color w:val="000000"/>
                <w:sz w:val="18"/>
                <w:szCs w:val="18"/>
                <w:lang w:eastAsia="sk-SK"/>
              </w:rPr>
              <w:t>2 512 346</w:t>
            </w:r>
          </w:p>
        </w:tc>
        <w:tc>
          <w:tcPr>
            <w:tcW w:w="768" w:type="pct"/>
            <w:tcBorders>
              <w:top w:val="nil"/>
              <w:left w:val="nil"/>
              <w:bottom w:val="nil"/>
              <w:right w:val="nil"/>
            </w:tcBorders>
            <w:vAlign w:val="center"/>
            <w:hideMark/>
          </w:tcPr>
          <w:p w14:paraId="1A636B8F" w14:textId="77777777" w:rsidR="00F920D0" w:rsidRPr="00F920D0" w:rsidRDefault="00F920D0" w:rsidP="00F920D0">
            <w:pPr>
              <w:spacing w:after="0" w:line="240" w:lineRule="auto"/>
              <w:jc w:val="right"/>
              <w:rPr>
                <w:rFonts w:ascii="Times New Roman" w:hAnsi="Times New Roman"/>
                <w:color w:val="000000"/>
                <w:sz w:val="18"/>
                <w:szCs w:val="18"/>
                <w:lang w:eastAsia="sk-SK"/>
              </w:rPr>
            </w:pPr>
            <w:r w:rsidRPr="00F920D0">
              <w:rPr>
                <w:rFonts w:ascii="Times New Roman" w:hAnsi="Times New Roman"/>
                <w:color w:val="000000"/>
                <w:sz w:val="18"/>
                <w:szCs w:val="18"/>
                <w:lang w:eastAsia="sk-SK"/>
              </w:rPr>
              <w:t>-126 738</w:t>
            </w:r>
          </w:p>
        </w:tc>
      </w:tr>
      <w:tr w:rsidR="00F920D0" w:rsidRPr="00F920D0" w14:paraId="382687B2" w14:textId="77777777" w:rsidTr="0085799C">
        <w:trPr>
          <w:trHeight w:val="227"/>
          <w:jc w:val="center"/>
        </w:trPr>
        <w:tc>
          <w:tcPr>
            <w:tcW w:w="2695" w:type="pct"/>
            <w:tcBorders>
              <w:top w:val="nil"/>
              <w:left w:val="nil"/>
              <w:bottom w:val="nil"/>
              <w:right w:val="nil"/>
            </w:tcBorders>
            <w:vAlign w:val="center"/>
            <w:hideMark/>
          </w:tcPr>
          <w:p w14:paraId="7991319D" w14:textId="77777777" w:rsidR="00F920D0" w:rsidRPr="00F920D0" w:rsidRDefault="00F920D0" w:rsidP="00F920D0">
            <w:pPr>
              <w:spacing w:after="0" w:line="240" w:lineRule="auto"/>
              <w:rPr>
                <w:rFonts w:ascii="Times New Roman" w:hAnsi="Times New Roman"/>
                <w:color w:val="000000"/>
                <w:sz w:val="18"/>
                <w:szCs w:val="18"/>
                <w:lang w:eastAsia="sk-SK"/>
              </w:rPr>
            </w:pPr>
            <w:r w:rsidRPr="00F920D0">
              <w:rPr>
                <w:rFonts w:ascii="Times New Roman" w:hAnsi="Times New Roman"/>
                <w:color w:val="000000"/>
                <w:sz w:val="18"/>
                <w:szCs w:val="18"/>
                <w:lang w:eastAsia="sk-SK"/>
              </w:rPr>
              <w:t>Európska únia (nástroj SURE)</w:t>
            </w:r>
          </w:p>
        </w:tc>
        <w:tc>
          <w:tcPr>
            <w:tcW w:w="768" w:type="pct"/>
            <w:tcBorders>
              <w:top w:val="nil"/>
              <w:left w:val="nil"/>
              <w:bottom w:val="nil"/>
              <w:right w:val="nil"/>
            </w:tcBorders>
            <w:vAlign w:val="center"/>
            <w:hideMark/>
          </w:tcPr>
          <w:p w14:paraId="5229445A" w14:textId="77777777" w:rsidR="00F920D0" w:rsidRPr="00F920D0" w:rsidRDefault="00F920D0" w:rsidP="00F920D0">
            <w:pPr>
              <w:spacing w:after="0" w:line="240" w:lineRule="auto"/>
              <w:jc w:val="right"/>
              <w:rPr>
                <w:rFonts w:ascii="Times New Roman" w:hAnsi="Times New Roman"/>
                <w:color w:val="000000"/>
                <w:sz w:val="18"/>
                <w:szCs w:val="18"/>
                <w:lang w:eastAsia="sk-SK"/>
              </w:rPr>
            </w:pPr>
            <w:r w:rsidRPr="00F920D0">
              <w:rPr>
                <w:rFonts w:ascii="Times New Roman" w:hAnsi="Times New Roman"/>
                <w:color w:val="000000"/>
                <w:sz w:val="18"/>
                <w:szCs w:val="18"/>
                <w:lang w:eastAsia="sk-SK"/>
              </w:rPr>
              <w:t>630 000</w:t>
            </w:r>
          </w:p>
        </w:tc>
        <w:tc>
          <w:tcPr>
            <w:tcW w:w="768" w:type="pct"/>
            <w:tcBorders>
              <w:top w:val="nil"/>
              <w:left w:val="nil"/>
              <w:bottom w:val="nil"/>
              <w:right w:val="nil"/>
            </w:tcBorders>
            <w:vAlign w:val="center"/>
            <w:hideMark/>
          </w:tcPr>
          <w:p w14:paraId="14301554" w14:textId="77777777" w:rsidR="00F920D0" w:rsidRPr="00F920D0" w:rsidRDefault="00F920D0" w:rsidP="00F920D0">
            <w:pPr>
              <w:spacing w:after="0" w:line="240" w:lineRule="auto"/>
              <w:jc w:val="right"/>
              <w:rPr>
                <w:rFonts w:ascii="Times New Roman" w:hAnsi="Times New Roman"/>
                <w:color w:val="000000"/>
                <w:sz w:val="18"/>
                <w:szCs w:val="18"/>
                <w:lang w:eastAsia="sk-SK"/>
              </w:rPr>
            </w:pPr>
            <w:r w:rsidRPr="00F920D0">
              <w:rPr>
                <w:rFonts w:ascii="Times New Roman" w:hAnsi="Times New Roman"/>
                <w:color w:val="000000"/>
                <w:sz w:val="18"/>
                <w:szCs w:val="18"/>
                <w:lang w:eastAsia="sk-SK"/>
              </w:rPr>
              <w:t>630 000</w:t>
            </w:r>
          </w:p>
        </w:tc>
        <w:tc>
          <w:tcPr>
            <w:tcW w:w="768" w:type="pct"/>
            <w:tcBorders>
              <w:top w:val="nil"/>
              <w:left w:val="nil"/>
              <w:bottom w:val="nil"/>
              <w:right w:val="nil"/>
            </w:tcBorders>
            <w:vAlign w:val="center"/>
            <w:hideMark/>
          </w:tcPr>
          <w:p w14:paraId="13AEE8D2" w14:textId="77777777" w:rsidR="00F920D0" w:rsidRPr="00F920D0" w:rsidRDefault="00F920D0" w:rsidP="00F920D0">
            <w:pPr>
              <w:spacing w:after="0" w:line="240" w:lineRule="auto"/>
              <w:jc w:val="right"/>
              <w:rPr>
                <w:rFonts w:ascii="Times New Roman" w:hAnsi="Times New Roman"/>
                <w:color w:val="000000"/>
                <w:sz w:val="18"/>
                <w:szCs w:val="18"/>
                <w:lang w:eastAsia="sk-SK"/>
              </w:rPr>
            </w:pPr>
            <w:r w:rsidRPr="00F920D0">
              <w:rPr>
                <w:rFonts w:ascii="Times New Roman" w:hAnsi="Times New Roman"/>
                <w:color w:val="000000"/>
                <w:sz w:val="18"/>
                <w:szCs w:val="18"/>
                <w:lang w:eastAsia="sk-SK"/>
              </w:rPr>
              <w:t>0</w:t>
            </w:r>
          </w:p>
        </w:tc>
      </w:tr>
      <w:tr w:rsidR="00F920D0" w:rsidRPr="00F920D0" w14:paraId="43729693" w14:textId="77777777" w:rsidTr="0085799C">
        <w:trPr>
          <w:trHeight w:val="227"/>
          <w:jc w:val="center"/>
        </w:trPr>
        <w:tc>
          <w:tcPr>
            <w:tcW w:w="2695" w:type="pct"/>
            <w:tcBorders>
              <w:top w:val="nil"/>
              <w:left w:val="nil"/>
              <w:bottom w:val="nil"/>
              <w:right w:val="nil"/>
            </w:tcBorders>
            <w:vAlign w:val="center"/>
            <w:hideMark/>
          </w:tcPr>
          <w:p w14:paraId="3930957A" w14:textId="77777777" w:rsidR="00F920D0" w:rsidRPr="00F920D0" w:rsidRDefault="00F920D0" w:rsidP="00F920D0">
            <w:pPr>
              <w:spacing w:after="0" w:line="240" w:lineRule="auto"/>
              <w:rPr>
                <w:rFonts w:ascii="Times New Roman" w:hAnsi="Times New Roman"/>
                <w:color w:val="000000"/>
                <w:sz w:val="18"/>
                <w:szCs w:val="18"/>
                <w:lang w:eastAsia="sk-SK"/>
              </w:rPr>
            </w:pPr>
            <w:r w:rsidRPr="00F920D0">
              <w:rPr>
                <w:rFonts w:ascii="Times New Roman" w:hAnsi="Times New Roman"/>
                <w:color w:val="000000"/>
                <w:sz w:val="18"/>
                <w:szCs w:val="18"/>
                <w:lang w:eastAsia="sk-SK"/>
              </w:rPr>
              <w:t>Rozvojová banka Rady Európy (CEB)</w:t>
            </w:r>
          </w:p>
        </w:tc>
        <w:tc>
          <w:tcPr>
            <w:tcW w:w="768" w:type="pct"/>
            <w:tcBorders>
              <w:top w:val="nil"/>
              <w:left w:val="nil"/>
              <w:bottom w:val="nil"/>
              <w:right w:val="nil"/>
            </w:tcBorders>
            <w:vAlign w:val="center"/>
            <w:hideMark/>
          </w:tcPr>
          <w:p w14:paraId="17E32CAF" w14:textId="77777777" w:rsidR="00F920D0" w:rsidRPr="00F920D0" w:rsidRDefault="00F920D0" w:rsidP="00F920D0">
            <w:pPr>
              <w:spacing w:after="0" w:line="240" w:lineRule="auto"/>
              <w:jc w:val="right"/>
              <w:rPr>
                <w:rFonts w:ascii="Times New Roman" w:hAnsi="Times New Roman"/>
                <w:color w:val="000000"/>
                <w:sz w:val="18"/>
                <w:szCs w:val="18"/>
                <w:lang w:eastAsia="sk-SK"/>
              </w:rPr>
            </w:pPr>
            <w:r w:rsidRPr="00F920D0">
              <w:rPr>
                <w:rFonts w:ascii="Times New Roman" w:hAnsi="Times New Roman"/>
                <w:color w:val="000000"/>
                <w:sz w:val="18"/>
                <w:szCs w:val="18"/>
                <w:lang w:eastAsia="sk-SK"/>
              </w:rPr>
              <w:t>520 000</w:t>
            </w:r>
          </w:p>
        </w:tc>
        <w:tc>
          <w:tcPr>
            <w:tcW w:w="768" w:type="pct"/>
            <w:tcBorders>
              <w:top w:val="nil"/>
              <w:left w:val="nil"/>
              <w:bottom w:val="nil"/>
              <w:right w:val="nil"/>
            </w:tcBorders>
            <w:vAlign w:val="center"/>
            <w:hideMark/>
          </w:tcPr>
          <w:p w14:paraId="0135F45E" w14:textId="77777777" w:rsidR="00F920D0" w:rsidRPr="00F920D0" w:rsidRDefault="00F920D0" w:rsidP="00F920D0">
            <w:pPr>
              <w:spacing w:after="0" w:line="240" w:lineRule="auto"/>
              <w:jc w:val="right"/>
              <w:rPr>
                <w:rFonts w:ascii="Times New Roman" w:hAnsi="Times New Roman"/>
                <w:sz w:val="18"/>
                <w:szCs w:val="18"/>
                <w:lang w:eastAsia="sk-SK"/>
              </w:rPr>
            </w:pPr>
            <w:r w:rsidRPr="00F920D0">
              <w:rPr>
                <w:rFonts w:ascii="Times New Roman" w:hAnsi="Times New Roman"/>
                <w:sz w:val="18"/>
                <w:szCs w:val="18"/>
                <w:lang w:eastAsia="sk-SK"/>
              </w:rPr>
              <w:t>875 000</w:t>
            </w:r>
          </w:p>
        </w:tc>
        <w:tc>
          <w:tcPr>
            <w:tcW w:w="768" w:type="pct"/>
            <w:tcBorders>
              <w:top w:val="nil"/>
              <w:left w:val="nil"/>
              <w:bottom w:val="nil"/>
              <w:right w:val="nil"/>
            </w:tcBorders>
            <w:vAlign w:val="center"/>
            <w:hideMark/>
          </w:tcPr>
          <w:p w14:paraId="0DEC75DF" w14:textId="77777777" w:rsidR="00F920D0" w:rsidRPr="00F920D0" w:rsidRDefault="00F920D0" w:rsidP="00F920D0">
            <w:pPr>
              <w:spacing w:after="0" w:line="240" w:lineRule="auto"/>
              <w:jc w:val="right"/>
              <w:rPr>
                <w:rFonts w:ascii="Times New Roman" w:hAnsi="Times New Roman"/>
                <w:color w:val="000000"/>
                <w:sz w:val="18"/>
                <w:szCs w:val="18"/>
                <w:lang w:eastAsia="sk-SK"/>
              </w:rPr>
            </w:pPr>
            <w:r w:rsidRPr="00F920D0">
              <w:rPr>
                <w:rFonts w:ascii="Times New Roman" w:hAnsi="Times New Roman"/>
                <w:color w:val="000000"/>
                <w:sz w:val="18"/>
                <w:szCs w:val="18"/>
                <w:lang w:eastAsia="sk-SK"/>
              </w:rPr>
              <w:t>-355 000</w:t>
            </w:r>
          </w:p>
        </w:tc>
      </w:tr>
      <w:tr w:rsidR="00F920D0" w:rsidRPr="00F920D0" w14:paraId="331D991B" w14:textId="77777777" w:rsidTr="0085799C">
        <w:trPr>
          <w:trHeight w:val="227"/>
          <w:jc w:val="center"/>
        </w:trPr>
        <w:tc>
          <w:tcPr>
            <w:tcW w:w="2695" w:type="pct"/>
            <w:tcBorders>
              <w:top w:val="nil"/>
              <w:left w:val="nil"/>
              <w:bottom w:val="single" w:sz="8" w:space="0" w:color="auto"/>
              <w:right w:val="nil"/>
            </w:tcBorders>
            <w:vAlign w:val="center"/>
            <w:hideMark/>
          </w:tcPr>
          <w:p w14:paraId="1E074AFA" w14:textId="77777777" w:rsidR="00F920D0" w:rsidRPr="00F920D0" w:rsidRDefault="00F920D0" w:rsidP="00F920D0">
            <w:pPr>
              <w:spacing w:after="0" w:line="240" w:lineRule="auto"/>
              <w:rPr>
                <w:rFonts w:ascii="Times New Roman" w:hAnsi="Times New Roman"/>
                <w:color w:val="000000"/>
                <w:sz w:val="18"/>
                <w:szCs w:val="18"/>
                <w:lang w:eastAsia="sk-SK"/>
              </w:rPr>
            </w:pPr>
            <w:r w:rsidRPr="00F920D0">
              <w:rPr>
                <w:rFonts w:ascii="Times New Roman" w:hAnsi="Times New Roman"/>
                <w:color w:val="000000"/>
                <w:sz w:val="18"/>
                <w:szCs w:val="18"/>
                <w:lang w:eastAsia="sk-SK"/>
              </w:rPr>
              <w:t>Japonská banka pre medzinárodnú spoluprácu</w:t>
            </w:r>
          </w:p>
        </w:tc>
        <w:tc>
          <w:tcPr>
            <w:tcW w:w="768" w:type="pct"/>
            <w:tcBorders>
              <w:top w:val="nil"/>
              <w:left w:val="nil"/>
              <w:bottom w:val="single" w:sz="8" w:space="0" w:color="auto"/>
              <w:right w:val="nil"/>
            </w:tcBorders>
            <w:vAlign w:val="center"/>
            <w:hideMark/>
          </w:tcPr>
          <w:p w14:paraId="18D41238" w14:textId="77777777" w:rsidR="00F920D0" w:rsidRPr="00F920D0" w:rsidRDefault="00F920D0" w:rsidP="00F920D0">
            <w:pPr>
              <w:spacing w:after="0" w:line="240" w:lineRule="auto"/>
              <w:jc w:val="right"/>
              <w:rPr>
                <w:rFonts w:ascii="Times New Roman" w:hAnsi="Times New Roman"/>
                <w:color w:val="000000"/>
                <w:sz w:val="18"/>
                <w:szCs w:val="18"/>
                <w:lang w:eastAsia="sk-SK"/>
              </w:rPr>
            </w:pPr>
            <w:r w:rsidRPr="00F920D0">
              <w:rPr>
                <w:rFonts w:ascii="Times New Roman" w:hAnsi="Times New Roman"/>
                <w:color w:val="000000"/>
                <w:sz w:val="18"/>
                <w:szCs w:val="18"/>
                <w:lang w:eastAsia="sk-SK"/>
              </w:rPr>
              <w:t>936</w:t>
            </w:r>
          </w:p>
        </w:tc>
        <w:tc>
          <w:tcPr>
            <w:tcW w:w="768" w:type="pct"/>
            <w:tcBorders>
              <w:top w:val="nil"/>
              <w:left w:val="nil"/>
              <w:bottom w:val="single" w:sz="8" w:space="0" w:color="auto"/>
              <w:right w:val="nil"/>
            </w:tcBorders>
            <w:vAlign w:val="center"/>
            <w:hideMark/>
          </w:tcPr>
          <w:p w14:paraId="1ACBA711" w14:textId="77777777" w:rsidR="00F920D0" w:rsidRPr="00F920D0" w:rsidRDefault="00F920D0" w:rsidP="00F920D0">
            <w:pPr>
              <w:spacing w:after="0" w:line="240" w:lineRule="auto"/>
              <w:jc w:val="right"/>
              <w:rPr>
                <w:rFonts w:ascii="Times New Roman" w:hAnsi="Times New Roman"/>
                <w:color w:val="000000"/>
                <w:sz w:val="18"/>
                <w:szCs w:val="18"/>
                <w:lang w:eastAsia="sk-SK"/>
              </w:rPr>
            </w:pPr>
            <w:r w:rsidRPr="00F920D0">
              <w:rPr>
                <w:rFonts w:ascii="Times New Roman" w:hAnsi="Times New Roman"/>
                <w:color w:val="000000"/>
                <w:sz w:val="18"/>
                <w:szCs w:val="18"/>
                <w:lang w:eastAsia="sk-SK"/>
              </w:rPr>
              <w:t>1 048</w:t>
            </w:r>
          </w:p>
        </w:tc>
        <w:tc>
          <w:tcPr>
            <w:tcW w:w="768" w:type="pct"/>
            <w:tcBorders>
              <w:top w:val="nil"/>
              <w:left w:val="nil"/>
              <w:bottom w:val="nil"/>
              <w:right w:val="nil"/>
            </w:tcBorders>
            <w:vAlign w:val="center"/>
            <w:hideMark/>
          </w:tcPr>
          <w:p w14:paraId="11D4FDE9" w14:textId="77777777" w:rsidR="00F920D0" w:rsidRPr="00F920D0" w:rsidRDefault="00F920D0" w:rsidP="00F920D0">
            <w:pPr>
              <w:spacing w:after="0" w:line="240" w:lineRule="auto"/>
              <w:jc w:val="right"/>
              <w:rPr>
                <w:rFonts w:ascii="Times New Roman" w:hAnsi="Times New Roman"/>
                <w:color w:val="000000"/>
                <w:sz w:val="18"/>
                <w:szCs w:val="18"/>
                <w:lang w:eastAsia="sk-SK"/>
              </w:rPr>
            </w:pPr>
            <w:r w:rsidRPr="00F920D0">
              <w:rPr>
                <w:rFonts w:ascii="Times New Roman" w:hAnsi="Times New Roman"/>
                <w:color w:val="000000"/>
                <w:sz w:val="18"/>
                <w:szCs w:val="18"/>
                <w:lang w:eastAsia="sk-SK"/>
              </w:rPr>
              <w:t>-112</w:t>
            </w:r>
          </w:p>
        </w:tc>
      </w:tr>
      <w:tr w:rsidR="00F920D0" w:rsidRPr="00F920D0" w14:paraId="74DD8A3F" w14:textId="77777777" w:rsidTr="0085799C">
        <w:trPr>
          <w:trHeight w:val="227"/>
          <w:jc w:val="center"/>
        </w:trPr>
        <w:tc>
          <w:tcPr>
            <w:tcW w:w="2695" w:type="pct"/>
            <w:tcBorders>
              <w:top w:val="nil"/>
              <w:left w:val="nil"/>
              <w:bottom w:val="single" w:sz="8" w:space="0" w:color="000000"/>
              <w:right w:val="nil"/>
            </w:tcBorders>
            <w:vAlign w:val="center"/>
            <w:hideMark/>
          </w:tcPr>
          <w:p w14:paraId="118762E6" w14:textId="77777777" w:rsidR="00F920D0" w:rsidRPr="00F920D0" w:rsidRDefault="00F920D0" w:rsidP="00F920D0">
            <w:pPr>
              <w:spacing w:after="0" w:line="240" w:lineRule="auto"/>
              <w:rPr>
                <w:rFonts w:ascii="Times New Roman" w:hAnsi="Times New Roman"/>
                <w:b/>
                <w:bCs/>
                <w:color w:val="000000"/>
                <w:sz w:val="18"/>
                <w:szCs w:val="18"/>
                <w:lang w:eastAsia="sk-SK"/>
              </w:rPr>
            </w:pPr>
            <w:r w:rsidRPr="00F920D0">
              <w:rPr>
                <w:rFonts w:ascii="Times New Roman" w:hAnsi="Times New Roman"/>
                <w:b/>
                <w:bCs/>
                <w:color w:val="000000"/>
                <w:sz w:val="18"/>
                <w:szCs w:val="18"/>
                <w:lang w:eastAsia="sk-SK"/>
              </w:rPr>
              <w:t>Spolu</w:t>
            </w:r>
          </w:p>
        </w:tc>
        <w:tc>
          <w:tcPr>
            <w:tcW w:w="768" w:type="pct"/>
            <w:tcBorders>
              <w:top w:val="nil"/>
              <w:left w:val="nil"/>
              <w:bottom w:val="nil"/>
              <w:right w:val="nil"/>
            </w:tcBorders>
            <w:vAlign w:val="center"/>
            <w:hideMark/>
          </w:tcPr>
          <w:p w14:paraId="11E9CCFA" w14:textId="77777777" w:rsidR="00F920D0" w:rsidRPr="00F920D0" w:rsidRDefault="00F920D0" w:rsidP="00F920D0">
            <w:pPr>
              <w:spacing w:after="0" w:line="240" w:lineRule="auto"/>
              <w:jc w:val="right"/>
              <w:rPr>
                <w:rFonts w:ascii="Times New Roman" w:hAnsi="Times New Roman"/>
                <w:b/>
                <w:bCs/>
                <w:color w:val="000000"/>
                <w:sz w:val="18"/>
                <w:szCs w:val="18"/>
                <w:lang w:eastAsia="sk-SK"/>
              </w:rPr>
            </w:pPr>
            <w:r w:rsidRPr="00F920D0">
              <w:rPr>
                <w:rFonts w:ascii="Times New Roman" w:hAnsi="Times New Roman"/>
                <w:b/>
                <w:bCs/>
                <w:color w:val="000000"/>
                <w:sz w:val="18"/>
                <w:szCs w:val="18"/>
                <w:lang w:eastAsia="sk-SK"/>
              </w:rPr>
              <w:t>3 536 544</w:t>
            </w:r>
          </w:p>
        </w:tc>
        <w:tc>
          <w:tcPr>
            <w:tcW w:w="768" w:type="pct"/>
            <w:tcBorders>
              <w:top w:val="nil"/>
              <w:left w:val="nil"/>
              <w:bottom w:val="nil"/>
              <w:right w:val="nil"/>
            </w:tcBorders>
            <w:vAlign w:val="center"/>
            <w:hideMark/>
          </w:tcPr>
          <w:p w14:paraId="516947DE" w14:textId="77777777" w:rsidR="00F920D0" w:rsidRPr="00F920D0" w:rsidRDefault="00F920D0" w:rsidP="00F920D0">
            <w:pPr>
              <w:spacing w:after="0" w:line="240" w:lineRule="auto"/>
              <w:jc w:val="right"/>
              <w:rPr>
                <w:rFonts w:ascii="Times New Roman" w:hAnsi="Times New Roman"/>
                <w:b/>
                <w:bCs/>
                <w:color w:val="000000"/>
                <w:sz w:val="18"/>
                <w:szCs w:val="18"/>
                <w:lang w:eastAsia="sk-SK"/>
              </w:rPr>
            </w:pPr>
            <w:r w:rsidRPr="00F920D0">
              <w:rPr>
                <w:rFonts w:ascii="Times New Roman" w:hAnsi="Times New Roman"/>
                <w:b/>
                <w:bCs/>
                <w:color w:val="000000"/>
                <w:sz w:val="18"/>
                <w:szCs w:val="18"/>
                <w:lang w:eastAsia="sk-SK"/>
              </w:rPr>
              <w:t>4 018 394</w:t>
            </w:r>
          </w:p>
        </w:tc>
        <w:tc>
          <w:tcPr>
            <w:tcW w:w="768" w:type="pct"/>
            <w:tcBorders>
              <w:top w:val="single" w:sz="8" w:space="0" w:color="000000"/>
              <w:left w:val="nil"/>
              <w:bottom w:val="single" w:sz="8" w:space="0" w:color="000000"/>
              <w:right w:val="nil"/>
            </w:tcBorders>
            <w:vAlign w:val="center"/>
            <w:hideMark/>
          </w:tcPr>
          <w:p w14:paraId="4EF70091" w14:textId="77777777" w:rsidR="00F920D0" w:rsidRPr="00F920D0" w:rsidRDefault="00F920D0" w:rsidP="00F920D0">
            <w:pPr>
              <w:spacing w:after="0" w:line="240" w:lineRule="auto"/>
              <w:jc w:val="right"/>
              <w:rPr>
                <w:rFonts w:ascii="Times New Roman" w:hAnsi="Times New Roman"/>
                <w:b/>
                <w:bCs/>
                <w:color w:val="000000"/>
                <w:sz w:val="18"/>
                <w:szCs w:val="18"/>
                <w:lang w:eastAsia="sk-SK"/>
              </w:rPr>
            </w:pPr>
            <w:r w:rsidRPr="00F920D0">
              <w:rPr>
                <w:rFonts w:ascii="Times New Roman" w:hAnsi="Times New Roman"/>
                <w:b/>
                <w:bCs/>
                <w:color w:val="000000"/>
                <w:sz w:val="18"/>
                <w:szCs w:val="18"/>
                <w:lang w:eastAsia="sk-SK"/>
              </w:rPr>
              <w:t>-481 850</w:t>
            </w:r>
          </w:p>
        </w:tc>
      </w:tr>
      <w:tr w:rsidR="00F920D0" w:rsidRPr="00F920D0" w14:paraId="0D40F192" w14:textId="77777777" w:rsidTr="0085799C">
        <w:trPr>
          <w:trHeight w:val="227"/>
          <w:jc w:val="center"/>
        </w:trPr>
        <w:tc>
          <w:tcPr>
            <w:tcW w:w="5000" w:type="pct"/>
            <w:gridSpan w:val="4"/>
            <w:tcBorders>
              <w:top w:val="single" w:sz="8" w:space="0" w:color="000000"/>
              <w:left w:val="nil"/>
              <w:bottom w:val="nil"/>
              <w:right w:val="nil"/>
            </w:tcBorders>
            <w:noWrap/>
            <w:vAlign w:val="center"/>
            <w:hideMark/>
          </w:tcPr>
          <w:p w14:paraId="720D8F57" w14:textId="77777777" w:rsidR="00F920D0" w:rsidRPr="00F920D0" w:rsidRDefault="00F920D0" w:rsidP="00F920D0">
            <w:pPr>
              <w:spacing w:after="0" w:line="240" w:lineRule="auto"/>
              <w:rPr>
                <w:rFonts w:ascii="Times New Roman" w:hAnsi="Times New Roman"/>
                <w:color w:val="000000"/>
                <w:sz w:val="16"/>
                <w:szCs w:val="16"/>
                <w:lang w:eastAsia="sk-SK"/>
              </w:rPr>
            </w:pPr>
            <w:r w:rsidRPr="00F920D0">
              <w:rPr>
                <w:rFonts w:ascii="Times New Roman" w:hAnsi="Times New Roman"/>
                <w:color w:val="000000"/>
                <w:sz w:val="16"/>
                <w:szCs w:val="16"/>
                <w:lang w:eastAsia="sk-SK"/>
              </w:rPr>
              <w:t>*Hodnoty predstavujú len istinu                                                                                   Zdroj: MF SR, Centrálny konsolidačný systém</w:t>
            </w:r>
          </w:p>
        </w:tc>
      </w:tr>
    </w:tbl>
    <w:p w14:paraId="3BA80956" w14:textId="2DF29AAD" w:rsidR="00285719" w:rsidRDefault="00285719" w:rsidP="00647542">
      <w:pPr>
        <w:spacing w:after="120" w:line="240" w:lineRule="auto"/>
        <w:rPr>
          <w:rFonts w:ascii="Times New Roman" w:hAnsi="Times New Roman"/>
        </w:rPr>
      </w:pPr>
    </w:p>
    <w:p w14:paraId="53794F3C" w14:textId="0B4DB3A6" w:rsidR="00A27137" w:rsidRPr="0085799C" w:rsidRDefault="00647542" w:rsidP="0085799C">
      <w:pPr>
        <w:tabs>
          <w:tab w:val="num" w:pos="0"/>
        </w:tabs>
        <w:spacing w:after="120" w:line="240" w:lineRule="auto"/>
        <w:jc w:val="both"/>
        <w:rPr>
          <w:rFonts w:ascii="Times New Roman" w:hAnsi="Times New Roman"/>
          <w:szCs w:val="22"/>
        </w:rPr>
      </w:pPr>
      <w:r w:rsidRPr="00907622">
        <w:rPr>
          <w:rFonts w:ascii="Times New Roman" w:hAnsi="Times New Roman"/>
          <w:szCs w:val="22"/>
        </w:rPr>
        <w:t xml:space="preserve">Ministerstvo financií SR vykazuje v mene Slovenskej republiky dlhodobé bankové úvery prijaté na podporu infraštruktúry a na podporu významných rozvojových projektov v oblasti dopravy, životného prostredia, informatizácie spoločnosti a podobne. </w:t>
      </w:r>
      <w:r w:rsidR="00A27137" w:rsidRPr="0085799C">
        <w:rPr>
          <w:rFonts w:ascii="Times New Roman" w:hAnsi="Times New Roman"/>
        </w:rPr>
        <w:t xml:space="preserve">Slovensko postupne čerpá dohodnuté úverové </w:t>
      </w:r>
      <w:proofErr w:type="spellStart"/>
      <w:r w:rsidR="00A27137" w:rsidRPr="0085799C">
        <w:rPr>
          <w:rFonts w:ascii="Times New Roman" w:hAnsi="Times New Roman"/>
        </w:rPr>
        <w:t>tranže</w:t>
      </w:r>
      <w:proofErr w:type="spellEnd"/>
      <w:r w:rsidR="00A27137" w:rsidRPr="0085799C">
        <w:rPr>
          <w:rFonts w:ascii="Times New Roman" w:hAnsi="Times New Roman"/>
        </w:rPr>
        <w:t xml:space="preserve"> z pôvodných úverových zmlúv alebo uzatvára nové úverové zmluvy</w:t>
      </w:r>
      <w:r w:rsidR="00A27137" w:rsidRPr="0085799C">
        <w:rPr>
          <w:rFonts w:ascii="Times New Roman" w:hAnsi="Times New Roman"/>
          <w:szCs w:val="22"/>
        </w:rPr>
        <w:t xml:space="preserve">. </w:t>
      </w:r>
    </w:p>
    <w:p w14:paraId="35B3B947" w14:textId="77777777" w:rsidR="000F4EA9" w:rsidRPr="0085799C" w:rsidRDefault="000F4EA9" w:rsidP="0085799C">
      <w:pPr>
        <w:spacing w:after="120" w:line="240" w:lineRule="auto"/>
        <w:jc w:val="both"/>
        <w:rPr>
          <w:rFonts w:ascii="Times New Roman" w:hAnsi="Times New Roman"/>
        </w:rPr>
      </w:pPr>
      <w:r w:rsidRPr="0085799C">
        <w:rPr>
          <w:rFonts w:ascii="Times New Roman" w:hAnsi="Times New Roman"/>
        </w:rPr>
        <w:t xml:space="preserve">Od Európskej únie bol v roku 2020 prijatý mimoriadny úver SURE so splatnosťou v roku 2035. Ide o úver krytý dlhopismi EU. Prostriedky sú určené na krytie výdavkov spôsobených pandémiou a na podporu hospodárstva v čase krízy a v pokrízovom období. </w:t>
      </w:r>
    </w:p>
    <w:p w14:paraId="03204C10" w14:textId="2EC43E05" w:rsidR="00647542" w:rsidRPr="00907622" w:rsidRDefault="000F4EA9" w:rsidP="00BD6CE7">
      <w:pPr>
        <w:spacing w:after="120" w:line="240" w:lineRule="auto"/>
        <w:jc w:val="both"/>
        <w:rPr>
          <w:rFonts w:ascii="Times New Roman" w:hAnsi="Times New Roman"/>
          <w:szCs w:val="22"/>
        </w:rPr>
      </w:pPr>
      <w:r w:rsidRPr="0085799C">
        <w:rPr>
          <w:rFonts w:ascii="Times New Roman" w:hAnsi="Times New Roman"/>
        </w:rPr>
        <w:t>V roku 2024 bol čerpaný úver v celkovej sume 72 030 </w:t>
      </w:r>
      <w:r w:rsidR="00080570">
        <w:rPr>
          <w:rFonts w:ascii="Times New Roman" w:hAnsi="Times New Roman"/>
        </w:rPr>
        <w:t>tis.</w:t>
      </w:r>
      <w:r w:rsidRPr="0085799C">
        <w:rPr>
          <w:rFonts w:ascii="Times New Roman" w:hAnsi="Times New Roman"/>
        </w:rPr>
        <w:t xml:space="preserve"> eur od Európskej investičnej banky – tretia </w:t>
      </w:r>
      <w:proofErr w:type="spellStart"/>
      <w:r w:rsidRPr="0085799C">
        <w:rPr>
          <w:rFonts w:ascii="Times New Roman" w:hAnsi="Times New Roman"/>
        </w:rPr>
        <w:t>tranža</w:t>
      </w:r>
      <w:proofErr w:type="spellEnd"/>
      <w:r w:rsidRPr="0085799C">
        <w:rPr>
          <w:rFonts w:ascii="Times New Roman" w:hAnsi="Times New Roman"/>
        </w:rPr>
        <w:t xml:space="preserve"> úveru Národný rozvojový plán IV - Doprava.</w:t>
      </w:r>
    </w:p>
    <w:p w14:paraId="0912AED9" w14:textId="77777777" w:rsidR="00647542" w:rsidRPr="00907622" w:rsidRDefault="00647542" w:rsidP="00BD6CE7">
      <w:pPr>
        <w:tabs>
          <w:tab w:val="num" w:pos="0"/>
        </w:tabs>
        <w:spacing w:after="120" w:line="240" w:lineRule="auto"/>
        <w:jc w:val="both"/>
        <w:rPr>
          <w:rFonts w:ascii="Times New Roman" w:hAnsi="Times New Roman"/>
          <w:szCs w:val="22"/>
          <w:lang w:eastAsia="sk-SK"/>
        </w:rPr>
      </w:pPr>
      <w:r w:rsidRPr="00907622">
        <w:rPr>
          <w:rFonts w:ascii="Times New Roman" w:hAnsi="Times New Roman"/>
          <w:szCs w:val="22"/>
          <w:lang w:eastAsia="sk-SK"/>
        </w:rPr>
        <w:t>Časť zahraničných bankových úverov, ktorých splatnosť je do jedného roka, sa vykazuje v časti B.III. pasív, ako súčasť Krátkodobých záväzkov.</w:t>
      </w:r>
    </w:p>
    <w:p w14:paraId="2CCA74AE" w14:textId="61E32580" w:rsidR="00647542" w:rsidRPr="00BD37E3" w:rsidRDefault="00647542" w:rsidP="0085799C">
      <w:pPr>
        <w:spacing w:after="120" w:line="240" w:lineRule="auto"/>
        <w:jc w:val="both"/>
        <w:rPr>
          <w:rFonts w:ascii="Times New Roman" w:hAnsi="Times New Roman"/>
          <w:szCs w:val="22"/>
        </w:rPr>
      </w:pPr>
      <w:r w:rsidRPr="00907622">
        <w:rPr>
          <w:rFonts w:ascii="Times New Roman" w:hAnsi="Times New Roman"/>
          <w:szCs w:val="22"/>
          <w:lang w:eastAsia="sk-SK"/>
        </w:rPr>
        <w:t>Zvyšnú časť dlhodobých úverov ústrednej správy vykazujú obchodné spoločnosti a</w:t>
      </w:r>
      <w:r w:rsidR="00AE31AF">
        <w:rPr>
          <w:rFonts w:ascii="Times New Roman" w:hAnsi="Times New Roman"/>
          <w:szCs w:val="22"/>
          <w:lang w:eastAsia="sk-SK"/>
        </w:rPr>
        <w:t xml:space="preserve"> </w:t>
      </w:r>
      <w:r w:rsidRPr="00907622">
        <w:rPr>
          <w:rFonts w:ascii="Times New Roman" w:hAnsi="Times New Roman"/>
          <w:szCs w:val="22"/>
          <w:lang w:eastAsia="sk-SK"/>
        </w:rPr>
        <w:t>štátne podniky</w:t>
      </w:r>
      <w:r w:rsidR="00263868">
        <w:rPr>
          <w:rFonts w:ascii="Times New Roman" w:hAnsi="Times New Roman"/>
          <w:szCs w:val="22"/>
          <w:lang w:eastAsia="sk-SK"/>
        </w:rPr>
        <w:t xml:space="preserve"> </w:t>
      </w:r>
      <w:r w:rsidRPr="00907622">
        <w:rPr>
          <w:rFonts w:ascii="Times New Roman" w:hAnsi="Times New Roman"/>
          <w:szCs w:val="22"/>
          <w:lang w:eastAsia="sk-SK"/>
        </w:rPr>
        <w:t>(</w:t>
      </w:r>
      <w:r w:rsidR="00265F07" w:rsidRPr="00BD37E3">
        <w:rPr>
          <w:rFonts w:ascii="Times New Roman" w:hAnsi="Times New Roman"/>
          <w:szCs w:val="22"/>
          <w:lang w:eastAsia="sk-SK"/>
        </w:rPr>
        <w:t>437</w:t>
      </w:r>
      <w:r w:rsidR="00075B6E">
        <w:rPr>
          <w:rFonts w:ascii="Times New Roman" w:hAnsi="Times New Roman"/>
          <w:szCs w:val="22"/>
          <w:lang w:eastAsia="sk-SK"/>
        </w:rPr>
        <w:t> </w:t>
      </w:r>
      <w:r w:rsidR="00265F07" w:rsidRPr="00BD37E3">
        <w:rPr>
          <w:rFonts w:ascii="Times New Roman" w:hAnsi="Times New Roman"/>
          <w:szCs w:val="22"/>
          <w:lang w:eastAsia="sk-SK"/>
        </w:rPr>
        <w:t>856</w:t>
      </w:r>
      <w:r w:rsidRPr="00907622">
        <w:rPr>
          <w:rFonts w:ascii="Times New Roman" w:hAnsi="Times New Roman"/>
          <w:szCs w:val="22"/>
          <w:lang w:eastAsia="sk-SK"/>
        </w:rPr>
        <w:t xml:space="preserve"> tis. eur), ako napríklad </w:t>
      </w:r>
      <w:r w:rsidR="001567C8" w:rsidRPr="0085799C">
        <w:rPr>
          <w:rFonts w:ascii="Times New Roman" w:hAnsi="Times New Roman"/>
        </w:rPr>
        <w:t>Železničná spoločnosť Slovensko, a.s. (222</w:t>
      </w:r>
      <w:r w:rsidR="00DC7A5F" w:rsidRPr="00A729C4">
        <w:rPr>
          <w:rFonts w:ascii="Times New Roman" w:hAnsi="Times New Roman"/>
          <w:szCs w:val="22"/>
        </w:rPr>
        <w:t> </w:t>
      </w:r>
      <w:r w:rsidR="001567C8" w:rsidRPr="0085799C">
        <w:rPr>
          <w:rFonts w:ascii="Times New Roman" w:hAnsi="Times New Roman"/>
        </w:rPr>
        <w:t>15</w:t>
      </w:r>
      <w:r w:rsidR="00F65B0B">
        <w:rPr>
          <w:rFonts w:ascii="Times New Roman" w:hAnsi="Times New Roman"/>
          <w:szCs w:val="22"/>
        </w:rPr>
        <w:t>7</w:t>
      </w:r>
      <w:r w:rsidR="00075B6E">
        <w:rPr>
          <w:rFonts w:ascii="Times New Roman" w:hAnsi="Times New Roman"/>
          <w:szCs w:val="22"/>
        </w:rPr>
        <w:t> </w:t>
      </w:r>
      <w:r w:rsidR="00DC7A5F" w:rsidRPr="00062A68">
        <w:rPr>
          <w:rFonts w:ascii="Times New Roman" w:hAnsi="Times New Roman"/>
          <w:szCs w:val="22"/>
        </w:rPr>
        <w:t>tis</w:t>
      </w:r>
      <w:r w:rsidR="00726F38" w:rsidRPr="00334B7E">
        <w:rPr>
          <w:rFonts w:ascii="Times New Roman" w:hAnsi="Times New Roman"/>
          <w:szCs w:val="22"/>
        </w:rPr>
        <w:t>.</w:t>
      </w:r>
      <w:r w:rsidR="001567C8" w:rsidRPr="0085799C">
        <w:rPr>
          <w:rFonts w:ascii="Times New Roman" w:hAnsi="Times New Roman"/>
        </w:rPr>
        <w:t xml:space="preserve"> eur), </w:t>
      </w:r>
      <w:r w:rsidR="00AE31AF">
        <w:rPr>
          <w:rFonts w:ascii="Times New Roman" w:hAnsi="Times New Roman"/>
        </w:rPr>
        <w:lastRenderedPageBreak/>
        <w:t xml:space="preserve">EXIMBANKA SR </w:t>
      </w:r>
      <w:r w:rsidR="001567C8" w:rsidRPr="0085799C">
        <w:rPr>
          <w:rFonts w:ascii="Times New Roman" w:hAnsi="Times New Roman"/>
        </w:rPr>
        <w:t>(160 000 </w:t>
      </w:r>
      <w:r w:rsidR="00726F38" w:rsidRPr="00A729C4">
        <w:rPr>
          <w:rFonts w:ascii="Times New Roman" w:hAnsi="Times New Roman"/>
          <w:szCs w:val="22"/>
        </w:rPr>
        <w:t>tis.</w:t>
      </w:r>
      <w:r w:rsidR="001567C8" w:rsidRPr="0085799C">
        <w:rPr>
          <w:rFonts w:ascii="Times New Roman" w:hAnsi="Times New Roman"/>
        </w:rPr>
        <w:t> eur), Železničná spoločnosť Cargo Slovakia, a.s. (41 877 </w:t>
      </w:r>
      <w:r w:rsidR="00726F38" w:rsidRPr="00A729C4">
        <w:rPr>
          <w:rFonts w:ascii="Times New Roman" w:hAnsi="Times New Roman"/>
          <w:szCs w:val="22"/>
        </w:rPr>
        <w:t>tis.</w:t>
      </w:r>
      <w:r w:rsidR="001567C8" w:rsidRPr="0085799C">
        <w:rPr>
          <w:rFonts w:ascii="Times New Roman" w:hAnsi="Times New Roman"/>
        </w:rPr>
        <w:t xml:space="preserve"> eur), Slovenská pošta, a.s. (41 796 </w:t>
      </w:r>
      <w:r w:rsidR="00726F38" w:rsidRPr="00A729C4">
        <w:rPr>
          <w:rFonts w:ascii="Times New Roman" w:hAnsi="Times New Roman"/>
          <w:szCs w:val="22"/>
        </w:rPr>
        <w:t>tis.</w:t>
      </w:r>
      <w:r w:rsidR="001567C8" w:rsidRPr="0085799C">
        <w:rPr>
          <w:rFonts w:ascii="Times New Roman" w:hAnsi="Times New Roman"/>
        </w:rPr>
        <w:t xml:space="preserve"> eur), Vodohospodárska výstavba, </w:t>
      </w:r>
      <w:proofErr w:type="spellStart"/>
      <w:r w:rsidR="001567C8" w:rsidRPr="0085799C">
        <w:rPr>
          <w:rFonts w:ascii="Times New Roman" w:hAnsi="Times New Roman"/>
        </w:rPr>
        <w:t>š.p</w:t>
      </w:r>
      <w:proofErr w:type="spellEnd"/>
      <w:r w:rsidR="001567C8" w:rsidRPr="0085799C">
        <w:rPr>
          <w:rFonts w:ascii="Times New Roman" w:hAnsi="Times New Roman"/>
        </w:rPr>
        <w:t>. (38</w:t>
      </w:r>
      <w:r w:rsidR="001567C8" w:rsidRPr="00A729C4">
        <w:rPr>
          <w:rFonts w:ascii="Times New Roman" w:hAnsi="Times New Roman"/>
          <w:szCs w:val="22"/>
        </w:rPr>
        <w:t> </w:t>
      </w:r>
      <w:r w:rsidR="001567C8" w:rsidRPr="0085799C">
        <w:rPr>
          <w:rFonts w:ascii="Times New Roman" w:hAnsi="Times New Roman"/>
        </w:rPr>
        <w:t>6</w:t>
      </w:r>
      <w:r w:rsidR="00726F38" w:rsidRPr="00A729C4">
        <w:rPr>
          <w:rFonts w:ascii="Times New Roman" w:hAnsi="Times New Roman"/>
          <w:szCs w:val="22"/>
        </w:rPr>
        <w:t>60</w:t>
      </w:r>
      <w:r w:rsidR="001567C8" w:rsidRPr="0085799C">
        <w:rPr>
          <w:rFonts w:ascii="Times New Roman" w:hAnsi="Times New Roman"/>
        </w:rPr>
        <w:t> </w:t>
      </w:r>
      <w:r w:rsidR="00726F38" w:rsidRPr="00A729C4">
        <w:rPr>
          <w:rFonts w:ascii="Times New Roman" w:hAnsi="Times New Roman"/>
          <w:szCs w:val="22"/>
        </w:rPr>
        <w:t>tis.</w:t>
      </w:r>
      <w:r w:rsidR="001567C8" w:rsidRPr="0085799C">
        <w:rPr>
          <w:rFonts w:ascii="Times New Roman" w:hAnsi="Times New Roman"/>
        </w:rPr>
        <w:t> eur).</w:t>
      </w:r>
    </w:p>
    <w:p w14:paraId="36734098" w14:textId="749F1479" w:rsidR="0027617D" w:rsidRPr="0085799C" w:rsidRDefault="0027617D" w:rsidP="0085799C">
      <w:pPr>
        <w:spacing w:after="120" w:line="240" w:lineRule="auto"/>
        <w:jc w:val="both"/>
        <w:rPr>
          <w:rFonts w:ascii="Times New Roman" w:hAnsi="Times New Roman"/>
          <w:szCs w:val="22"/>
        </w:rPr>
      </w:pPr>
      <w:r w:rsidRPr="0085799C">
        <w:rPr>
          <w:rFonts w:ascii="Times New Roman" w:hAnsi="Times New Roman"/>
          <w:szCs w:val="22"/>
          <w:u w:val="single"/>
        </w:rPr>
        <w:t>Železničná spoločnosť Slovensko, a.s</w:t>
      </w:r>
      <w:r w:rsidRPr="0085799C">
        <w:rPr>
          <w:rFonts w:ascii="Times New Roman" w:hAnsi="Times New Roman"/>
          <w:u w:val="single"/>
        </w:rPr>
        <w:t>.</w:t>
      </w:r>
      <w:r w:rsidRPr="0085799C">
        <w:rPr>
          <w:rFonts w:ascii="Times New Roman" w:hAnsi="Times New Roman"/>
          <w:szCs w:val="22"/>
        </w:rPr>
        <w:t xml:space="preserve"> vykazuje sumu dlhodobého bankového úveru určeného na investičné účely v sume 222 15</w:t>
      </w:r>
      <w:r w:rsidR="00A05CA3">
        <w:rPr>
          <w:rFonts w:ascii="Times New Roman" w:hAnsi="Times New Roman"/>
          <w:szCs w:val="22"/>
        </w:rPr>
        <w:t>7</w:t>
      </w:r>
      <w:r w:rsidR="00AC7E3B" w:rsidRPr="0085799C">
        <w:rPr>
          <w:rFonts w:ascii="Times New Roman" w:hAnsi="Times New Roman"/>
          <w:szCs w:val="22"/>
        </w:rPr>
        <w:t xml:space="preserve"> tis.</w:t>
      </w:r>
      <w:r w:rsidRPr="0085799C">
        <w:rPr>
          <w:rFonts w:ascii="Times New Roman" w:hAnsi="Times New Roman"/>
          <w:szCs w:val="22"/>
        </w:rPr>
        <w:t xml:space="preserve"> eur. V roku 2024 sa čerpal nový investičný úver vo výške </w:t>
      </w:r>
      <w:r w:rsidR="00AC7E3B" w:rsidRPr="0085799C">
        <w:rPr>
          <w:rFonts w:ascii="Times New Roman" w:hAnsi="Times New Roman"/>
          <w:szCs w:val="22"/>
        </w:rPr>
        <w:br/>
      </w:r>
      <w:r w:rsidRPr="0085799C">
        <w:rPr>
          <w:rFonts w:ascii="Times New Roman" w:hAnsi="Times New Roman"/>
          <w:szCs w:val="22"/>
        </w:rPr>
        <w:t>21 40</w:t>
      </w:r>
      <w:r w:rsidR="00AC7E3B" w:rsidRPr="0085799C">
        <w:rPr>
          <w:rFonts w:ascii="Times New Roman" w:hAnsi="Times New Roman"/>
          <w:szCs w:val="22"/>
        </w:rPr>
        <w:t>7</w:t>
      </w:r>
      <w:r w:rsidRPr="0085799C">
        <w:rPr>
          <w:rFonts w:ascii="Times New Roman" w:hAnsi="Times New Roman"/>
          <w:szCs w:val="22"/>
        </w:rPr>
        <w:t> </w:t>
      </w:r>
      <w:r w:rsidR="00AC7E3B" w:rsidRPr="0085799C">
        <w:rPr>
          <w:rFonts w:ascii="Times New Roman" w:hAnsi="Times New Roman"/>
          <w:szCs w:val="22"/>
        </w:rPr>
        <w:t>tis.</w:t>
      </w:r>
      <w:r w:rsidRPr="0085799C">
        <w:rPr>
          <w:rFonts w:ascii="Times New Roman" w:hAnsi="Times New Roman"/>
          <w:szCs w:val="22"/>
        </w:rPr>
        <w:t xml:space="preserve"> eur na refinancovanie dlhodobého investičného úveru za rok 2024. Čerpanie a splatenie dlhodobých investičných úverov sa k 31.</w:t>
      </w:r>
      <w:r w:rsidR="00867606">
        <w:rPr>
          <w:rFonts w:ascii="Times New Roman" w:hAnsi="Times New Roman"/>
          <w:szCs w:val="22"/>
        </w:rPr>
        <w:t xml:space="preserve"> </w:t>
      </w:r>
      <w:r w:rsidRPr="0085799C">
        <w:rPr>
          <w:rFonts w:ascii="Times New Roman" w:hAnsi="Times New Roman"/>
          <w:szCs w:val="22"/>
        </w:rPr>
        <w:t>12.</w:t>
      </w:r>
      <w:r w:rsidR="00867606">
        <w:rPr>
          <w:rFonts w:ascii="Times New Roman" w:hAnsi="Times New Roman"/>
          <w:szCs w:val="22"/>
        </w:rPr>
        <w:t xml:space="preserve"> </w:t>
      </w:r>
      <w:r w:rsidRPr="0085799C">
        <w:rPr>
          <w:rFonts w:ascii="Times New Roman" w:hAnsi="Times New Roman"/>
          <w:szCs w:val="22"/>
        </w:rPr>
        <w:t>2024 prejavilo poklesom dlhodobých úverov (dlhodobá časť)  vo výške 46 78</w:t>
      </w:r>
      <w:r w:rsidR="004131C4" w:rsidRPr="0085799C">
        <w:rPr>
          <w:rFonts w:ascii="Times New Roman" w:hAnsi="Times New Roman"/>
          <w:szCs w:val="22"/>
        </w:rPr>
        <w:t>9</w:t>
      </w:r>
      <w:r w:rsidRPr="0085799C">
        <w:rPr>
          <w:rFonts w:ascii="Times New Roman" w:hAnsi="Times New Roman"/>
          <w:szCs w:val="22"/>
        </w:rPr>
        <w:t> </w:t>
      </w:r>
      <w:r w:rsidR="004131C4" w:rsidRPr="0085799C">
        <w:rPr>
          <w:rFonts w:ascii="Times New Roman" w:hAnsi="Times New Roman"/>
          <w:szCs w:val="22"/>
        </w:rPr>
        <w:t>tis.</w:t>
      </w:r>
      <w:r w:rsidRPr="0085799C">
        <w:rPr>
          <w:rFonts w:ascii="Times New Roman" w:hAnsi="Times New Roman"/>
          <w:szCs w:val="22"/>
        </w:rPr>
        <w:t> eur. Z dôvodu naakumulovania výšky splátok  dlhodobých úverov  v roku 2024 prišlo k poklesu zostatku krátkodobej časti dlhodobých úverov vo výške 45</w:t>
      </w:r>
      <w:r w:rsidR="004131C4" w:rsidRPr="0085799C">
        <w:rPr>
          <w:rFonts w:ascii="Times New Roman" w:hAnsi="Times New Roman"/>
          <w:szCs w:val="22"/>
        </w:rPr>
        <w:t>5</w:t>
      </w:r>
      <w:r w:rsidRPr="0085799C">
        <w:rPr>
          <w:rFonts w:ascii="Times New Roman" w:hAnsi="Times New Roman"/>
          <w:szCs w:val="22"/>
        </w:rPr>
        <w:t> </w:t>
      </w:r>
      <w:r w:rsidR="004131C4" w:rsidRPr="0085799C">
        <w:rPr>
          <w:rFonts w:ascii="Times New Roman" w:hAnsi="Times New Roman"/>
          <w:szCs w:val="22"/>
        </w:rPr>
        <w:t>tis.</w:t>
      </w:r>
      <w:r w:rsidRPr="0085799C">
        <w:rPr>
          <w:rFonts w:ascii="Times New Roman" w:hAnsi="Times New Roman"/>
          <w:szCs w:val="22"/>
        </w:rPr>
        <w:t> eur.</w:t>
      </w:r>
    </w:p>
    <w:p w14:paraId="62AD2FF3" w14:textId="34B1EC5E" w:rsidR="00C42BAD" w:rsidRPr="0085799C" w:rsidRDefault="0027617D" w:rsidP="0085799C">
      <w:pPr>
        <w:spacing w:after="120" w:line="240" w:lineRule="auto"/>
        <w:jc w:val="both"/>
        <w:rPr>
          <w:rFonts w:ascii="Times New Roman" w:hAnsi="Times New Roman"/>
          <w:szCs w:val="22"/>
          <w:lang w:eastAsia="x-none"/>
        </w:rPr>
      </w:pPr>
      <w:r w:rsidRPr="0085799C">
        <w:rPr>
          <w:rFonts w:ascii="Times New Roman" w:hAnsi="Times New Roman"/>
          <w:szCs w:val="22"/>
          <w:u w:val="single"/>
        </w:rPr>
        <w:t>Exportno-importná banka SR</w:t>
      </w:r>
      <w:r w:rsidRPr="0085799C">
        <w:rPr>
          <w:rFonts w:ascii="Times New Roman" w:hAnsi="Times New Roman"/>
          <w:szCs w:val="22"/>
        </w:rPr>
        <w:t xml:space="preserve"> vykazuje dlhodobý bankový úver v sume </w:t>
      </w:r>
      <w:r w:rsidR="0003087B">
        <w:rPr>
          <w:rFonts w:ascii="Times New Roman" w:hAnsi="Times New Roman"/>
          <w:szCs w:val="22"/>
        </w:rPr>
        <w:t>30</w:t>
      </w:r>
      <w:r>
        <w:rPr>
          <w:rFonts w:ascii="Times New Roman" w:hAnsi="Times New Roman"/>
          <w:szCs w:val="22"/>
        </w:rPr>
        <w:t> </w:t>
      </w:r>
      <w:r w:rsidR="006C24B3">
        <w:rPr>
          <w:rFonts w:ascii="Times New Roman" w:hAnsi="Times New Roman"/>
          <w:szCs w:val="22"/>
        </w:rPr>
        <w:t>000</w:t>
      </w:r>
      <w:r w:rsidRPr="0085799C">
        <w:rPr>
          <w:rFonts w:ascii="Times New Roman" w:hAnsi="Times New Roman"/>
          <w:szCs w:val="22"/>
        </w:rPr>
        <w:t> </w:t>
      </w:r>
      <w:r w:rsidR="005A03B8" w:rsidRPr="0085799C">
        <w:rPr>
          <w:rFonts w:ascii="Times New Roman" w:hAnsi="Times New Roman"/>
          <w:szCs w:val="22"/>
        </w:rPr>
        <w:t>tis.</w:t>
      </w:r>
      <w:r w:rsidRPr="0085799C">
        <w:rPr>
          <w:rFonts w:ascii="Times New Roman" w:hAnsi="Times New Roman"/>
          <w:szCs w:val="22"/>
        </w:rPr>
        <w:t> eur. Banka k 31.</w:t>
      </w:r>
      <w:r w:rsidR="00867606">
        <w:rPr>
          <w:rFonts w:ascii="Times New Roman" w:hAnsi="Times New Roman"/>
          <w:szCs w:val="22"/>
        </w:rPr>
        <w:t xml:space="preserve"> </w:t>
      </w:r>
      <w:r w:rsidRPr="0085799C">
        <w:rPr>
          <w:rFonts w:ascii="Times New Roman" w:hAnsi="Times New Roman"/>
          <w:szCs w:val="22"/>
        </w:rPr>
        <w:t>12.</w:t>
      </w:r>
      <w:r w:rsidR="00867606">
        <w:rPr>
          <w:rFonts w:ascii="Times New Roman" w:hAnsi="Times New Roman"/>
          <w:szCs w:val="22"/>
        </w:rPr>
        <w:t xml:space="preserve"> </w:t>
      </w:r>
      <w:r w:rsidRPr="0085799C">
        <w:rPr>
          <w:rFonts w:ascii="Times New Roman" w:hAnsi="Times New Roman"/>
          <w:szCs w:val="22"/>
        </w:rPr>
        <w:t xml:space="preserve">2024 </w:t>
      </w:r>
      <w:r w:rsidRPr="0085799C">
        <w:rPr>
          <w:rFonts w:ascii="Times New Roman" w:hAnsi="Times New Roman"/>
          <w:szCs w:val="22"/>
          <w:lang w:eastAsia="x-none"/>
        </w:rPr>
        <w:t>evidovala úvery prijaté od finančných inštitúcií v celkovej hodnote 160 305 </w:t>
      </w:r>
      <w:r w:rsidR="00C42BAD" w:rsidRPr="0085799C">
        <w:rPr>
          <w:rFonts w:ascii="Times New Roman" w:hAnsi="Times New Roman"/>
          <w:szCs w:val="22"/>
          <w:lang w:eastAsia="x-none"/>
        </w:rPr>
        <w:t>tis.</w:t>
      </w:r>
      <w:r w:rsidRPr="0085799C">
        <w:rPr>
          <w:rFonts w:ascii="Times New Roman" w:hAnsi="Times New Roman"/>
          <w:szCs w:val="22"/>
          <w:lang w:eastAsia="x-none"/>
        </w:rPr>
        <w:t xml:space="preserve"> eur. </w:t>
      </w:r>
      <w:proofErr w:type="spellStart"/>
      <w:r w:rsidRPr="0085799C">
        <w:rPr>
          <w:rFonts w:ascii="Times New Roman" w:hAnsi="Times New Roman"/>
          <w:szCs w:val="22"/>
          <w:lang w:eastAsia="x-none"/>
        </w:rPr>
        <w:t>Tranže</w:t>
      </w:r>
      <w:proofErr w:type="spellEnd"/>
      <w:r w:rsidRPr="0085799C">
        <w:rPr>
          <w:rFonts w:ascii="Times New Roman" w:hAnsi="Times New Roman"/>
          <w:szCs w:val="22"/>
          <w:lang w:eastAsia="x-none"/>
        </w:rPr>
        <w:t xml:space="preserve"> boli čerpané ako súčasť úverových rámcov v celkovej výške 425 000 </w:t>
      </w:r>
      <w:r w:rsidR="00C42BAD" w:rsidRPr="0085799C">
        <w:rPr>
          <w:rFonts w:ascii="Times New Roman" w:hAnsi="Times New Roman"/>
          <w:szCs w:val="22"/>
          <w:lang w:eastAsia="x-none"/>
        </w:rPr>
        <w:t>tis.</w:t>
      </w:r>
      <w:r w:rsidRPr="0085799C">
        <w:rPr>
          <w:rFonts w:ascii="Times New Roman" w:hAnsi="Times New Roman"/>
          <w:szCs w:val="22"/>
          <w:lang w:eastAsia="x-none"/>
        </w:rPr>
        <w:t> eur. Úvery boli poskytnuté na financovanie úverov klientom banky za účelom podpory vývozu Slovenskej republiky. Úvery sú nezabezpečené a úročené variabilnou úrokovou sadzbou.</w:t>
      </w:r>
    </w:p>
    <w:p w14:paraId="5608C09D" w14:textId="2C78577D" w:rsidR="0027617D" w:rsidRPr="0085799C" w:rsidRDefault="0027617D" w:rsidP="0085799C">
      <w:pPr>
        <w:spacing w:after="120" w:line="240" w:lineRule="auto"/>
        <w:jc w:val="both"/>
        <w:rPr>
          <w:rFonts w:ascii="Times New Roman" w:hAnsi="Times New Roman"/>
          <w:szCs w:val="22"/>
        </w:rPr>
      </w:pPr>
      <w:r w:rsidRPr="0085799C">
        <w:rPr>
          <w:rFonts w:ascii="Times New Roman" w:hAnsi="Times New Roman"/>
          <w:szCs w:val="22"/>
          <w:u w:val="single"/>
        </w:rPr>
        <w:t>Železničná spoločnosť Cargo Slovakia, a. s.</w:t>
      </w:r>
      <w:r w:rsidRPr="0085799C">
        <w:rPr>
          <w:rFonts w:ascii="Times New Roman" w:hAnsi="Times New Roman"/>
          <w:i/>
          <w:szCs w:val="22"/>
        </w:rPr>
        <w:t xml:space="preserve"> </w:t>
      </w:r>
      <w:r w:rsidRPr="0085799C">
        <w:rPr>
          <w:rFonts w:ascii="Times New Roman" w:hAnsi="Times New Roman"/>
          <w:szCs w:val="22"/>
        </w:rPr>
        <w:t>vykazuje sumu 41 877 </w:t>
      </w:r>
      <w:r w:rsidR="00C42BAD" w:rsidRPr="0085799C">
        <w:rPr>
          <w:rFonts w:ascii="Times New Roman" w:hAnsi="Times New Roman"/>
          <w:szCs w:val="22"/>
        </w:rPr>
        <w:t>tis.</w:t>
      </w:r>
      <w:r w:rsidRPr="0085799C">
        <w:rPr>
          <w:rFonts w:ascii="Times New Roman" w:hAnsi="Times New Roman"/>
          <w:szCs w:val="22"/>
        </w:rPr>
        <w:t xml:space="preserve"> </w:t>
      </w:r>
      <w:r w:rsidR="00C42BAD" w:rsidRPr="0085799C">
        <w:rPr>
          <w:rFonts w:ascii="Times New Roman" w:hAnsi="Times New Roman"/>
          <w:szCs w:val="22"/>
        </w:rPr>
        <w:t>e</w:t>
      </w:r>
      <w:r w:rsidRPr="0085799C">
        <w:rPr>
          <w:rFonts w:ascii="Times New Roman" w:hAnsi="Times New Roman"/>
          <w:szCs w:val="22"/>
        </w:rPr>
        <w:t>ur (2023: 25 275 </w:t>
      </w:r>
      <w:r w:rsidR="00C42BAD" w:rsidRPr="0085799C">
        <w:rPr>
          <w:rFonts w:ascii="Times New Roman" w:hAnsi="Times New Roman"/>
          <w:szCs w:val="22"/>
        </w:rPr>
        <w:t>tis.</w:t>
      </w:r>
      <w:r w:rsidRPr="0085799C">
        <w:rPr>
          <w:rFonts w:ascii="Times New Roman" w:hAnsi="Times New Roman"/>
          <w:szCs w:val="22"/>
        </w:rPr>
        <w:t xml:space="preserve"> eur). Ide o záväzky z bankových úverov v hodnote 7 380 </w:t>
      </w:r>
      <w:r w:rsidR="00C42BAD" w:rsidRPr="0085799C">
        <w:rPr>
          <w:rFonts w:ascii="Times New Roman" w:hAnsi="Times New Roman"/>
          <w:szCs w:val="22"/>
        </w:rPr>
        <w:t>tis.</w:t>
      </w:r>
      <w:r w:rsidRPr="0085799C">
        <w:rPr>
          <w:rFonts w:ascii="Times New Roman" w:hAnsi="Times New Roman"/>
          <w:szCs w:val="22"/>
        </w:rPr>
        <w:t xml:space="preserve"> </w:t>
      </w:r>
      <w:r w:rsidR="00C42BAD" w:rsidRPr="0085799C">
        <w:rPr>
          <w:rFonts w:ascii="Times New Roman" w:hAnsi="Times New Roman"/>
          <w:szCs w:val="22"/>
        </w:rPr>
        <w:t>e</w:t>
      </w:r>
      <w:r w:rsidRPr="0085799C">
        <w:rPr>
          <w:rFonts w:ascii="Times New Roman" w:hAnsi="Times New Roman"/>
          <w:szCs w:val="22"/>
        </w:rPr>
        <w:t xml:space="preserve">ur vo VÚB banke, 28 342 </w:t>
      </w:r>
      <w:r w:rsidR="00C42BAD" w:rsidRPr="0085799C">
        <w:rPr>
          <w:rFonts w:ascii="Times New Roman" w:hAnsi="Times New Roman"/>
          <w:szCs w:val="22"/>
        </w:rPr>
        <w:t>tis.</w:t>
      </w:r>
      <w:r w:rsidRPr="0085799C">
        <w:rPr>
          <w:rFonts w:ascii="Times New Roman" w:hAnsi="Times New Roman"/>
          <w:szCs w:val="22"/>
        </w:rPr>
        <w:t xml:space="preserve"> </w:t>
      </w:r>
      <w:r w:rsidR="00C42BAD" w:rsidRPr="0085799C">
        <w:rPr>
          <w:rFonts w:ascii="Times New Roman" w:hAnsi="Times New Roman"/>
          <w:szCs w:val="22"/>
        </w:rPr>
        <w:t>e</w:t>
      </w:r>
      <w:r w:rsidRPr="0085799C">
        <w:rPr>
          <w:rFonts w:ascii="Times New Roman" w:hAnsi="Times New Roman"/>
          <w:szCs w:val="22"/>
        </w:rPr>
        <w:t xml:space="preserve">ur v Tatra- Leasing, </w:t>
      </w:r>
      <w:r w:rsidR="00C42BAD" w:rsidRPr="0085799C">
        <w:rPr>
          <w:rFonts w:ascii="Times New Roman" w:hAnsi="Times New Roman"/>
          <w:szCs w:val="22"/>
        </w:rPr>
        <w:br/>
      </w:r>
      <w:r w:rsidRPr="0085799C">
        <w:rPr>
          <w:rFonts w:ascii="Times New Roman" w:hAnsi="Times New Roman"/>
          <w:szCs w:val="22"/>
        </w:rPr>
        <w:t xml:space="preserve">s. r. o., 5 530 </w:t>
      </w:r>
      <w:r w:rsidR="00C42BAD" w:rsidRPr="0085799C">
        <w:rPr>
          <w:rFonts w:ascii="Times New Roman" w:hAnsi="Times New Roman"/>
          <w:szCs w:val="22"/>
        </w:rPr>
        <w:t>tis.</w:t>
      </w:r>
      <w:r w:rsidRPr="0085799C">
        <w:rPr>
          <w:rFonts w:ascii="Times New Roman" w:hAnsi="Times New Roman"/>
          <w:szCs w:val="22"/>
        </w:rPr>
        <w:t xml:space="preserve"> </w:t>
      </w:r>
      <w:r w:rsidR="00C42BAD" w:rsidRPr="0085799C">
        <w:rPr>
          <w:rFonts w:ascii="Times New Roman" w:hAnsi="Times New Roman"/>
          <w:szCs w:val="22"/>
        </w:rPr>
        <w:t>e</w:t>
      </w:r>
      <w:r w:rsidRPr="0085799C">
        <w:rPr>
          <w:rFonts w:ascii="Times New Roman" w:hAnsi="Times New Roman"/>
          <w:szCs w:val="22"/>
        </w:rPr>
        <w:t xml:space="preserve">ur v Tatra banke a 625 </w:t>
      </w:r>
      <w:r w:rsidR="00C42BAD" w:rsidRPr="0085799C">
        <w:rPr>
          <w:rFonts w:ascii="Times New Roman" w:hAnsi="Times New Roman"/>
          <w:szCs w:val="22"/>
        </w:rPr>
        <w:t>tis.</w:t>
      </w:r>
      <w:r w:rsidRPr="0085799C">
        <w:rPr>
          <w:rFonts w:ascii="Times New Roman" w:hAnsi="Times New Roman"/>
          <w:szCs w:val="22"/>
        </w:rPr>
        <w:t xml:space="preserve"> </w:t>
      </w:r>
      <w:r w:rsidR="00C42BAD" w:rsidRPr="0085799C">
        <w:rPr>
          <w:rFonts w:ascii="Times New Roman" w:hAnsi="Times New Roman"/>
          <w:szCs w:val="22"/>
        </w:rPr>
        <w:t>e</w:t>
      </w:r>
      <w:r w:rsidRPr="0085799C">
        <w:rPr>
          <w:rFonts w:ascii="Times New Roman" w:hAnsi="Times New Roman"/>
          <w:szCs w:val="22"/>
        </w:rPr>
        <w:t xml:space="preserve">ur v ČSOB, a. s.. </w:t>
      </w:r>
    </w:p>
    <w:p w14:paraId="28D22E5D" w14:textId="7079BEEA" w:rsidR="0027617D" w:rsidRPr="0085799C" w:rsidRDefault="0027617D" w:rsidP="0085799C">
      <w:pPr>
        <w:spacing w:after="120" w:line="240" w:lineRule="auto"/>
        <w:jc w:val="both"/>
        <w:rPr>
          <w:rFonts w:ascii="Times New Roman" w:hAnsi="Times New Roman"/>
          <w:szCs w:val="22"/>
        </w:rPr>
      </w:pPr>
      <w:r w:rsidRPr="0085799C">
        <w:rPr>
          <w:rFonts w:ascii="Times New Roman" w:hAnsi="Times New Roman"/>
          <w:szCs w:val="22"/>
          <w:u w:val="single"/>
        </w:rPr>
        <w:t>Slovenská pošta, a.s.</w:t>
      </w:r>
      <w:r w:rsidRPr="0085799C">
        <w:rPr>
          <w:rFonts w:ascii="Times New Roman" w:hAnsi="Times New Roman"/>
          <w:szCs w:val="22"/>
        </w:rPr>
        <w:t xml:space="preserve"> vykazuje zostatok dlhodobého bankového úveru v sume 41 796 </w:t>
      </w:r>
      <w:r w:rsidR="00493B7C" w:rsidRPr="0085799C">
        <w:rPr>
          <w:rFonts w:ascii="Times New Roman" w:hAnsi="Times New Roman"/>
          <w:szCs w:val="22"/>
        </w:rPr>
        <w:t>tis.</w:t>
      </w:r>
      <w:r w:rsidRPr="0085799C">
        <w:rPr>
          <w:rFonts w:ascii="Times New Roman" w:hAnsi="Times New Roman"/>
          <w:szCs w:val="22"/>
        </w:rPr>
        <w:t> eur. Medziročný nárast o 6 30</w:t>
      </w:r>
      <w:r w:rsidR="00493B7C" w:rsidRPr="0085799C">
        <w:rPr>
          <w:rFonts w:ascii="Times New Roman" w:hAnsi="Times New Roman"/>
          <w:szCs w:val="22"/>
        </w:rPr>
        <w:t>8</w:t>
      </w:r>
      <w:r w:rsidRPr="0085799C">
        <w:rPr>
          <w:rFonts w:ascii="Times New Roman" w:hAnsi="Times New Roman"/>
          <w:szCs w:val="22"/>
        </w:rPr>
        <w:t> </w:t>
      </w:r>
      <w:r w:rsidR="00493B7C" w:rsidRPr="0085799C">
        <w:rPr>
          <w:rFonts w:ascii="Times New Roman" w:hAnsi="Times New Roman"/>
          <w:szCs w:val="22"/>
        </w:rPr>
        <w:t>tis.</w:t>
      </w:r>
      <w:r w:rsidRPr="0085799C">
        <w:rPr>
          <w:rFonts w:ascii="Times New Roman" w:hAnsi="Times New Roman"/>
          <w:szCs w:val="22"/>
        </w:rPr>
        <w:t xml:space="preserve"> eur je z dôvodu prijatia nového úveru, ktorý prevýšil splátky plánované na rok 2025. </w:t>
      </w:r>
      <w:r w:rsidR="00191BB6">
        <w:rPr>
          <w:rFonts w:ascii="Times New Roman" w:hAnsi="Times New Roman"/>
          <w:szCs w:val="22"/>
        </w:rPr>
        <w:t xml:space="preserve">Bankové úvery slúžia na </w:t>
      </w:r>
      <w:proofErr w:type="spellStart"/>
      <w:r w:rsidR="00191BB6">
        <w:rPr>
          <w:rFonts w:ascii="Times New Roman" w:hAnsi="Times New Roman"/>
          <w:szCs w:val="22"/>
        </w:rPr>
        <w:t>prefinancovanie</w:t>
      </w:r>
      <w:proofErr w:type="spellEnd"/>
      <w:r w:rsidR="00191BB6">
        <w:rPr>
          <w:rFonts w:ascii="Times New Roman" w:hAnsi="Times New Roman"/>
          <w:szCs w:val="22"/>
        </w:rPr>
        <w:t xml:space="preserve"> investícií do dlhodobého hmotného a nehmotného majetku v danom účtovnom období. </w:t>
      </w:r>
    </w:p>
    <w:p w14:paraId="22496BC5" w14:textId="1A05A859" w:rsidR="0027617D" w:rsidRPr="0085799C" w:rsidRDefault="0027617D" w:rsidP="0085799C">
      <w:pPr>
        <w:spacing w:after="120" w:line="240" w:lineRule="auto"/>
        <w:jc w:val="both"/>
        <w:rPr>
          <w:rFonts w:ascii="Times New Roman" w:hAnsi="Times New Roman"/>
          <w:szCs w:val="22"/>
        </w:rPr>
      </w:pPr>
      <w:r w:rsidRPr="0085799C">
        <w:rPr>
          <w:rFonts w:ascii="Times New Roman" w:hAnsi="Times New Roman"/>
          <w:szCs w:val="22"/>
          <w:u w:val="single"/>
        </w:rPr>
        <w:t xml:space="preserve">Vodohospodárska výstavba, </w:t>
      </w:r>
      <w:proofErr w:type="spellStart"/>
      <w:r w:rsidRPr="0085799C">
        <w:rPr>
          <w:rFonts w:ascii="Times New Roman" w:hAnsi="Times New Roman"/>
          <w:szCs w:val="22"/>
          <w:u w:val="single"/>
        </w:rPr>
        <w:t>š.p</w:t>
      </w:r>
      <w:proofErr w:type="spellEnd"/>
      <w:r w:rsidRPr="0085799C">
        <w:rPr>
          <w:rFonts w:ascii="Times New Roman" w:hAnsi="Times New Roman"/>
          <w:szCs w:val="22"/>
          <w:u w:val="single"/>
        </w:rPr>
        <w:t>.</w:t>
      </w:r>
      <w:r w:rsidRPr="0085799C">
        <w:rPr>
          <w:rFonts w:ascii="Times New Roman" w:hAnsi="Times New Roman"/>
          <w:szCs w:val="22"/>
        </w:rPr>
        <w:t xml:space="preserve"> vykazuje zostatok dlhodobého bankového úveru v hodnote </w:t>
      </w:r>
      <w:r w:rsidR="00240C6D" w:rsidRPr="0085799C">
        <w:rPr>
          <w:rFonts w:ascii="Times New Roman" w:hAnsi="Times New Roman"/>
          <w:szCs w:val="22"/>
        </w:rPr>
        <w:br/>
      </w:r>
      <w:r w:rsidRPr="0085799C">
        <w:rPr>
          <w:rFonts w:ascii="Times New Roman" w:hAnsi="Times New Roman"/>
          <w:szCs w:val="22"/>
        </w:rPr>
        <w:t>38 </w:t>
      </w:r>
      <w:r w:rsidR="00241749" w:rsidRPr="0085799C">
        <w:rPr>
          <w:rFonts w:ascii="Times New Roman" w:hAnsi="Times New Roman"/>
          <w:szCs w:val="22"/>
        </w:rPr>
        <w:t>660 tis.</w:t>
      </w:r>
      <w:r w:rsidRPr="0085799C">
        <w:rPr>
          <w:rFonts w:ascii="Times New Roman" w:hAnsi="Times New Roman"/>
          <w:szCs w:val="22"/>
        </w:rPr>
        <w:t xml:space="preserve"> eur, ktorý bol čerpaný v roku 2013 a slúžil na vysporiadanie záväzku štátneho podniku voči Ministerstvu financií SR z návratných finančných výpomocí. Pôvodná výška úveru bola v sume 235 519 </w:t>
      </w:r>
      <w:r w:rsidR="00240C6D" w:rsidRPr="0085799C">
        <w:rPr>
          <w:rFonts w:ascii="Times New Roman" w:hAnsi="Times New Roman"/>
          <w:szCs w:val="22"/>
        </w:rPr>
        <w:t>tis.</w:t>
      </w:r>
      <w:r w:rsidRPr="0085799C">
        <w:rPr>
          <w:rFonts w:ascii="Times New Roman" w:hAnsi="Times New Roman"/>
          <w:szCs w:val="22"/>
        </w:rPr>
        <w:t> eur, splatnosť úrokov je štvrťročná a splatnosť istiny je v termíne od roku 2017 do roku 2029. V roku 2023 podnik uhradil pravidelné splátky istiny bankového úveru v sume 20 000 </w:t>
      </w:r>
      <w:r w:rsidR="00240C6D" w:rsidRPr="0085799C">
        <w:rPr>
          <w:rFonts w:ascii="Times New Roman" w:hAnsi="Times New Roman"/>
          <w:szCs w:val="22"/>
        </w:rPr>
        <w:t>tis.</w:t>
      </w:r>
      <w:r w:rsidRPr="0085799C">
        <w:rPr>
          <w:rFonts w:ascii="Times New Roman" w:hAnsi="Times New Roman"/>
          <w:szCs w:val="22"/>
        </w:rPr>
        <w:t> eur, ako aj mimoriadnu splátku úverového rámca A vo výške jej celkového zostatku 19 500 </w:t>
      </w:r>
      <w:r w:rsidR="00240C6D" w:rsidRPr="0085799C">
        <w:rPr>
          <w:rFonts w:ascii="Times New Roman" w:hAnsi="Times New Roman"/>
          <w:szCs w:val="22"/>
        </w:rPr>
        <w:t>tis.</w:t>
      </w:r>
      <w:r w:rsidRPr="0085799C">
        <w:rPr>
          <w:rFonts w:ascii="Times New Roman" w:hAnsi="Times New Roman"/>
          <w:szCs w:val="22"/>
        </w:rPr>
        <w:t> eur.</w:t>
      </w:r>
    </w:p>
    <w:p w14:paraId="2E9CA1B6" w14:textId="1E8A6F51" w:rsidR="00331FF1" w:rsidRDefault="0027617D" w:rsidP="00BD6CE7">
      <w:pPr>
        <w:spacing w:after="120" w:line="240" w:lineRule="auto"/>
        <w:jc w:val="both"/>
        <w:rPr>
          <w:rFonts w:ascii="Times New Roman" w:hAnsi="Times New Roman"/>
        </w:rPr>
      </w:pPr>
      <w:r w:rsidRPr="0085799C">
        <w:rPr>
          <w:rFonts w:ascii="Times New Roman" w:hAnsi="Times New Roman"/>
        </w:rPr>
        <w:t>Významný medziročný pokles na dlhodobých bankových úveroch v sume 34 44</w:t>
      </w:r>
      <w:r w:rsidR="00240C6D" w:rsidRPr="0085799C">
        <w:rPr>
          <w:rFonts w:ascii="Times New Roman" w:hAnsi="Times New Roman"/>
        </w:rPr>
        <w:t>4</w:t>
      </w:r>
      <w:r w:rsidRPr="0085799C">
        <w:rPr>
          <w:rFonts w:ascii="Times New Roman" w:hAnsi="Times New Roman"/>
        </w:rPr>
        <w:t> </w:t>
      </w:r>
      <w:r w:rsidR="00240C6D" w:rsidRPr="0085799C">
        <w:rPr>
          <w:rFonts w:ascii="Times New Roman" w:hAnsi="Times New Roman"/>
        </w:rPr>
        <w:t>tis.</w:t>
      </w:r>
      <w:r w:rsidRPr="0085799C">
        <w:rPr>
          <w:rFonts w:ascii="Times New Roman" w:hAnsi="Times New Roman"/>
        </w:rPr>
        <w:t xml:space="preserve"> eur vykázala spoločnosť </w:t>
      </w:r>
      <w:r w:rsidRPr="0085799C">
        <w:rPr>
          <w:rFonts w:ascii="Times New Roman" w:hAnsi="Times New Roman"/>
          <w:u w:val="single"/>
        </w:rPr>
        <w:t xml:space="preserve">Letisko </w:t>
      </w:r>
      <w:proofErr w:type="spellStart"/>
      <w:r w:rsidRPr="0085799C">
        <w:rPr>
          <w:rFonts w:ascii="Times New Roman" w:hAnsi="Times New Roman"/>
          <w:u w:val="single"/>
        </w:rPr>
        <w:t>M.R.Štefánika</w:t>
      </w:r>
      <w:proofErr w:type="spellEnd"/>
      <w:r w:rsidRPr="0085799C">
        <w:rPr>
          <w:rFonts w:ascii="Times New Roman" w:hAnsi="Times New Roman"/>
          <w:u w:val="single"/>
        </w:rPr>
        <w:t xml:space="preserve"> – </w:t>
      </w:r>
      <w:proofErr w:type="spellStart"/>
      <w:r w:rsidRPr="0085799C">
        <w:rPr>
          <w:rFonts w:ascii="Times New Roman" w:hAnsi="Times New Roman"/>
          <w:u w:val="single"/>
        </w:rPr>
        <w:t>Airport</w:t>
      </w:r>
      <w:proofErr w:type="spellEnd"/>
      <w:r w:rsidRPr="0085799C">
        <w:rPr>
          <w:rFonts w:ascii="Times New Roman" w:hAnsi="Times New Roman"/>
          <w:u w:val="single"/>
        </w:rPr>
        <w:t xml:space="preserve"> Bratislava, a.s.</w:t>
      </w:r>
      <w:r w:rsidRPr="0085799C">
        <w:rPr>
          <w:rFonts w:ascii="Times New Roman" w:hAnsi="Times New Roman"/>
          <w:b/>
          <w:i/>
        </w:rPr>
        <w:t xml:space="preserve"> </w:t>
      </w:r>
      <w:r w:rsidRPr="0085799C">
        <w:rPr>
          <w:rFonts w:ascii="Times New Roman" w:hAnsi="Times New Roman"/>
        </w:rPr>
        <w:t>z dôvodu preklasifikovania dlhodobých úverov na krátkodobé úvery, ktoré sú splatné k 31.</w:t>
      </w:r>
      <w:r w:rsidR="00867606">
        <w:rPr>
          <w:rFonts w:ascii="Times New Roman" w:hAnsi="Times New Roman"/>
        </w:rPr>
        <w:t xml:space="preserve"> </w:t>
      </w:r>
      <w:r w:rsidRPr="0085799C">
        <w:rPr>
          <w:rFonts w:ascii="Times New Roman" w:hAnsi="Times New Roman"/>
        </w:rPr>
        <w:t>12.</w:t>
      </w:r>
      <w:r w:rsidR="00867606">
        <w:rPr>
          <w:rFonts w:ascii="Times New Roman" w:hAnsi="Times New Roman"/>
        </w:rPr>
        <w:t xml:space="preserve"> </w:t>
      </w:r>
      <w:r w:rsidRPr="0085799C">
        <w:rPr>
          <w:rFonts w:ascii="Times New Roman" w:hAnsi="Times New Roman"/>
        </w:rPr>
        <w:t>2025.</w:t>
      </w:r>
    </w:p>
    <w:p w14:paraId="46DA6453" w14:textId="77777777" w:rsidR="00331FF1" w:rsidRDefault="00331FF1" w:rsidP="00BD6CE7">
      <w:pPr>
        <w:spacing w:after="120" w:line="240" w:lineRule="auto"/>
        <w:jc w:val="both"/>
        <w:rPr>
          <w:rFonts w:ascii="Times New Roman" w:hAnsi="Times New Roman"/>
          <w:szCs w:val="22"/>
        </w:rPr>
      </w:pPr>
    </w:p>
    <w:p w14:paraId="2D70CBDA" w14:textId="1BA6B18F" w:rsidR="00331FF1" w:rsidRDefault="00FC379B" w:rsidP="009F2AF6">
      <w:pPr>
        <w:pStyle w:val="Nadpis4"/>
        <w:numPr>
          <w:ilvl w:val="0"/>
          <w:numId w:val="54"/>
        </w:numPr>
        <w:ind w:left="426" w:hanging="426"/>
      </w:pPr>
      <w:bookmarkStart w:id="42" w:name="_Ostatné_dlhodobé_záväzky"/>
      <w:bookmarkEnd w:id="42"/>
      <w:r>
        <w:t>Ostatné dlhodobé záväzky</w:t>
      </w:r>
    </w:p>
    <w:p w14:paraId="607CEBEA" w14:textId="37927059" w:rsidR="00647542" w:rsidRPr="009E3C89" w:rsidRDefault="00647542" w:rsidP="00647542">
      <w:pPr>
        <w:spacing w:after="120" w:line="240" w:lineRule="auto"/>
        <w:jc w:val="both"/>
        <w:rPr>
          <w:rFonts w:ascii="Times New Roman" w:hAnsi="Times New Roman"/>
          <w:szCs w:val="22"/>
        </w:rPr>
      </w:pPr>
      <w:r w:rsidRPr="009E3C89">
        <w:rPr>
          <w:rFonts w:ascii="Times New Roman" w:hAnsi="Times New Roman"/>
          <w:szCs w:val="22"/>
          <w:u w:val="single"/>
        </w:rPr>
        <w:t>Záväzky Národného jadrového fondu</w:t>
      </w:r>
      <w:r w:rsidRPr="009E3C89">
        <w:rPr>
          <w:rFonts w:ascii="Times New Roman" w:hAnsi="Times New Roman"/>
          <w:szCs w:val="22"/>
        </w:rPr>
        <w:t xml:space="preserve"> z prijatých príspevkov od povinných osôb za účelom kumulovania prostriedkov na vyraďovanie jadrových zariadení a rádioaktívneho odpadu boli medziročne </w:t>
      </w:r>
      <w:r w:rsidR="004721A1" w:rsidRPr="0021498A">
        <w:rPr>
          <w:rFonts w:ascii="Times New Roman" w:hAnsi="Times New Roman"/>
          <w:szCs w:val="22"/>
        </w:rPr>
        <w:t xml:space="preserve">vyššie </w:t>
      </w:r>
      <w:r w:rsidRPr="009E3C89">
        <w:rPr>
          <w:rFonts w:ascii="Times New Roman" w:hAnsi="Times New Roman"/>
          <w:szCs w:val="22"/>
        </w:rPr>
        <w:t>o</w:t>
      </w:r>
      <w:r w:rsidRPr="0021498A">
        <w:rPr>
          <w:rFonts w:ascii="Times New Roman" w:hAnsi="Times New Roman"/>
          <w:szCs w:val="22"/>
        </w:rPr>
        <w:t> </w:t>
      </w:r>
      <w:r w:rsidR="004B22DA" w:rsidRPr="0021498A">
        <w:rPr>
          <w:rFonts w:ascii="Times New Roman" w:hAnsi="Times New Roman"/>
          <w:szCs w:val="22"/>
        </w:rPr>
        <w:t>1 632 7</w:t>
      </w:r>
      <w:r w:rsidR="00471EA9" w:rsidRPr="0021498A">
        <w:rPr>
          <w:rFonts w:ascii="Times New Roman" w:hAnsi="Times New Roman"/>
          <w:szCs w:val="22"/>
        </w:rPr>
        <w:t>80</w:t>
      </w:r>
      <w:r w:rsidRPr="009E3C89">
        <w:rPr>
          <w:rFonts w:ascii="Times New Roman" w:hAnsi="Times New Roman"/>
          <w:szCs w:val="22"/>
        </w:rPr>
        <w:t xml:space="preserve"> tis. eur a dosiahli objem </w:t>
      </w:r>
      <w:r w:rsidR="004B22DA" w:rsidRPr="0021498A">
        <w:rPr>
          <w:rFonts w:ascii="Times New Roman" w:hAnsi="Times New Roman"/>
          <w:szCs w:val="22"/>
        </w:rPr>
        <w:t>2 172 019</w:t>
      </w:r>
      <w:r w:rsidRPr="009E3C89">
        <w:rPr>
          <w:rFonts w:ascii="Times New Roman" w:hAnsi="Times New Roman"/>
          <w:szCs w:val="22"/>
        </w:rPr>
        <w:t xml:space="preserve"> tis. eur. </w:t>
      </w:r>
      <w:r w:rsidR="00111B5A" w:rsidRPr="0021498A">
        <w:rPr>
          <w:rFonts w:ascii="Times New Roman" w:hAnsi="Times New Roman"/>
          <w:szCs w:val="22"/>
        </w:rPr>
        <w:t>Zvýšenie</w:t>
      </w:r>
      <w:r w:rsidRPr="0021498A">
        <w:rPr>
          <w:rFonts w:ascii="Times New Roman" w:hAnsi="Times New Roman"/>
          <w:szCs w:val="22"/>
        </w:rPr>
        <w:t xml:space="preserve"> </w:t>
      </w:r>
      <w:r w:rsidRPr="009E3C89">
        <w:rPr>
          <w:rFonts w:ascii="Times New Roman" w:hAnsi="Times New Roman"/>
          <w:szCs w:val="22"/>
        </w:rPr>
        <w:t xml:space="preserve">záväzkov bolo spôsobené </w:t>
      </w:r>
      <w:r w:rsidR="007725EC">
        <w:rPr>
          <w:rFonts w:ascii="Times New Roman" w:hAnsi="Times New Roman"/>
          <w:szCs w:val="22"/>
        </w:rPr>
        <w:t xml:space="preserve">aplikáciou </w:t>
      </w:r>
      <w:r w:rsidR="004B7A21" w:rsidRPr="0021498A">
        <w:rPr>
          <w:rFonts w:ascii="Times New Roman" w:hAnsi="Times New Roman"/>
          <w:szCs w:val="22"/>
        </w:rPr>
        <w:t>usmernen</w:t>
      </w:r>
      <w:r w:rsidR="007725EC">
        <w:rPr>
          <w:rFonts w:ascii="Times New Roman" w:hAnsi="Times New Roman"/>
          <w:szCs w:val="22"/>
        </w:rPr>
        <w:t>ia</w:t>
      </w:r>
      <w:r w:rsidR="004B7A21" w:rsidRPr="0021498A">
        <w:rPr>
          <w:rFonts w:ascii="Times New Roman" w:hAnsi="Times New Roman"/>
          <w:szCs w:val="22"/>
        </w:rPr>
        <w:t xml:space="preserve"> Ministerstva financií SR, na základe </w:t>
      </w:r>
      <w:r w:rsidR="00105D54" w:rsidRPr="0085799C">
        <w:rPr>
          <w:rFonts w:ascii="Times New Roman" w:hAnsi="Times New Roman"/>
          <w:szCs w:val="22"/>
        </w:rPr>
        <w:t>ktorého sa zostatok dlhodobých záväzkoch Národného jadrového fondu vykazuje v </w:t>
      </w:r>
      <w:r w:rsidR="007725EC">
        <w:rPr>
          <w:rFonts w:ascii="Times New Roman" w:hAnsi="Times New Roman"/>
          <w:szCs w:val="22"/>
        </w:rPr>
        <w:t>k</w:t>
      </w:r>
      <w:r w:rsidR="00105D54" w:rsidRPr="0085799C">
        <w:rPr>
          <w:rFonts w:ascii="Times New Roman" w:hAnsi="Times New Roman"/>
          <w:szCs w:val="22"/>
        </w:rPr>
        <w:t xml:space="preserve">onsolidovanej účtovnej závierke Ministerstva hospodárstva SR </w:t>
      </w:r>
      <w:r w:rsidR="007725EC">
        <w:rPr>
          <w:rFonts w:ascii="Times New Roman" w:hAnsi="Times New Roman"/>
          <w:szCs w:val="22"/>
        </w:rPr>
        <w:t xml:space="preserve">v </w:t>
      </w:r>
      <w:r w:rsidR="00105D54" w:rsidRPr="0085799C">
        <w:rPr>
          <w:rFonts w:ascii="Times New Roman" w:hAnsi="Times New Roman"/>
          <w:szCs w:val="22"/>
        </w:rPr>
        <w:t xml:space="preserve">nezmenenej sume podľa </w:t>
      </w:r>
      <w:r w:rsidR="007725EC">
        <w:rPr>
          <w:rFonts w:ascii="Times New Roman" w:hAnsi="Times New Roman"/>
          <w:szCs w:val="22"/>
        </w:rPr>
        <w:t>i</w:t>
      </w:r>
      <w:r w:rsidR="00105D54" w:rsidRPr="0085799C">
        <w:rPr>
          <w:rFonts w:ascii="Times New Roman" w:hAnsi="Times New Roman"/>
          <w:szCs w:val="22"/>
        </w:rPr>
        <w:t xml:space="preserve">ndividuálnej účtovnej závierky </w:t>
      </w:r>
      <w:r w:rsidR="007725EC">
        <w:rPr>
          <w:rFonts w:ascii="Times New Roman" w:hAnsi="Times New Roman"/>
          <w:szCs w:val="22"/>
        </w:rPr>
        <w:t>Národného jadrového fondu</w:t>
      </w:r>
      <w:r w:rsidR="00105D54" w:rsidRPr="0085799C">
        <w:rPr>
          <w:rFonts w:ascii="Times New Roman" w:hAnsi="Times New Roman"/>
          <w:szCs w:val="22"/>
        </w:rPr>
        <w:t xml:space="preserve"> t.</w:t>
      </w:r>
      <w:r w:rsidR="007D77B3" w:rsidRPr="009E3C89">
        <w:rPr>
          <w:rFonts w:ascii="Times New Roman" w:hAnsi="Times New Roman"/>
          <w:szCs w:val="22"/>
        </w:rPr>
        <w:t xml:space="preserve"> </w:t>
      </w:r>
      <w:r w:rsidR="00105D54" w:rsidRPr="0085799C">
        <w:rPr>
          <w:rFonts w:ascii="Times New Roman" w:hAnsi="Times New Roman"/>
          <w:szCs w:val="22"/>
        </w:rPr>
        <w:t xml:space="preserve">j. ostatné dlhodobé záväzky </w:t>
      </w:r>
      <w:r w:rsidR="007725EC">
        <w:rPr>
          <w:rFonts w:ascii="Times New Roman" w:hAnsi="Times New Roman"/>
          <w:szCs w:val="22"/>
        </w:rPr>
        <w:t xml:space="preserve">fondu </w:t>
      </w:r>
      <w:r w:rsidR="00105D54" w:rsidRPr="0085799C">
        <w:rPr>
          <w:rFonts w:ascii="Times New Roman" w:hAnsi="Times New Roman"/>
          <w:szCs w:val="22"/>
        </w:rPr>
        <w:t>sa nekonsolidujú.</w:t>
      </w:r>
    </w:p>
    <w:p w14:paraId="33736100" w14:textId="40C84101" w:rsidR="00647542" w:rsidRPr="009E3C89" w:rsidRDefault="00647542" w:rsidP="00647542">
      <w:pPr>
        <w:spacing w:after="120" w:line="240" w:lineRule="auto"/>
        <w:jc w:val="both"/>
        <w:rPr>
          <w:rFonts w:ascii="Times New Roman" w:hAnsi="Times New Roman"/>
          <w:szCs w:val="22"/>
        </w:rPr>
      </w:pPr>
      <w:r w:rsidRPr="009E3C89">
        <w:rPr>
          <w:rFonts w:ascii="Times New Roman" w:hAnsi="Times New Roman"/>
          <w:szCs w:val="22"/>
          <w:u w:val="single"/>
        </w:rPr>
        <w:t>Záväzky Vodohospodárskej výstavby, </w:t>
      </w:r>
      <w:proofErr w:type="spellStart"/>
      <w:r w:rsidRPr="009E3C89">
        <w:rPr>
          <w:rFonts w:ascii="Times New Roman" w:hAnsi="Times New Roman"/>
          <w:szCs w:val="22"/>
          <w:u w:val="single"/>
        </w:rPr>
        <w:t>š.p</w:t>
      </w:r>
      <w:proofErr w:type="spellEnd"/>
      <w:r w:rsidRPr="009E3C89">
        <w:rPr>
          <w:rFonts w:ascii="Times New Roman" w:hAnsi="Times New Roman"/>
          <w:szCs w:val="22"/>
          <w:u w:val="single"/>
        </w:rPr>
        <w:t>.</w:t>
      </w:r>
      <w:r w:rsidRPr="009E3C89">
        <w:rPr>
          <w:rFonts w:ascii="Times New Roman" w:hAnsi="Times New Roman"/>
          <w:szCs w:val="22"/>
        </w:rPr>
        <w:t xml:space="preserve"> predstavujú najmä dlhodobé záväzky voči Slovenským elektrárňam, a.s. </w:t>
      </w:r>
      <w:r w:rsidR="00F52071" w:rsidRPr="0085799C">
        <w:rPr>
          <w:rFonts w:ascii="Times New Roman" w:hAnsi="Times New Roman"/>
        </w:rPr>
        <w:t>ktor</w:t>
      </w:r>
      <w:r w:rsidR="009B479E">
        <w:rPr>
          <w:rFonts w:ascii="Times New Roman" w:hAnsi="Times New Roman"/>
        </w:rPr>
        <w:t>é</w:t>
      </w:r>
      <w:r w:rsidR="00F52071" w:rsidRPr="0085799C">
        <w:rPr>
          <w:rFonts w:ascii="Times New Roman" w:hAnsi="Times New Roman"/>
        </w:rPr>
        <w:t xml:space="preserve"> zodpoved</w:t>
      </w:r>
      <w:r w:rsidR="009B479E">
        <w:rPr>
          <w:rFonts w:ascii="Times New Roman" w:hAnsi="Times New Roman"/>
        </w:rPr>
        <w:t>ajú</w:t>
      </w:r>
      <w:r w:rsidR="00F52071" w:rsidRPr="0085799C">
        <w:rPr>
          <w:rFonts w:ascii="Times New Roman" w:hAnsi="Times New Roman"/>
        </w:rPr>
        <w:t xml:space="preserve"> doposiaľ neuhradenej časti náhrady na základe Dohody o usporiadaní majetkovo-právnych vzťahov Vodnej elektrárne Gabčíkovo (ďalej len „VEG“) z roku 2006 v sume 102 729 </w:t>
      </w:r>
      <w:r w:rsidR="00F52071" w:rsidRPr="009E3C89">
        <w:rPr>
          <w:rFonts w:ascii="Times New Roman" w:hAnsi="Times New Roman"/>
          <w:szCs w:val="22"/>
        </w:rPr>
        <w:t>tis.</w:t>
      </w:r>
      <w:r w:rsidR="00F52071" w:rsidRPr="0085799C">
        <w:rPr>
          <w:rFonts w:ascii="Times New Roman" w:hAnsi="Times New Roman"/>
        </w:rPr>
        <w:t> eur. Vodohospodárska výstava, </w:t>
      </w:r>
      <w:proofErr w:type="spellStart"/>
      <w:r w:rsidR="00F52071" w:rsidRPr="0085799C">
        <w:rPr>
          <w:rFonts w:ascii="Times New Roman" w:hAnsi="Times New Roman"/>
        </w:rPr>
        <w:t>š.p</w:t>
      </w:r>
      <w:proofErr w:type="spellEnd"/>
      <w:r w:rsidR="00F52071" w:rsidRPr="0085799C">
        <w:rPr>
          <w:rFonts w:ascii="Times New Roman" w:hAnsi="Times New Roman"/>
        </w:rPr>
        <w:t>. vykazuje pokles ostatných dlhodobých záväzkov o</w:t>
      </w:r>
      <w:r w:rsidR="00F52071" w:rsidRPr="009E3C89">
        <w:rPr>
          <w:rFonts w:ascii="Times New Roman" w:hAnsi="Times New Roman"/>
          <w:szCs w:val="22"/>
        </w:rPr>
        <w:t xml:space="preserve"> </w:t>
      </w:r>
      <w:r w:rsidR="00F52071" w:rsidRPr="0085799C">
        <w:rPr>
          <w:rFonts w:ascii="Times New Roman" w:hAnsi="Times New Roman"/>
        </w:rPr>
        <w:t>3 45</w:t>
      </w:r>
      <w:r w:rsidR="00F52071" w:rsidRPr="009E3C89">
        <w:rPr>
          <w:rFonts w:ascii="Times New Roman" w:hAnsi="Times New Roman"/>
          <w:szCs w:val="22"/>
        </w:rPr>
        <w:t>2</w:t>
      </w:r>
      <w:r w:rsidR="00F52071" w:rsidRPr="0085799C">
        <w:rPr>
          <w:rFonts w:ascii="Times New Roman" w:hAnsi="Times New Roman"/>
        </w:rPr>
        <w:t xml:space="preserve"> </w:t>
      </w:r>
      <w:r w:rsidR="00F52071" w:rsidRPr="009E3C89">
        <w:rPr>
          <w:rFonts w:ascii="Times New Roman" w:hAnsi="Times New Roman"/>
          <w:szCs w:val="22"/>
        </w:rPr>
        <w:t>tis.</w:t>
      </w:r>
      <w:r w:rsidR="00F52071" w:rsidRPr="0085799C">
        <w:rPr>
          <w:rFonts w:ascii="Times New Roman" w:hAnsi="Times New Roman"/>
        </w:rPr>
        <w:t xml:space="preserve"> eur. Uvedený pokles nastal najmä z dôvodu uvoľnenia časti zádržného voči spoločnosti </w:t>
      </w:r>
      <w:proofErr w:type="spellStart"/>
      <w:r w:rsidR="00F52071" w:rsidRPr="0085799C">
        <w:rPr>
          <w:rFonts w:ascii="Times New Roman" w:hAnsi="Times New Roman"/>
        </w:rPr>
        <w:t>Metrostav</w:t>
      </w:r>
      <w:proofErr w:type="spellEnd"/>
      <w:r w:rsidR="00F52071" w:rsidRPr="0085799C">
        <w:rPr>
          <w:rFonts w:ascii="Times New Roman" w:hAnsi="Times New Roman"/>
        </w:rPr>
        <w:t>, </w:t>
      </w:r>
      <w:proofErr w:type="spellStart"/>
      <w:r w:rsidR="00F52071" w:rsidRPr="0085799C">
        <w:rPr>
          <w:rFonts w:ascii="Times New Roman" w:hAnsi="Times New Roman"/>
        </w:rPr>
        <w:t>a.s</w:t>
      </w:r>
      <w:proofErr w:type="spellEnd"/>
      <w:r w:rsidR="00F52071" w:rsidRPr="0085799C">
        <w:rPr>
          <w:rFonts w:ascii="Times New Roman" w:hAnsi="Times New Roman"/>
        </w:rPr>
        <w:t>. v dôsledku ukončenia prác a nahradení zádržného bankovou záruk</w:t>
      </w:r>
      <w:r w:rsidR="00F52071" w:rsidRPr="0085799C">
        <w:rPr>
          <w:rFonts w:ascii="Times New Roman" w:hAnsi="Times New Roman"/>
          <w:color w:val="000000" w:themeColor="text1"/>
        </w:rPr>
        <w:t>ou.</w:t>
      </w:r>
      <w:r w:rsidR="00F52071" w:rsidRPr="009E3C89" w:rsidDel="00F52071">
        <w:rPr>
          <w:rFonts w:ascii="Times New Roman" w:hAnsi="Times New Roman"/>
          <w:szCs w:val="22"/>
        </w:rPr>
        <w:t xml:space="preserve"> </w:t>
      </w:r>
    </w:p>
    <w:p w14:paraId="6C5D138A" w14:textId="79E2C2A7" w:rsidR="00647542" w:rsidRPr="009E3C89" w:rsidRDefault="00647542" w:rsidP="00647542">
      <w:pPr>
        <w:spacing w:after="120" w:line="240" w:lineRule="auto"/>
        <w:jc w:val="both"/>
        <w:rPr>
          <w:rFonts w:ascii="Times New Roman" w:hAnsi="Times New Roman"/>
          <w:szCs w:val="22"/>
        </w:rPr>
      </w:pPr>
      <w:r w:rsidRPr="009E3C89">
        <w:rPr>
          <w:rFonts w:ascii="Times New Roman" w:hAnsi="Times New Roman"/>
          <w:szCs w:val="22"/>
          <w:u w:val="single"/>
        </w:rPr>
        <w:t>Záväzky Národnej diaľničnej spoločnosti, a.s.</w:t>
      </w:r>
      <w:r w:rsidRPr="009E3C89">
        <w:rPr>
          <w:rFonts w:ascii="Times New Roman" w:hAnsi="Times New Roman"/>
          <w:szCs w:val="22"/>
        </w:rPr>
        <w:t xml:space="preserve"> vo výške </w:t>
      </w:r>
      <w:r w:rsidR="009551D6" w:rsidRPr="0021498A">
        <w:rPr>
          <w:rFonts w:ascii="Times New Roman" w:hAnsi="Times New Roman"/>
          <w:szCs w:val="22"/>
        </w:rPr>
        <w:t>23</w:t>
      </w:r>
      <w:r w:rsidR="00BD6CE7">
        <w:rPr>
          <w:rFonts w:ascii="Times New Roman" w:hAnsi="Times New Roman"/>
          <w:szCs w:val="22"/>
        </w:rPr>
        <w:t> </w:t>
      </w:r>
      <w:r w:rsidR="009551D6" w:rsidRPr="00BB21FD">
        <w:rPr>
          <w:rFonts w:ascii="Times New Roman" w:hAnsi="Times New Roman"/>
          <w:szCs w:val="22"/>
        </w:rPr>
        <w:t>02</w:t>
      </w:r>
      <w:r w:rsidR="00EA4F5A" w:rsidRPr="00BB21FD">
        <w:rPr>
          <w:rFonts w:ascii="Times New Roman" w:hAnsi="Times New Roman"/>
          <w:szCs w:val="22"/>
        </w:rPr>
        <w:t>6</w:t>
      </w:r>
      <w:r w:rsidRPr="009E3C89">
        <w:rPr>
          <w:rFonts w:ascii="Times New Roman" w:hAnsi="Times New Roman"/>
          <w:szCs w:val="22"/>
        </w:rPr>
        <w:t> tis. eur tvorí hlavne</w:t>
      </w:r>
      <w:r w:rsidR="00F6224C" w:rsidRPr="0085799C">
        <w:rPr>
          <w:rFonts w:ascii="Times New Roman" w:hAnsi="Times New Roman"/>
        </w:rPr>
        <w:t xml:space="preserve"> časť zádržného vyplývajúceho z investičných záväzkov. Medziročné zvýšenie</w:t>
      </w:r>
      <w:r w:rsidR="00F6224C" w:rsidRPr="0085799C">
        <w:rPr>
          <w:rFonts w:ascii="Times New Roman" w:hAnsi="Times New Roman"/>
          <w:color w:val="FF0000"/>
        </w:rPr>
        <w:t xml:space="preserve"> </w:t>
      </w:r>
      <w:r w:rsidR="00F6224C" w:rsidRPr="0085799C">
        <w:rPr>
          <w:rFonts w:ascii="Times New Roman" w:hAnsi="Times New Roman"/>
        </w:rPr>
        <w:t>dlhodobých záväzkov</w:t>
      </w:r>
      <w:r w:rsidR="009B479E">
        <w:rPr>
          <w:rFonts w:ascii="Times New Roman" w:hAnsi="Times New Roman"/>
          <w:color w:val="000000" w:themeColor="text1"/>
        </w:rPr>
        <w:t xml:space="preserve"> (</w:t>
      </w:r>
      <w:r w:rsidR="00F6224C" w:rsidRPr="0085799C">
        <w:rPr>
          <w:rFonts w:ascii="Times New Roman" w:hAnsi="Times New Roman"/>
          <w:color w:val="000000" w:themeColor="text1"/>
        </w:rPr>
        <w:t>2023: 21</w:t>
      </w:r>
      <w:r w:rsidR="00BD6CE7">
        <w:rPr>
          <w:rFonts w:ascii="Times New Roman" w:hAnsi="Times New Roman"/>
          <w:color w:val="000000" w:themeColor="text1"/>
        </w:rPr>
        <w:t> </w:t>
      </w:r>
      <w:r w:rsidR="00F6224C" w:rsidRPr="0085799C">
        <w:rPr>
          <w:rFonts w:ascii="Times New Roman" w:hAnsi="Times New Roman"/>
          <w:color w:val="000000" w:themeColor="text1"/>
        </w:rPr>
        <w:t>70</w:t>
      </w:r>
      <w:r w:rsidR="00F6224C" w:rsidRPr="009E3C89">
        <w:rPr>
          <w:rFonts w:ascii="Times New Roman" w:hAnsi="Times New Roman"/>
          <w:color w:val="000000" w:themeColor="text1"/>
          <w:szCs w:val="22"/>
        </w:rPr>
        <w:t>9</w:t>
      </w:r>
      <w:r w:rsidR="00BD6CE7">
        <w:rPr>
          <w:rFonts w:ascii="Times New Roman" w:hAnsi="Times New Roman"/>
          <w:color w:val="000000" w:themeColor="text1"/>
        </w:rPr>
        <w:t> </w:t>
      </w:r>
      <w:r w:rsidR="00F6224C" w:rsidRPr="009E3C89">
        <w:rPr>
          <w:rFonts w:ascii="Times New Roman" w:hAnsi="Times New Roman"/>
          <w:color w:val="000000" w:themeColor="text1"/>
          <w:szCs w:val="22"/>
        </w:rPr>
        <w:t>tis</w:t>
      </w:r>
      <w:r w:rsidR="00BD6CE7">
        <w:rPr>
          <w:rFonts w:ascii="Times New Roman" w:hAnsi="Times New Roman"/>
          <w:color w:val="000000" w:themeColor="text1"/>
        </w:rPr>
        <w:t> </w:t>
      </w:r>
      <w:r w:rsidR="00F6224C" w:rsidRPr="0085799C">
        <w:rPr>
          <w:rFonts w:ascii="Times New Roman" w:hAnsi="Times New Roman"/>
          <w:color w:val="000000" w:themeColor="text1"/>
        </w:rPr>
        <w:t xml:space="preserve">eur) </w:t>
      </w:r>
      <w:r w:rsidR="00F6224C" w:rsidRPr="0085799C">
        <w:rPr>
          <w:rFonts w:ascii="Times New Roman" w:hAnsi="Times New Roman"/>
        </w:rPr>
        <w:t>vzniklo z dôvodu nárastu dlhodobého zádržného vyplývajúceho z investičných (stavebných) faktúr.</w:t>
      </w:r>
    </w:p>
    <w:p w14:paraId="13F6768C" w14:textId="77777777" w:rsidR="00FC379B" w:rsidRPr="009E3C89" w:rsidRDefault="00FC379B" w:rsidP="00A729C4">
      <w:pPr>
        <w:spacing w:after="120" w:line="240" w:lineRule="auto"/>
        <w:jc w:val="both"/>
        <w:rPr>
          <w:rFonts w:ascii="Times New Roman" w:hAnsi="Times New Roman"/>
          <w:szCs w:val="22"/>
        </w:rPr>
      </w:pPr>
    </w:p>
    <w:p w14:paraId="49C38D78" w14:textId="2E9A6E16" w:rsidR="00647542" w:rsidRPr="00265F07" w:rsidRDefault="00647542" w:rsidP="0085799C">
      <w:pPr>
        <w:pStyle w:val="Nadpis3"/>
      </w:pPr>
      <w:r w:rsidRPr="00265F07">
        <w:lastRenderedPageBreak/>
        <w:t xml:space="preserve">B.II. Dlhodobé rezervy </w:t>
      </w:r>
    </w:p>
    <w:p w14:paraId="6E1703A4" w14:textId="77777777" w:rsidR="00647542" w:rsidRPr="00907622" w:rsidRDefault="00647542" w:rsidP="009E3C89">
      <w:pPr>
        <w:spacing w:after="120" w:line="240" w:lineRule="auto"/>
        <w:jc w:val="both"/>
        <w:rPr>
          <w:rFonts w:ascii="Times New Roman" w:hAnsi="Times New Roman"/>
          <w:szCs w:val="22"/>
          <w:lang w:eastAsia="sk-SK"/>
        </w:rPr>
      </w:pPr>
      <w:r w:rsidRPr="00907622">
        <w:rPr>
          <w:rFonts w:ascii="Times New Roman" w:hAnsi="Times New Roman"/>
          <w:szCs w:val="22"/>
          <w:lang w:eastAsia="sk-SK"/>
        </w:rPr>
        <w:t>Rezervy sú záväzky s neistým časovým vymedzením alebo ich výškou a predstavujú takú povinnosť účtovnej jednotky, ktorá vznikla z minulých udalostí a je pravdepodobné, že v budúcnosti znížia ekonomické úžitky (peňažné prostriedky). V prípade dlhodobých rezerv je predpoklad možného budúceho plnenia v časovom horizonte dlhšom ako jeden rok.</w:t>
      </w:r>
    </w:p>
    <w:p w14:paraId="03F39C9F" w14:textId="77777777" w:rsidR="00647542" w:rsidRPr="00907622" w:rsidRDefault="00647542" w:rsidP="00647542">
      <w:pPr>
        <w:spacing w:after="120" w:line="240" w:lineRule="auto"/>
        <w:jc w:val="both"/>
        <w:rPr>
          <w:rFonts w:ascii="Times New Roman" w:hAnsi="Times New Roman"/>
          <w:szCs w:val="22"/>
          <w:lang w:eastAsia="sk-SK"/>
        </w:rPr>
      </w:pPr>
      <w:r w:rsidRPr="00907622">
        <w:rPr>
          <w:rFonts w:ascii="Times New Roman" w:hAnsi="Times New Roman"/>
          <w:szCs w:val="22"/>
          <w:lang w:eastAsia="sk-SK"/>
        </w:rPr>
        <w:t>Dlhodobé rezervy sa v súhrnnom celku vytvárajú najmä na:</w:t>
      </w:r>
    </w:p>
    <w:p w14:paraId="33CC44EC" w14:textId="77777777" w:rsidR="00647542" w:rsidRPr="00907622" w:rsidRDefault="00647542" w:rsidP="00647542">
      <w:pPr>
        <w:numPr>
          <w:ilvl w:val="0"/>
          <w:numId w:val="4"/>
        </w:numPr>
        <w:spacing w:after="0" w:line="240" w:lineRule="auto"/>
        <w:ind w:left="714" w:hanging="357"/>
        <w:jc w:val="both"/>
        <w:rPr>
          <w:rFonts w:ascii="Times New Roman" w:hAnsi="Times New Roman"/>
          <w:szCs w:val="22"/>
          <w:lang w:eastAsia="sk-SK"/>
        </w:rPr>
      </w:pPr>
      <w:r w:rsidRPr="00907622">
        <w:rPr>
          <w:rFonts w:ascii="Times New Roman" w:hAnsi="Times New Roman"/>
          <w:szCs w:val="22"/>
          <w:lang w:eastAsia="sk-SK"/>
        </w:rPr>
        <w:t>zamestnanecké požitky v ústrednej správe,</w:t>
      </w:r>
    </w:p>
    <w:p w14:paraId="3E7CDE50" w14:textId="77777777" w:rsidR="00647542" w:rsidRPr="00907622" w:rsidRDefault="00647542" w:rsidP="00647542">
      <w:pPr>
        <w:numPr>
          <w:ilvl w:val="0"/>
          <w:numId w:val="4"/>
        </w:numPr>
        <w:spacing w:after="0" w:line="240" w:lineRule="auto"/>
        <w:ind w:left="714" w:hanging="357"/>
        <w:jc w:val="both"/>
        <w:rPr>
          <w:rFonts w:ascii="Times New Roman" w:hAnsi="Times New Roman"/>
          <w:szCs w:val="22"/>
          <w:lang w:eastAsia="sk-SK"/>
        </w:rPr>
      </w:pPr>
      <w:r w:rsidRPr="00907622">
        <w:rPr>
          <w:rFonts w:ascii="Times New Roman" w:hAnsi="Times New Roman"/>
          <w:szCs w:val="22"/>
          <w:lang w:eastAsia="sk-SK"/>
        </w:rPr>
        <w:t>prebiehajúce a hroziace súdne spory,</w:t>
      </w:r>
    </w:p>
    <w:p w14:paraId="57696EF7" w14:textId="77777777" w:rsidR="00647542" w:rsidRPr="00907622" w:rsidRDefault="00647542" w:rsidP="00647542">
      <w:pPr>
        <w:numPr>
          <w:ilvl w:val="0"/>
          <w:numId w:val="4"/>
        </w:numPr>
        <w:spacing w:after="0" w:line="240" w:lineRule="auto"/>
        <w:ind w:left="714" w:hanging="357"/>
        <w:jc w:val="both"/>
        <w:rPr>
          <w:rFonts w:ascii="Times New Roman" w:hAnsi="Times New Roman"/>
          <w:szCs w:val="22"/>
          <w:lang w:eastAsia="sk-SK"/>
        </w:rPr>
      </w:pPr>
      <w:r w:rsidRPr="00907622">
        <w:rPr>
          <w:rFonts w:ascii="Times New Roman" w:hAnsi="Times New Roman"/>
          <w:szCs w:val="22"/>
          <w:lang w:eastAsia="sk-SK"/>
        </w:rPr>
        <w:t>náklady súvisiace s odstránením znečistenia životného prostredia a odstránenie odpadov,</w:t>
      </w:r>
    </w:p>
    <w:p w14:paraId="02D2D3A6" w14:textId="77777777" w:rsidR="00647542" w:rsidRPr="00907622" w:rsidRDefault="00647542" w:rsidP="00647542">
      <w:pPr>
        <w:numPr>
          <w:ilvl w:val="0"/>
          <w:numId w:val="4"/>
        </w:numPr>
        <w:spacing w:after="0" w:line="240" w:lineRule="auto"/>
        <w:ind w:left="714" w:hanging="357"/>
        <w:jc w:val="both"/>
        <w:rPr>
          <w:rFonts w:ascii="Times New Roman" w:hAnsi="Times New Roman"/>
          <w:szCs w:val="22"/>
          <w:lang w:eastAsia="sk-SK"/>
        </w:rPr>
      </w:pPr>
      <w:r w:rsidRPr="00907622">
        <w:rPr>
          <w:rFonts w:ascii="Times New Roman" w:hAnsi="Times New Roman"/>
          <w:szCs w:val="22"/>
          <w:lang w:eastAsia="sk-SK"/>
        </w:rPr>
        <w:t>rekultiváciu pozemku, uzavretie, rekultiváciu a monitorovanie skládky odpadov po jej uzavretí,</w:t>
      </w:r>
    </w:p>
    <w:p w14:paraId="6D0E3994" w14:textId="77777777" w:rsidR="00647542" w:rsidRPr="00907622" w:rsidRDefault="00647542" w:rsidP="00647542">
      <w:pPr>
        <w:numPr>
          <w:ilvl w:val="0"/>
          <w:numId w:val="4"/>
        </w:numPr>
        <w:spacing w:after="0" w:line="240" w:lineRule="auto"/>
        <w:ind w:left="714" w:hanging="357"/>
        <w:jc w:val="both"/>
        <w:rPr>
          <w:rFonts w:ascii="Times New Roman" w:hAnsi="Times New Roman"/>
          <w:szCs w:val="22"/>
          <w:lang w:eastAsia="sk-SK"/>
        </w:rPr>
      </w:pPr>
      <w:r w:rsidRPr="00907622">
        <w:rPr>
          <w:rFonts w:ascii="Times New Roman" w:hAnsi="Times New Roman"/>
          <w:szCs w:val="22"/>
          <w:lang w:eastAsia="sk-SK"/>
        </w:rPr>
        <w:t>iné budúce povinnosti.</w:t>
      </w:r>
    </w:p>
    <w:p w14:paraId="3B53586E" w14:textId="4EDBCF4A" w:rsidR="00387BE1" w:rsidRDefault="00647542" w:rsidP="00A7107D">
      <w:pPr>
        <w:spacing w:before="120" w:after="120" w:line="240" w:lineRule="auto"/>
        <w:jc w:val="both"/>
        <w:rPr>
          <w:rFonts w:ascii="Times New Roman" w:hAnsi="Times New Roman"/>
          <w:szCs w:val="22"/>
          <w:lang w:eastAsia="sk-SK"/>
        </w:rPr>
      </w:pPr>
      <w:r w:rsidRPr="00907622">
        <w:rPr>
          <w:rFonts w:ascii="Times New Roman" w:hAnsi="Times New Roman"/>
          <w:szCs w:val="22"/>
          <w:lang w:eastAsia="sk-SK"/>
        </w:rPr>
        <w:t xml:space="preserve">Celkové dlhodobé rezervy dosiahli hodnotu </w:t>
      </w:r>
      <w:r w:rsidR="00951FD5">
        <w:rPr>
          <w:rFonts w:ascii="Times New Roman" w:hAnsi="Times New Roman"/>
          <w:szCs w:val="22"/>
          <w:lang w:eastAsia="sk-SK"/>
        </w:rPr>
        <w:t>25 731 849</w:t>
      </w:r>
      <w:r w:rsidRPr="00336E30">
        <w:rPr>
          <w:rFonts w:ascii="Times New Roman" w:hAnsi="Times New Roman"/>
          <w:szCs w:val="22"/>
          <w:lang w:eastAsia="sk-SK"/>
        </w:rPr>
        <w:t> tis.</w:t>
      </w:r>
      <w:r w:rsidRPr="00907622">
        <w:rPr>
          <w:rFonts w:ascii="Times New Roman" w:hAnsi="Times New Roman"/>
          <w:szCs w:val="22"/>
          <w:lang w:eastAsia="sk-SK"/>
        </w:rPr>
        <w:t xml:space="preserve"> eur. Dlhodobé zákonné rezervy, t. j. rezervy vytvárané na základe príslušných predpisov s dobou predpokladaného plnenia dlhšou ako jeden rok, boli vykázané v hodnote </w:t>
      </w:r>
      <w:r w:rsidR="00951FD5">
        <w:rPr>
          <w:rFonts w:ascii="Times New Roman" w:hAnsi="Times New Roman"/>
          <w:szCs w:val="22"/>
          <w:lang w:eastAsia="sk-SK"/>
        </w:rPr>
        <w:t>40 650</w:t>
      </w:r>
      <w:r w:rsidRPr="00907622">
        <w:rPr>
          <w:rFonts w:ascii="Times New Roman" w:hAnsi="Times New Roman"/>
          <w:szCs w:val="22"/>
          <w:lang w:eastAsia="sk-SK"/>
        </w:rPr>
        <w:t xml:space="preserve"> tis. eur. Ostatné rezervy, t. j. rezervy vytvárané na základe účtovných postupov a vnútorných predpisov účtovných jednotiek dosiahli hodnotu </w:t>
      </w:r>
      <w:r w:rsidR="00627FFB">
        <w:rPr>
          <w:rFonts w:ascii="Times New Roman" w:hAnsi="Times New Roman"/>
          <w:szCs w:val="22"/>
          <w:lang w:eastAsia="sk-SK"/>
        </w:rPr>
        <w:t>25</w:t>
      </w:r>
      <w:r w:rsidR="00BD6CE7">
        <w:rPr>
          <w:rFonts w:ascii="Times New Roman" w:hAnsi="Times New Roman"/>
          <w:szCs w:val="22"/>
          <w:lang w:eastAsia="sk-SK"/>
        </w:rPr>
        <w:t> </w:t>
      </w:r>
      <w:r w:rsidR="00627FFB">
        <w:rPr>
          <w:rFonts w:ascii="Times New Roman" w:hAnsi="Times New Roman"/>
          <w:szCs w:val="22"/>
          <w:lang w:eastAsia="sk-SK"/>
        </w:rPr>
        <w:t>691</w:t>
      </w:r>
      <w:r w:rsidR="00BD6CE7">
        <w:rPr>
          <w:rFonts w:ascii="Times New Roman" w:hAnsi="Times New Roman"/>
          <w:szCs w:val="22"/>
          <w:lang w:eastAsia="sk-SK"/>
        </w:rPr>
        <w:t> </w:t>
      </w:r>
      <w:r w:rsidR="00627FFB">
        <w:rPr>
          <w:rFonts w:ascii="Times New Roman" w:hAnsi="Times New Roman"/>
          <w:szCs w:val="22"/>
          <w:lang w:eastAsia="sk-SK"/>
        </w:rPr>
        <w:t>199</w:t>
      </w:r>
      <w:r w:rsidRPr="00907622">
        <w:rPr>
          <w:rFonts w:ascii="Times New Roman" w:hAnsi="Times New Roman"/>
          <w:szCs w:val="22"/>
          <w:lang w:eastAsia="sk-SK"/>
        </w:rPr>
        <w:t> tis. eur.</w:t>
      </w:r>
    </w:p>
    <w:p w14:paraId="5637D4BB" w14:textId="5073CA48" w:rsidR="00647542" w:rsidRDefault="00647542" w:rsidP="00647542">
      <w:pPr>
        <w:pStyle w:val="Popis"/>
        <w:keepNext/>
        <w:rPr>
          <w:noProof/>
        </w:rPr>
      </w:pPr>
      <w:r w:rsidRPr="00907622">
        <w:t xml:space="preserve">Tabuľka </w:t>
      </w:r>
      <w:r w:rsidRPr="00907622">
        <w:fldChar w:fldCharType="begin"/>
      </w:r>
      <w:r w:rsidRPr="00907622">
        <w:instrText xml:space="preserve"> SEQ Tabuľka \* ARABIC </w:instrText>
      </w:r>
      <w:r w:rsidRPr="00907622">
        <w:fldChar w:fldCharType="separate"/>
      </w:r>
      <w:r w:rsidRPr="00907622">
        <w:rPr>
          <w:noProof/>
        </w:rPr>
        <w:t>14</w:t>
      </w:r>
      <w:r w:rsidRPr="00907622">
        <w:rPr>
          <w:noProof/>
        </w:rPr>
        <w:fldChar w:fldCharType="end"/>
      </w:r>
    </w:p>
    <w:tbl>
      <w:tblPr>
        <w:tblW w:w="9072" w:type="dxa"/>
        <w:jc w:val="center"/>
        <w:tblCellMar>
          <w:left w:w="70" w:type="dxa"/>
          <w:right w:w="70" w:type="dxa"/>
        </w:tblCellMar>
        <w:tblLook w:val="04A0" w:firstRow="1" w:lastRow="0" w:firstColumn="1" w:lastColumn="0" w:noHBand="0" w:noVBand="1"/>
      </w:tblPr>
      <w:tblGrid>
        <w:gridCol w:w="4945"/>
        <w:gridCol w:w="1375"/>
        <w:gridCol w:w="1375"/>
        <w:gridCol w:w="1377"/>
      </w:tblGrid>
      <w:tr w:rsidR="00404574" w:rsidRPr="00404574" w14:paraId="7BA5049F" w14:textId="77777777" w:rsidTr="0085799C">
        <w:trPr>
          <w:trHeight w:val="227"/>
          <w:jc w:val="center"/>
        </w:trPr>
        <w:tc>
          <w:tcPr>
            <w:tcW w:w="2725" w:type="pct"/>
            <w:tcBorders>
              <w:top w:val="single" w:sz="8" w:space="0" w:color="auto"/>
              <w:left w:val="nil"/>
              <w:bottom w:val="single" w:sz="8" w:space="0" w:color="auto"/>
              <w:right w:val="nil"/>
            </w:tcBorders>
            <w:shd w:val="clear" w:color="000000" w:fill="F4B084"/>
            <w:noWrap/>
            <w:vAlign w:val="center"/>
            <w:hideMark/>
          </w:tcPr>
          <w:p w14:paraId="34BBA0EC" w14:textId="77777777" w:rsidR="00404574" w:rsidRPr="00404574" w:rsidRDefault="00404574" w:rsidP="00404574">
            <w:pPr>
              <w:spacing w:after="0" w:line="240" w:lineRule="auto"/>
              <w:rPr>
                <w:rFonts w:ascii="Times New Roman" w:hAnsi="Times New Roman"/>
                <w:b/>
                <w:bCs/>
                <w:color w:val="000000"/>
                <w:sz w:val="18"/>
                <w:szCs w:val="18"/>
                <w:lang w:eastAsia="sk-SK"/>
              </w:rPr>
            </w:pPr>
            <w:r w:rsidRPr="00404574">
              <w:rPr>
                <w:rFonts w:ascii="Times New Roman" w:hAnsi="Times New Roman"/>
                <w:b/>
                <w:bCs/>
                <w:color w:val="000000"/>
                <w:sz w:val="18"/>
                <w:szCs w:val="18"/>
                <w:lang w:eastAsia="sk-SK"/>
              </w:rPr>
              <w:t>Dlhodobé rezervy súhrnného celku podľa druhu</w:t>
            </w:r>
          </w:p>
        </w:tc>
        <w:tc>
          <w:tcPr>
            <w:tcW w:w="758" w:type="pct"/>
            <w:tcBorders>
              <w:top w:val="single" w:sz="8" w:space="0" w:color="auto"/>
              <w:left w:val="nil"/>
              <w:bottom w:val="single" w:sz="8" w:space="0" w:color="auto"/>
              <w:right w:val="nil"/>
            </w:tcBorders>
            <w:shd w:val="clear" w:color="000000" w:fill="F4B084"/>
            <w:noWrap/>
            <w:vAlign w:val="center"/>
            <w:hideMark/>
          </w:tcPr>
          <w:p w14:paraId="1D195BB2" w14:textId="77777777" w:rsidR="00404574" w:rsidRPr="00404574" w:rsidRDefault="00404574" w:rsidP="00404574">
            <w:pPr>
              <w:spacing w:after="0" w:line="240" w:lineRule="auto"/>
              <w:rPr>
                <w:rFonts w:ascii="Times New Roman" w:hAnsi="Times New Roman"/>
                <w:b/>
                <w:bCs/>
                <w:color w:val="000000"/>
                <w:sz w:val="18"/>
                <w:szCs w:val="18"/>
                <w:lang w:eastAsia="sk-SK"/>
              </w:rPr>
            </w:pPr>
            <w:r w:rsidRPr="00404574">
              <w:rPr>
                <w:rFonts w:ascii="Times New Roman" w:hAnsi="Times New Roman"/>
                <w:b/>
                <w:bCs/>
                <w:color w:val="000000"/>
                <w:sz w:val="18"/>
                <w:szCs w:val="18"/>
                <w:lang w:eastAsia="sk-SK"/>
              </w:rPr>
              <w:t> </w:t>
            </w:r>
          </w:p>
        </w:tc>
        <w:tc>
          <w:tcPr>
            <w:tcW w:w="758" w:type="pct"/>
            <w:tcBorders>
              <w:top w:val="single" w:sz="8" w:space="0" w:color="auto"/>
              <w:left w:val="nil"/>
              <w:bottom w:val="single" w:sz="8" w:space="0" w:color="auto"/>
              <w:right w:val="nil"/>
            </w:tcBorders>
            <w:shd w:val="clear" w:color="000000" w:fill="F4B084"/>
            <w:noWrap/>
            <w:vAlign w:val="center"/>
            <w:hideMark/>
          </w:tcPr>
          <w:p w14:paraId="70DF8CF5" w14:textId="77777777" w:rsidR="00404574" w:rsidRPr="00404574" w:rsidRDefault="00404574" w:rsidP="00404574">
            <w:pPr>
              <w:spacing w:after="0" w:line="240" w:lineRule="auto"/>
              <w:jc w:val="center"/>
              <w:rPr>
                <w:rFonts w:ascii="Times New Roman" w:hAnsi="Times New Roman"/>
                <w:b/>
                <w:bCs/>
                <w:color w:val="000000"/>
                <w:sz w:val="18"/>
                <w:szCs w:val="18"/>
                <w:lang w:eastAsia="sk-SK"/>
              </w:rPr>
            </w:pPr>
            <w:r w:rsidRPr="00404574">
              <w:rPr>
                <w:rFonts w:ascii="Times New Roman" w:hAnsi="Times New Roman"/>
                <w:b/>
                <w:bCs/>
                <w:color w:val="000000"/>
                <w:sz w:val="18"/>
                <w:szCs w:val="18"/>
                <w:lang w:eastAsia="sk-SK"/>
              </w:rPr>
              <w:t>(v tis. eur)</w:t>
            </w:r>
          </w:p>
        </w:tc>
        <w:tc>
          <w:tcPr>
            <w:tcW w:w="758" w:type="pct"/>
            <w:tcBorders>
              <w:top w:val="single" w:sz="8" w:space="0" w:color="auto"/>
              <w:left w:val="nil"/>
              <w:bottom w:val="single" w:sz="8" w:space="0" w:color="auto"/>
              <w:right w:val="nil"/>
            </w:tcBorders>
            <w:shd w:val="clear" w:color="000000" w:fill="F4B084"/>
            <w:noWrap/>
            <w:vAlign w:val="center"/>
            <w:hideMark/>
          </w:tcPr>
          <w:p w14:paraId="4B2F9647" w14:textId="77777777" w:rsidR="00404574" w:rsidRPr="00404574" w:rsidRDefault="00404574" w:rsidP="00404574">
            <w:pPr>
              <w:spacing w:after="0" w:line="240" w:lineRule="auto"/>
              <w:rPr>
                <w:rFonts w:ascii="Times New Roman" w:hAnsi="Times New Roman"/>
                <w:b/>
                <w:bCs/>
                <w:color w:val="000000"/>
                <w:sz w:val="18"/>
                <w:szCs w:val="18"/>
                <w:lang w:eastAsia="sk-SK"/>
              </w:rPr>
            </w:pPr>
            <w:r w:rsidRPr="00404574">
              <w:rPr>
                <w:rFonts w:ascii="Times New Roman" w:hAnsi="Times New Roman"/>
                <w:b/>
                <w:bCs/>
                <w:color w:val="000000"/>
                <w:sz w:val="18"/>
                <w:szCs w:val="18"/>
                <w:lang w:eastAsia="sk-SK"/>
              </w:rPr>
              <w:t> </w:t>
            </w:r>
          </w:p>
        </w:tc>
      </w:tr>
      <w:tr w:rsidR="00404574" w:rsidRPr="00404574" w14:paraId="1E87DF29" w14:textId="77777777" w:rsidTr="0085799C">
        <w:trPr>
          <w:trHeight w:val="227"/>
          <w:jc w:val="center"/>
        </w:trPr>
        <w:tc>
          <w:tcPr>
            <w:tcW w:w="2725" w:type="pct"/>
            <w:tcBorders>
              <w:top w:val="nil"/>
              <w:left w:val="nil"/>
              <w:bottom w:val="single" w:sz="8" w:space="0" w:color="auto"/>
              <w:right w:val="nil"/>
            </w:tcBorders>
            <w:shd w:val="clear" w:color="000000" w:fill="BDD7EE"/>
            <w:noWrap/>
            <w:vAlign w:val="center"/>
            <w:hideMark/>
          </w:tcPr>
          <w:p w14:paraId="04AF3802" w14:textId="77777777" w:rsidR="00404574" w:rsidRPr="00404574" w:rsidRDefault="00404574" w:rsidP="00404574">
            <w:pPr>
              <w:spacing w:after="0" w:line="240" w:lineRule="auto"/>
              <w:rPr>
                <w:rFonts w:ascii="Times New Roman" w:hAnsi="Times New Roman"/>
                <w:b/>
                <w:bCs/>
                <w:color w:val="000000"/>
                <w:sz w:val="18"/>
                <w:szCs w:val="18"/>
                <w:lang w:eastAsia="sk-SK"/>
              </w:rPr>
            </w:pPr>
            <w:r w:rsidRPr="00404574">
              <w:rPr>
                <w:rFonts w:ascii="Times New Roman" w:hAnsi="Times New Roman"/>
                <w:b/>
                <w:bCs/>
                <w:color w:val="000000"/>
                <w:sz w:val="18"/>
                <w:szCs w:val="18"/>
                <w:lang w:eastAsia="sk-SK"/>
              </w:rPr>
              <w:t>Druh rezerv</w:t>
            </w:r>
          </w:p>
        </w:tc>
        <w:tc>
          <w:tcPr>
            <w:tcW w:w="758" w:type="pct"/>
            <w:tcBorders>
              <w:top w:val="nil"/>
              <w:left w:val="nil"/>
              <w:bottom w:val="single" w:sz="8" w:space="0" w:color="auto"/>
              <w:right w:val="nil"/>
            </w:tcBorders>
            <w:shd w:val="clear" w:color="000000" w:fill="BDD7EE"/>
            <w:noWrap/>
            <w:vAlign w:val="center"/>
            <w:hideMark/>
          </w:tcPr>
          <w:p w14:paraId="51045C19" w14:textId="77777777" w:rsidR="00404574" w:rsidRPr="00404574" w:rsidRDefault="00404574" w:rsidP="00404574">
            <w:pPr>
              <w:spacing w:after="0" w:line="240" w:lineRule="auto"/>
              <w:jc w:val="center"/>
              <w:rPr>
                <w:rFonts w:ascii="Times New Roman" w:hAnsi="Times New Roman"/>
                <w:b/>
                <w:bCs/>
                <w:color w:val="000000"/>
                <w:sz w:val="18"/>
                <w:szCs w:val="18"/>
                <w:lang w:eastAsia="sk-SK"/>
              </w:rPr>
            </w:pPr>
            <w:r w:rsidRPr="00404574">
              <w:rPr>
                <w:rFonts w:ascii="Times New Roman" w:hAnsi="Times New Roman"/>
                <w:b/>
                <w:bCs/>
                <w:color w:val="000000"/>
                <w:sz w:val="18"/>
                <w:szCs w:val="18"/>
                <w:lang w:eastAsia="sk-SK"/>
              </w:rPr>
              <w:t>2024</w:t>
            </w:r>
          </w:p>
        </w:tc>
        <w:tc>
          <w:tcPr>
            <w:tcW w:w="758" w:type="pct"/>
            <w:tcBorders>
              <w:top w:val="nil"/>
              <w:left w:val="nil"/>
              <w:bottom w:val="single" w:sz="8" w:space="0" w:color="auto"/>
              <w:right w:val="nil"/>
            </w:tcBorders>
            <w:shd w:val="clear" w:color="000000" w:fill="BDD7EE"/>
            <w:noWrap/>
            <w:vAlign w:val="center"/>
            <w:hideMark/>
          </w:tcPr>
          <w:p w14:paraId="2F4E0DD7" w14:textId="77777777" w:rsidR="00404574" w:rsidRPr="00404574" w:rsidRDefault="00404574" w:rsidP="00404574">
            <w:pPr>
              <w:spacing w:after="0" w:line="240" w:lineRule="auto"/>
              <w:jc w:val="center"/>
              <w:rPr>
                <w:rFonts w:ascii="Times New Roman" w:hAnsi="Times New Roman"/>
                <w:b/>
                <w:bCs/>
                <w:color w:val="000000"/>
                <w:sz w:val="18"/>
                <w:szCs w:val="18"/>
                <w:lang w:eastAsia="sk-SK"/>
              </w:rPr>
            </w:pPr>
            <w:r w:rsidRPr="00404574">
              <w:rPr>
                <w:rFonts w:ascii="Times New Roman" w:hAnsi="Times New Roman"/>
                <w:b/>
                <w:bCs/>
                <w:color w:val="000000"/>
                <w:sz w:val="18"/>
                <w:szCs w:val="18"/>
                <w:lang w:eastAsia="sk-SK"/>
              </w:rPr>
              <w:t>2023</w:t>
            </w:r>
          </w:p>
        </w:tc>
        <w:tc>
          <w:tcPr>
            <w:tcW w:w="758" w:type="pct"/>
            <w:tcBorders>
              <w:top w:val="nil"/>
              <w:left w:val="nil"/>
              <w:bottom w:val="single" w:sz="8" w:space="0" w:color="auto"/>
              <w:right w:val="nil"/>
            </w:tcBorders>
            <w:shd w:val="clear" w:color="000000" w:fill="BDD7EE"/>
            <w:vAlign w:val="center"/>
            <w:hideMark/>
          </w:tcPr>
          <w:p w14:paraId="6075B404" w14:textId="77777777" w:rsidR="00404574" w:rsidRPr="00404574" w:rsidRDefault="00404574" w:rsidP="00404574">
            <w:pPr>
              <w:spacing w:after="0" w:line="240" w:lineRule="auto"/>
              <w:jc w:val="center"/>
              <w:rPr>
                <w:rFonts w:ascii="Times New Roman" w:hAnsi="Times New Roman"/>
                <w:b/>
                <w:bCs/>
                <w:color w:val="000000"/>
                <w:sz w:val="18"/>
                <w:szCs w:val="18"/>
                <w:lang w:eastAsia="sk-SK"/>
              </w:rPr>
            </w:pPr>
            <w:r w:rsidRPr="00404574">
              <w:rPr>
                <w:rFonts w:ascii="Times New Roman" w:hAnsi="Times New Roman"/>
                <w:b/>
                <w:bCs/>
                <w:color w:val="000000"/>
                <w:sz w:val="18"/>
                <w:szCs w:val="18"/>
                <w:lang w:eastAsia="sk-SK"/>
              </w:rPr>
              <w:t>Δ 2024-2023</w:t>
            </w:r>
          </w:p>
        </w:tc>
      </w:tr>
      <w:tr w:rsidR="00404574" w:rsidRPr="00404574" w14:paraId="7527AA7B" w14:textId="77777777" w:rsidTr="0085799C">
        <w:trPr>
          <w:trHeight w:val="227"/>
          <w:jc w:val="center"/>
        </w:trPr>
        <w:tc>
          <w:tcPr>
            <w:tcW w:w="2725" w:type="pct"/>
            <w:tcBorders>
              <w:top w:val="nil"/>
              <w:left w:val="nil"/>
              <w:bottom w:val="nil"/>
              <w:right w:val="nil"/>
            </w:tcBorders>
            <w:vAlign w:val="center"/>
            <w:hideMark/>
          </w:tcPr>
          <w:p w14:paraId="5D88FC56" w14:textId="77777777" w:rsidR="00404574" w:rsidRPr="00404574" w:rsidRDefault="00404574" w:rsidP="00404574">
            <w:pPr>
              <w:spacing w:after="0" w:line="240" w:lineRule="auto"/>
              <w:rPr>
                <w:rFonts w:ascii="Times New Roman" w:hAnsi="Times New Roman"/>
                <w:color w:val="000000"/>
                <w:sz w:val="18"/>
                <w:szCs w:val="18"/>
                <w:lang w:eastAsia="sk-SK"/>
              </w:rPr>
            </w:pPr>
            <w:r w:rsidRPr="00404574">
              <w:rPr>
                <w:rFonts w:ascii="Times New Roman" w:hAnsi="Times New Roman"/>
                <w:color w:val="000000"/>
                <w:sz w:val="18"/>
                <w:szCs w:val="18"/>
                <w:lang w:eastAsia="sk-SK"/>
              </w:rPr>
              <w:t>Dlhodobé ostatné</w:t>
            </w:r>
          </w:p>
        </w:tc>
        <w:tc>
          <w:tcPr>
            <w:tcW w:w="758" w:type="pct"/>
            <w:tcBorders>
              <w:top w:val="nil"/>
              <w:left w:val="nil"/>
              <w:bottom w:val="nil"/>
              <w:right w:val="nil"/>
            </w:tcBorders>
            <w:vAlign w:val="center"/>
            <w:hideMark/>
          </w:tcPr>
          <w:p w14:paraId="6B456447" w14:textId="77777777" w:rsidR="00404574" w:rsidRPr="00404574" w:rsidRDefault="00404574" w:rsidP="00404574">
            <w:pPr>
              <w:spacing w:after="0" w:line="240" w:lineRule="auto"/>
              <w:jc w:val="right"/>
              <w:rPr>
                <w:rFonts w:ascii="Times New Roman" w:hAnsi="Times New Roman"/>
                <w:color w:val="000000"/>
                <w:sz w:val="18"/>
                <w:szCs w:val="18"/>
                <w:lang w:eastAsia="sk-SK"/>
              </w:rPr>
            </w:pPr>
            <w:r w:rsidRPr="00404574">
              <w:rPr>
                <w:rFonts w:ascii="Times New Roman" w:hAnsi="Times New Roman"/>
                <w:color w:val="000000"/>
                <w:sz w:val="18"/>
                <w:szCs w:val="18"/>
                <w:lang w:eastAsia="sk-SK"/>
              </w:rPr>
              <w:t>25 691 199</w:t>
            </w:r>
          </w:p>
        </w:tc>
        <w:tc>
          <w:tcPr>
            <w:tcW w:w="758" w:type="pct"/>
            <w:tcBorders>
              <w:top w:val="nil"/>
              <w:left w:val="nil"/>
              <w:bottom w:val="nil"/>
              <w:right w:val="nil"/>
            </w:tcBorders>
            <w:vAlign w:val="center"/>
            <w:hideMark/>
          </w:tcPr>
          <w:p w14:paraId="6024ED5B" w14:textId="77777777" w:rsidR="00404574" w:rsidRPr="00404574" w:rsidRDefault="00404574" w:rsidP="00404574">
            <w:pPr>
              <w:spacing w:after="0" w:line="240" w:lineRule="auto"/>
              <w:jc w:val="right"/>
              <w:rPr>
                <w:rFonts w:ascii="Times New Roman" w:hAnsi="Times New Roman"/>
                <w:color w:val="000000"/>
                <w:sz w:val="18"/>
                <w:szCs w:val="18"/>
                <w:lang w:eastAsia="sk-SK"/>
              </w:rPr>
            </w:pPr>
            <w:r w:rsidRPr="00404574">
              <w:rPr>
                <w:rFonts w:ascii="Times New Roman" w:hAnsi="Times New Roman"/>
                <w:color w:val="000000"/>
                <w:sz w:val="18"/>
                <w:szCs w:val="18"/>
                <w:lang w:eastAsia="sk-SK"/>
              </w:rPr>
              <w:t>26 401 969</w:t>
            </w:r>
          </w:p>
        </w:tc>
        <w:tc>
          <w:tcPr>
            <w:tcW w:w="758" w:type="pct"/>
            <w:tcBorders>
              <w:top w:val="nil"/>
              <w:left w:val="nil"/>
              <w:bottom w:val="nil"/>
              <w:right w:val="nil"/>
            </w:tcBorders>
            <w:vAlign w:val="center"/>
            <w:hideMark/>
          </w:tcPr>
          <w:p w14:paraId="03B295C0" w14:textId="77777777" w:rsidR="00404574" w:rsidRPr="00404574" w:rsidRDefault="00404574" w:rsidP="00404574">
            <w:pPr>
              <w:spacing w:after="0" w:line="240" w:lineRule="auto"/>
              <w:jc w:val="right"/>
              <w:rPr>
                <w:rFonts w:ascii="Times New Roman" w:hAnsi="Times New Roman"/>
                <w:color w:val="000000"/>
                <w:sz w:val="18"/>
                <w:szCs w:val="18"/>
                <w:lang w:eastAsia="sk-SK"/>
              </w:rPr>
            </w:pPr>
            <w:r w:rsidRPr="00404574">
              <w:rPr>
                <w:rFonts w:ascii="Times New Roman" w:hAnsi="Times New Roman"/>
                <w:color w:val="000000"/>
                <w:sz w:val="18"/>
                <w:szCs w:val="18"/>
                <w:lang w:eastAsia="sk-SK"/>
              </w:rPr>
              <w:t>-710 770</w:t>
            </w:r>
          </w:p>
        </w:tc>
      </w:tr>
      <w:tr w:rsidR="00404574" w:rsidRPr="00404574" w14:paraId="57AF5B99" w14:textId="77777777" w:rsidTr="0085799C">
        <w:trPr>
          <w:trHeight w:val="227"/>
          <w:jc w:val="center"/>
        </w:trPr>
        <w:tc>
          <w:tcPr>
            <w:tcW w:w="2725" w:type="pct"/>
            <w:tcBorders>
              <w:top w:val="nil"/>
              <w:left w:val="nil"/>
              <w:bottom w:val="single" w:sz="8" w:space="0" w:color="auto"/>
              <w:right w:val="nil"/>
            </w:tcBorders>
            <w:vAlign w:val="center"/>
            <w:hideMark/>
          </w:tcPr>
          <w:p w14:paraId="0DC438AF" w14:textId="77777777" w:rsidR="00404574" w:rsidRPr="00404574" w:rsidRDefault="00404574" w:rsidP="00404574">
            <w:pPr>
              <w:spacing w:after="0" w:line="240" w:lineRule="auto"/>
              <w:rPr>
                <w:rFonts w:ascii="Times New Roman" w:hAnsi="Times New Roman"/>
                <w:color w:val="000000"/>
                <w:sz w:val="18"/>
                <w:szCs w:val="18"/>
                <w:lang w:eastAsia="sk-SK"/>
              </w:rPr>
            </w:pPr>
            <w:r w:rsidRPr="00404574">
              <w:rPr>
                <w:rFonts w:ascii="Times New Roman" w:hAnsi="Times New Roman"/>
                <w:color w:val="000000"/>
                <w:sz w:val="18"/>
                <w:szCs w:val="18"/>
                <w:lang w:eastAsia="sk-SK"/>
              </w:rPr>
              <w:t>Dlhodobé zákonné</w:t>
            </w:r>
          </w:p>
        </w:tc>
        <w:tc>
          <w:tcPr>
            <w:tcW w:w="758" w:type="pct"/>
            <w:tcBorders>
              <w:top w:val="nil"/>
              <w:left w:val="nil"/>
              <w:bottom w:val="single" w:sz="8" w:space="0" w:color="auto"/>
              <w:right w:val="nil"/>
            </w:tcBorders>
            <w:vAlign w:val="center"/>
            <w:hideMark/>
          </w:tcPr>
          <w:p w14:paraId="3BBF38C3" w14:textId="77777777" w:rsidR="00404574" w:rsidRPr="00404574" w:rsidRDefault="00404574" w:rsidP="00404574">
            <w:pPr>
              <w:spacing w:after="0" w:line="240" w:lineRule="auto"/>
              <w:jc w:val="right"/>
              <w:rPr>
                <w:rFonts w:ascii="Times New Roman" w:hAnsi="Times New Roman"/>
                <w:color w:val="000000"/>
                <w:sz w:val="18"/>
                <w:szCs w:val="18"/>
                <w:lang w:eastAsia="sk-SK"/>
              </w:rPr>
            </w:pPr>
            <w:r w:rsidRPr="00404574">
              <w:rPr>
                <w:rFonts w:ascii="Times New Roman" w:hAnsi="Times New Roman"/>
                <w:color w:val="000000"/>
                <w:sz w:val="18"/>
                <w:szCs w:val="18"/>
                <w:lang w:eastAsia="sk-SK"/>
              </w:rPr>
              <w:t>40 650</w:t>
            </w:r>
          </w:p>
        </w:tc>
        <w:tc>
          <w:tcPr>
            <w:tcW w:w="758" w:type="pct"/>
            <w:tcBorders>
              <w:top w:val="nil"/>
              <w:left w:val="nil"/>
              <w:bottom w:val="single" w:sz="8" w:space="0" w:color="auto"/>
              <w:right w:val="nil"/>
            </w:tcBorders>
            <w:vAlign w:val="center"/>
            <w:hideMark/>
          </w:tcPr>
          <w:p w14:paraId="31F16A9B" w14:textId="77777777" w:rsidR="00404574" w:rsidRPr="00404574" w:rsidRDefault="00404574" w:rsidP="00404574">
            <w:pPr>
              <w:spacing w:after="0" w:line="240" w:lineRule="auto"/>
              <w:jc w:val="right"/>
              <w:rPr>
                <w:rFonts w:ascii="Times New Roman" w:hAnsi="Times New Roman"/>
                <w:color w:val="000000"/>
                <w:sz w:val="18"/>
                <w:szCs w:val="18"/>
                <w:lang w:eastAsia="sk-SK"/>
              </w:rPr>
            </w:pPr>
            <w:r w:rsidRPr="00404574">
              <w:rPr>
                <w:rFonts w:ascii="Times New Roman" w:hAnsi="Times New Roman"/>
                <w:color w:val="000000"/>
                <w:sz w:val="18"/>
                <w:szCs w:val="18"/>
                <w:lang w:eastAsia="sk-SK"/>
              </w:rPr>
              <w:t>45 413</w:t>
            </w:r>
          </w:p>
        </w:tc>
        <w:tc>
          <w:tcPr>
            <w:tcW w:w="758" w:type="pct"/>
            <w:tcBorders>
              <w:top w:val="nil"/>
              <w:left w:val="nil"/>
              <w:bottom w:val="nil"/>
              <w:right w:val="nil"/>
            </w:tcBorders>
            <w:vAlign w:val="center"/>
            <w:hideMark/>
          </w:tcPr>
          <w:p w14:paraId="15938704" w14:textId="77777777" w:rsidR="00404574" w:rsidRPr="00404574" w:rsidRDefault="00404574" w:rsidP="00404574">
            <w:pPr>
              <w:spacing w:after="0" w:line="240" w:lineRule="auto"/>
              <w:jc w:val="right"/>
              <w:rPr>
                <w:rFonts w:ascii="Times New Roman" w:hAnsi="Times New Roman"/>
                <w:color w:val="000000"/>
                <w:sz w:val="18"/>
                <w:szCs w:val="18"/>
                <w:lang w:eastAsia="sk-SK"/>
              </w:rPr>
            </w:pPr>
            <w:r w:rsidRPr="00404574">
              <w:rPr>
                <w:rFonts w:ascii="Times New Roman" w:hAnsi="Times New Roman"/>
                <w:color w:val="000000"/>
                <w:sz w:val="18"/>
                <w:szCs w:val="18"/>
                <w:lang w:eastAsia="sk-SK"/>
              </w:rPr>
              <w:t>-4 763</w:t>
            </w:r>
          </w:p>
        </w:tc>
      </w:tr>
      <w:tr w:rsidR="00404574" w:rsidRPr="00404574" w14:paraId="3929A669" w14:textId="77777777" w:rsidTr="0085799C">
        <w:trPr>
          <w:trHeight w:val="227"/>
          <w:jc w:val="center"/>
        </w:trPr>
        <w:tc>
          <w:tcPr>
            <w:tcW w:w="2725" w:type="pct"/>
            <w:tcBorders>
              <w:top w:val="nil"/>
              <w:left w:val="nil"/>
              <w:bottom w:val="single" w:sz="8" w:space="0" w:color="000000"/>
              <w:right w:val="nil"/>
            </w:tcBorders>
            <w:vAlign w:val="center"/>
            <w:hideMark/>
          </w:tcPr>
          <w:p w14:paraId="7D59F0CB" w14:textId="77777777" w:rsidR="00404574" w:rsidRPr="00404574" w:rsidRDefault="00404574" w:rsidP="00404574">
            <w:pPr>
              <w:spacing w:after="0" w:line="240" w:lineRule="auto"/>
              <w:rPr>
                <w:rFonts w:ascii="Times New Roman" w:hAnsi="Times New Roman"/>
                <w:b/>
                <w:bCs/>
                <w:color w:val="000000"/>
                <w:sz w:val="18"/>
                <w:szCs w:val="18"/>
                <w:lang w:eastAsia="sk-SK"/>
              </w:rPr>
            </w:pPr>
            <w:r w:rsidRPr="00404574">
              <w:rPr>
                <w:rFonts w:ascii="Times New Roman" w:hAnsi="Times New Roman"/>
                <w:b/>
                <w:bCs/>
                <w:color w:val="000000"/>
                <w:sz w:val="18"/>
                <w:szCs w:val="18"/>
                <w:lang w:eastAsia="sk-SK"/>
              </w:rPr>
              <w:t>Spolu</w:t>
            </w:r>
          </w:p>
        </w:tc>
        <w:tc>
          <w:tcPr>
            <w:tcW w:w="758" w:type="pct"/>
            <w:tcBorders>
              <w:top w:val="nil"/>
              <w:left w:val="nil"/>
              <w:bottom w:val="single" w:sz="8" w:space="0" w:color="auto"/>
              <w:right w:val="nil"/>
            </w:tcBorders>
            <w:vAlign w:val="center"/>
            <w:hideMark/>
          </w:tcPr>
          <w:p w14:paraId="7E779161" w14:textId="77777777" w:rsidR="00404574" w:rsidRPr="00404574" w:rsidRDefault="00404574" w:rsidP="00404574">
            <w:pPr>
              <w:spacing w:after="0" w:line="240" w:lineRule="auto"/>
              <w:jc w:val="right"/>
              <w:rPr>
                <w:rFonts w:ascii="Times New Roman" w:hAnsi="Times New Roman"/>
                <w:b/>
                <w:bCs/>
                <w:color w:val="000000"/>
                <w:sz w:val="18"/>
                <w:szCs w:val="18"/>
                <w:lang w:eastAsia="sk-SK"/>
              </w:rPr>
            </w:pPr>
            <w:r w:rsidRPr="00404574">
              <w:rPr>
                <w:rFonts w:ascii="Times New Roman" w:hAnsi="Times New Roman"/>
                <w:b/>
                <w:bCs/>
                <w:color w:val="000000"/>
                <w:sz w:val="18"/>
                <w:szCs w:val="18"/>
                <w:lang w:eastAsia="sk-SK"/>
              </w:rPr>
              <w:t>25 731 849</w:t>
            </w:r>
          </w:p>
        </w:tc>
        <w:tc>
          <w:tcPr>
            <w:tcW w:w="758" w:type="pct"/>
            <w:tcBorders>
              <w:top w:val="nil"/>
              <w:left w:val="nil"/>
              <w:bottom w:val="single" w:sz="8" w:space="0" w:color="auto"/>
              <w:right w:val="nil"/>
            </w:tcBorders>
            <w:vAlign w:val="center"/>
            <w:hideMark/>
          </w:tcPr>
          <w:p w14:paraId="4C113D55" w14:textId="77777777" w:rsidR="00404574" w:rsidRPr="00404574" w:rsidRDefault="00404574" w:rsidP="00404574">
            <w:pPr>
              <w:spacing w:after="0" w:line="240" w:lineRule="auto"/>
              <w:jc w:val="right"/>
              <w:rPr>
                <w:rFonts w:ascii="Times New Roman" w:hAnsi="Times New Roman"/>
                <w:b/>
                <w:bCs/>
                <w:color w:val="000000"/>
                <w:sz w:val="18"/>
                <w:szCs w:val="18"/>
                <w:lang w:eastAsia="sk-SK"/>
              </w:rPr>
            </w:pPr>
            <w:r w:rsidRPr="00404574">
              <w:rPr>
                <w:rFonts w:ascii="Times New Roman" w:hAnsi="Times New Roman"/>
                <w:b/>
                <w:bCs/>
                <w:color w:val="000000"/>
                <w:sz w:val="18"/>
                <w:szCs w:val="18"/>
                <w:lang w:eastAsia="sk-SK"/>
              </w:rPr>
              <w:t>26 447 382</w:t>
            </w:r>
          </w:p>
        </w:tc>
        <w:tc>
          <w:tcPr>
            <w:tcW w:w="758" w:type="pct"/>
            <w:tcBorders>
              <w:top w:val="single" w:sz="8" w:space="0" w:color="000000"/>
              <w:left w:val="nil"/>
              <w:bottom w:val="single" w:sz="8" w:space="0" w:color="000000"/>
              <w:right w:val="nil"/>
            </w:tcBorders>
            <w:vAlign w:val="center"/>
            <w:hideMark/>
          </w:tcPr>
          <w:p w14:paraId="4C6AD2E6" w14:textId="77777777" w:rsidR="00404574" w:rsidRPr="00404574" w:rsidRDefault="00404574" w:rsidP="00404574">
            <w:pPr>
              <w:spacing w:after="0" w:line="240" w:lineRule="auto"/>
              <w:jc w:val="right"/>
              <w:rPr>
                <w:rFonts w:ascii="Times New Roman" w:hAnsi="Times New Roman"/>
                <w:b/>
                <w:bCs/>
                <w:color w:val="000000"/>
                <w:sz w:val="18"/>
                <w:szCs w:val="18"/>
                <w:lang w:eastAsia="sk-SK"/>
              </w:rPr>
            </w:pPr>
            <w:r w:rsidRPr="00404574">
              <w:rPr>
                <w:rFonts w:ascii="Times New Roman" w:hAnsi="Times New Roman"/>
                <w:b/>
                <w:bCs/>
                <w:color w:val="000000"/>
                <w:sz w:val="18"/>
                <w:szCs w:val="18"/>
                <w:lang w:eastAsia="sk-SK"/>
              </w:rPr>
              <w:t>-715 533</w:t>
            </w:r>
          </w:p>
        </w:tc>
      </w:tr>
      <w:tr w:rsidR="00404574" w:rsidRPr="00404574" w14:paraId="2B02EE1B" w14:textId="77777777" w:rsidTr="0085799C">
        <w:trPr>
          <w:trHeight w:val="227"/>
          <w:jc w:val="center"/>
        </w:trPr>
        <w:tc>
          <w:tcPr>
            <w:tcW w:w="5000" w:type="pct"/>
            <w:gridSpan w:val="4"/>
            <w:tcBorders>
              <w:top w:val="nil"/>
              <w:left w:val="nil"/>
              <w:bottom w:val="nil"/>
              <w:right w:val="nil"/>
            </w:tcBorders>
            <w:noWrap/>
            <w:vAlign w:val="center"/>
            <w:hideMark/>
          </w:tcPr>
          <w:p w14:paraId="0DE1D05B" w14:textId="77777777" w:rsidR="00404574" w:rsidRPr="00404574" w:rsidRDefault="00404574" w:rsidP="00404574">
            <w:pPr>
              <w:spacing w:after="0" w:line="240" w:lineRule="auto"/>
              <w:jc w:val="right"/>
              <w:rPr>
                <w:rFonts w:ascii="Times New Roman" w:hAnsi="Times New Roman"/>
                <w:color w:val="000000"/>
                <w:sz w:val="16"/>
                <w:szCs w:val="16"/>
                <w:lang w:eastAsia="sk-SK"/>
              </w:rPr>
            </w:pPr>
            <w:r w:rsidRPr="00404574">
              <w:rPr>
                <w:rFonts w:ascii="Times New Roman" w:hAnsi="Times New Roman"/>
                <w:color w:val="000000"/>
                <w:sz w:val="16"/>
                <w:szCs w:val="16"/>
                <w:lang w:eastAsia="sk-SK"/>
              </w:rPr>
              <w:t>Zdroj: MF SR, Centrálny konsolidačný systém</w:t>
            </w:r>
          </w:p>
        </w:tc>
      </w:tr>
    </w:tbl>
    <w:p w14:paraId="2D33343F" w14:textId="77777777" w:rsidR="008947B4" w:rsidRPr="00B23324" w:rsidRDefault="008947B4" w:rsidP="0085799C">
      <w:pPr>
        <w:spacing w:after="120" w:line="240" w:lineRule="auto"/>
        <w:jc w:val="right"/>
        <w:rPr>
          <w:rFonts w:ascii="Times New Roman" w:hAnsi="Times New Roman"/>
          <w:szCs w:val="22"/>
        </w:rPr>
      </w:pPr>
    </w:p>
    <w:p w14:paraId="4A8C3CEB" w14:textId="4B201D3F" w:rsidR="00647542" w:rsidRPr="0085799C" w:rsidRDefault="00647542" w:rsidP="0085799C">
      <w:pPr>
        <w:pStyle w:val="Pismenka"/>
        <w:tabs>
          <w:tab w:val="clear" w:pos="426"/>
        </w:tabs>
        <w:spacing w:after="120"/>
        <w:ind w:left="0" w:firstLine="0"/>
        <w:rPr>
          <w:b w:val="0"/>
          <w:sz w:val="22"/>
          <w:szCs w:val="22"/>
        </w:rPr>
      </w:pPr>
      <w:r w:rsidRPr="00907622">
        <w:rPr>
          <w:b w:val="0"/>
          <w:bCs w:val="0"/>
          <w:sz w:val="22"/>
          <w:szCs w:val="22"/>
        </w:rPr>
        <w:t>Rozhodujúci podiel na rezervách</w:t>
      </w:r>
      <w:r w:rsidR="005562B8">
        <w:rPr>
          <w:b w:val="0"/>
          <w:bCs w:val="0"/>
          <w:sz w:val="22"/>
          <w:szCs w:val="22"/>
        </w:rPr>
        <w:t>,</w:t>
      </w:r>
      <w:r w:rsidRPr="00907622">
        <w:rPr>
          <w:b w:val="0"/>
          <w:bCs w:val="0"/>
          <w:sz w:val="22"/>
          <w:szCs w:val="22"/>
        </w:rPr>
        <w:t xml:space="preserve"> ako aj na medziročnom úbytku</w:t>
      </w:r>
      <w:r w:rsidR="005562B8">
        <w:rPr>
          <w:b w:val="0"/>
          <w:bCs w:val="0"/>
          <w:sz w:val="22"/>
          <w:szCs w:val="22"/>
        </w:rPr>
        <w:t>,</w:t>
      </w:r>
      <w:r w:rsidRPr="00907622">
        <w:rPr>
          <w:b w:val="0"/>
          <w:bCs w:val="0"/>
          <w:sz w:val="22"/>
          <w:szCs w:val="22"/>
        </w:rPr>
        <w:t xml:space="preserve"> má rezerva ústrednej správy na zamestnanecké benefity</w:t>
      </w:r>
      <w:r w:rsidRPr="00907622">
        <w:rPr>
          <w:b w:val="0"/>
          <w:sz w:val="22"/>
          <w:szCs w:val="22"/>
        </w:rPr>
        <w:t xml:space="preserve"> zamestnancov štátnych rozpočtových a príspevkových organizácií</w:t>
      </w:r>
      <w:r w:rsidRPr="00907622">
        <w:rPr>
          <w:b w:val="0"/>
          <w:bCs w:val="0"/>
          <w:sz w:val="22"/>
          <w:szCs w:val="22"/>
        </w:rPr>
        <w:t>, ktorá na základe expertného odhadu zaznamenala v roku 202</w:t>
      </w:r>
      <w:r w:rsidR="005562B8">
        <w:rPr>
          <w:b w:val="0"/>
          <w:bCs w:val="0"/>
          <w:sz w:val="22"/>
          <w:szCs w:val="22"/>
        </w:rPr>
        <w:t>4</w:t>
      </w:r>
      <w:r w:rsidRPr="00907622">
        <w:rPr>
          <w:b w:val="0"/>
          <w:bCs w:val="0"/>
          <w:sz w:val="22"/>
          <w:szCs w:val="22"/>
        </w:rPr>
        <w:t xml:space="preserve"> úbytok </w:t>
      </w:r>
      <w:r w:rsidR="005562B8">
        <w:rPr>
          <w:b w:val="0"/>
          <w:bCs w:val="0"/>
          <w:sz w:val="22"/>
          <w:szCs w:val="22"/>
        </w:rPr>
        <w:t>326</w:t>
      </w:r>
      <w:r w:rsidR="00BD6CE7">
        <w:rPr>
          <w:b w:val="0"/>
          <w:bCs w:val="0"/>
          <w:sz w:val="22"/>
          <w:szCs w:val="22"/>
        </w:rPr>
        <w:t> </w:t>
      </w:r>
      <w:r w:rsidR="005562B8">
        <w:rPr>
          <w:b w:val="0"/>
          <w:bCs w:val="0"/>
          <w:sz w:val="22"/>
          <w:szCs w:val="22"/>
        </w:rPr>
        <w:t>065</w:t>
      </w:r>
      <w:r w:rsidRPr="00907622">
        <w:rPr>
          <w:b w:val="0"/>
          <w:bCs w:val="0"/>
          <w:sz w:val="22"/>
          <w:szCs w:val="22"/>
        </w:rPr>
        <w:t xml:space="preserve"> tis. eur a dosiahla hodnotu </w:t>
      </w:r>
      <w:r w:rsidR="00CF6824">
        <w:rPr>
          <w:b w:val="0"/>
          <w:sz w:val="22"/>
          <w:szCs w:val="22"/>
        </w:rPr>
        <w:t>23 490 144</w:t>
      </w:r>
      <w:r w:rsidRPr="00907622">
        <w:rPr>
          <w:b w:val="0"/>
          <w:bCs w:val="0"/>
          <w:sz w:val="22"/>
          <w:szCs w:val="22"/>
        </w:rPr>
        <w:t> tis. eur.</w:t>
      </w:r>
    </w:p>
    <w:p w14:paraId="0109D160" w14:textId="06C399BB" w:rsidR="00647542" w:rsidRDefault="00647542" w:rsidP="00647542">
      <w:pPr>
        <w:pStyle w:val="Popis"/>
        <w:keepNext/>
        <w:rPr>
          <w:noProof/>
        </w:rPr>
      </w:pPr>
      <w:r w:rsidRPr="00907622">
        <w:t xml:space="preserve">Tabuľka </w:t>
      </w:r>
      <w:r w:rsidRPr="00907622">
        <w:fldChar w:fldCharType="begin"/>
      </w:r>
      <w:r w:rsidRPr="00907622">
        <w:instrText xml:space="preserve"> SEQ Tabuľka \* ARABIC </w:instrText>
      </w:r>
      <w:r w:rsidRPr="00907622">
        <w:fldChar w:fldCharType="separate"/>
      </w:r>
      <w:r w:rsidRPr="00907622">
        <w:rPr>
          <w:noProof/>
        </w:rPr>
        <w:t>15</w:t>
      </w:r>
      <w:r w:rsidRPr="00907622">
        <w:rPr>
          <w:noProof/>
        </w:rPr>
        <w:fldChar w:fldCharType="end"/>
      </w:r>
    </w:p>
    <w:tbl>
      <w:tblPr>
        <w:tblW w:w="5000" w:type="pct"/>
        <w:jc w:val="center"/>
        <w:tblCellMar>
          <w:left w:w="70" w:type="dxa"/>
          <w:right w:w="70" w:type="dxa"/>
        </w:tblCellMar>
        <w:tblLook w:val="04A0" w:firstRow="1" w:lastRow="0" w:firstColumn="1" w:lastColumn="0" w:noHBand="0" w:noVBand="1"/>
      </w:tblPr>
      <w:tblGrid>
        <w:gridCol w:w="5095"/>
        <w:gridCol w:w="1326"/>
        <w:gridCol w:w="1326"/>
        <w:gridCol w:w="1324"/>
      </w:tblGrid>
      <w:tr w:rsidR="008947B4" w:rsidRPr="008947B4" w14:paraId="3D00CE9B" w14:textId="77777777" w:rsidTr="0085799C">
        <w:trPr>
          <w:trHeight w:val="227"/>
          <w:jc w:val="center"/>
        </w:trPr>
        <w:tc>
          <w:tcPr>
            <w:tcW w:w="2808" w:type="pct"/>
            <w:tcBorders>
              <w:top w:val="single" w:sz="8" w:space="0" w:color="auto"/>
              <w:left w:val="nil"/>
              <w:bottom w:val="single" w:sz="8" w:space="0" w:color="auto"/>
              <w:right w:val="nil"/>
            </w:tcBorders>
            <w:shd w:val="clear" w:color="000000" w:fill="F4B084"/>
            <w:noWrap/>
            <w:vAlign w:val="center"/>
            <w:hideMark/>
          </w:tcPr>
          <w:p w14:paraId="3EB66862" w14:textId="77777777" w:rsidR="008947B4" w:rsidRPr="008947B4" w:rsidRDefault="008947B4" w:rsidP="008947B4">
            <w:pPr>
              <w:spacing w:after="0" w:line="240" w:lineRule="auto"/>
              <w:rPr>
                <w:rFonts w:ascii="Times New Roman" w:hAnsi="Times New Roman"/>
                <w:b/>
                <w:bCs/>
                <w:color w:val="000000"/>
                <w:sz w:val="18"/>
                <w:szCs w:val="18"/>
                <w:lang w:eastAsia="sk-SK"/>
              </w:rPr>
            </w:pPr>
            <w:r w:rsidRPr="008947B4">
              <w:rPr>
                <w:rFonts w:ascii="Times New Roman" w:hAnsi="Times New Roman"/>
                <w:b/>
                <w:bCs/>
                <w:color w:val="000000"/>
                <w:sz w:val="18"/>
                <w:szCs w:val="18"/>
                <w:lang w:eastAsia="sk-SK"/>
              </w:rPr>
              <w:t>Dlhodobé rezervy podľa účelu</w:t>
            </w:r>
          </w:p>
        </w:tc>
        <w:tc>
          <w:tcPr>
            <w:tcW w:w="731" w:type="pct"/>
            <w:tcBorders>
              <w:top w:val="single" w:sz="8" w:space="0" w:color="auto"/>
              <w:left w:val="nil"/>
              <w:bottom w:val="single" w:sz="8" w:space="0" w:color="auto"/>
              <w:right w:val="nil"/>
            </w:tcBorders>
            <w:shd w:val="clear" w:color="000000" w:fill="F4B084"/>
            <w:noWrap/>
            <w:vAlign w:val="center"/>
            <w:hideMark/>
          </w:tcPr>
          <w:p w14:paraId="76CF411A" w14:textId="77777777" w:rsidR="008947B4" w:rsidRPr="008947B4" w:rsidRDefault="008947B4" w:rsidP="008947B4">
            <w:pPr>
              <w:spacing w:after="0" w:line="240" w:lineRule="auto"/>
              <w:rPr>
                <w:rFonts w:ascii="Times New Roman" w:hAnsi="Times New Roman"/>
                <w:b/>
                <w:bCs/>
                <w:color w:val="000000"/>
                <w:sz w:val="18"/>
                <w:szCs w:val="18"/>
                <w:lang w:eastAsia="sk-SK"/>
              </w:rPr>
            </w:pPr>
            <w:r w:rsidRPr="008947B4">
              <w:rPr>
                <w:rFonts w:ascii="Times New Roman" w:hAnsi="Times New Roman"/>
                <w:b/>
                <w:bCs/>
                <w:color w:val="000000"/>
                <w:sz w:val="18"/>
                <w:szCs w:val="18"/>
                <w:lang w:eastAsia="sk-SK"/>
              </w:rPr>
              <w:t> </w:t>
            </w:r>
          </w:p>
        </w:tc>
        <w:tc>
          <w:tcPr>
            <w:tcW w:w="731" w:type="pct"/>
            <w:tcBorders>
              <w:top w:val="single" w:sz="8" w:space="0" w:color="auto"/>
              <w:left w:val="nil"/>
              <w:bottom w:val="single" w:sz="8" w:space="0" w:color="auto"/>
              <w:right w:val="nil"/>
            </w:tcBorders>
            <w:shd w:val="clear" w:color="000000" w:fill="F4B084"/>
            <w:noWrap/>
            <w:vAlign w:val="center"/>
            <w:hideMark/>
          </w:tcPr>
          <w:p w14:paraId="080189EB" w14:textId="77777777" w:rsidR="008947B4" w:rsidRPr="008947B4" w:rsidRDefault="008947B4" w:rsidP="008947B4">
            <w:pPr>
              <w:spacing w:after="0" w:line="240" w:lineRule="auto"/>
              <w:jc w:val="center"/>
              <w:rPr>
                <w:rFonts w:ascii="Times New Roman" w:hAnsi="Times New Roman"/>
                <w:b/>
                <w:bCs/>
                <w:color w:val="000000"/>
                <w:sz w:val="18"/>
                <w:szCs w:val="18"/>
                <w:lang w:eastAsia="sk-SK"/>
              </w:rPr>
            </w:pPr>
            <w:r w:rsidRPr="008947B4">
              <w:rPr>
                <w:rFonts w:ascii="Times New Roman" w:hAnsi="Times New Roman"/>
                <w:b/>
                <w:bCs/>
                <w:color w:val="000000"/>
                <w:sz w:val="18"/>
                <w:szCs w:val="18"/>
                <w:lang w:eastAsia="sk-SK"/>
              </w:rPr>
              <w:t>(v tis. eur)</w:t>
            </w:r>
          </w:p>
        </w:tc>
        <w:tc>
          <w:tcPr>
            <w:tcW w:w="731" w:type="pct"/>
            <w:tcBorders>
              <w:top w:val="single" w:sz="8" w:space="0" w:color="auto"/>
              <w:left w:val="nil"/>
              <w:bottom w:val="single" w:sz="8" w:space="0" w:color="auto"/>
              <w:right w:val="nil"/>
            </w:tcBorders>
            <w:shd w:val="clear" w:color="000000" w:fill="F4B084"/>
            <w:noWrap/>
            <w:vAlign w:val="center"/>
            <w:hideMark/>
          </w:tcPr>
          <w:p w14:paraId="3E14BF6F" w14:textId="77777777" w:rsidR="008947B4" w:rsidRPr="008947B4" w:rsidRDefault="008947B4" w:rsidP="008947B4">
            <w:pPr>
              <w:spacing w:after="0" w:line="240" w:lineRule="auto"/>
              <w:rPr>
                <w:rFonts w:ascii="Times New Roman" w:hAnsi="Times New Roman"/>
                <w:b/>
                <w:bCs/>
                <w:color w:val="000000"/>
                <w:sz w:val="18"/>
                <w:szCs w:val="18"/>
                <w:lang w:eastAsia="sk-SK"/>
              </w:rPr>
            </w:pPr>
            <w:r w:rsidRPr="008947B4">
              <w:rPr>
                <w:rFonts w:ascii="Times New Roman" w:hAnsi="Times New Roman"/>
                <w:b/>
                <w:bCs/>
                <w:color w:val="000000"/>
                <w:sz w:val="18"/>
                <w:szCs w:val="18"/>
                <w:lang w:eastAsia="sk-SK"/>
              </w:rPr>
              <w:t> </w:t>
            </w:r>
          </w:p>
        </w:tc>
      </w:tr>
      <w:tr w:rsidR="008947B4" w:rsidRPr="008947B4" w14:paraId="5354846F" w14:textId="77777777" w:rsidTr="0085799C">
        <w:trPr>
          <w:trHeight w:val="227"/>
          <w:jc w:val="center"/>
        </w:trPr>
        <w:tc>
          <w:tcPr>
            <w:tcW w:w="2808" w:type="pct"/>
            <w:tcBorders>
              <w:top w:val="nil"/>
              <w:left w:val="nil"/>
              <w:bottom w:val="single" w:sz="8" w:space="0" w:color="auto"/>
              <w:right w:val="nil"/>
            </w:tcBorders>
            <w:shd w:val="clear" w:color="000000" w:fill="BDD7EE"/>
            <w:noWrap/>
            <w:vAlign w:val="center"/>
            <w:hideMark/>
          </w:tcPr>
          <w:p w14:paraId="6302DC82" w14:textId="77777777" w:rsidR="008947B4" w:rsidRPr="008947B4" w:rsidRDefault="008947B4" w:rsidP="008947B4">
            <w:pPr>
              <w:spacing w:after="0" w:line="240" w:lineRule="auto"/>
              <w:rPr>
                <w:rFonts w:ascii="Times New Roman" w:hAnsi="Times New Roman"/>
                <w:b/>
                <w:bCs/>
                <w:color w:val="000000"/>
                <w:sz w:val="18"/>
                <w:szCs w:val="18"/>
                <w:lang w:eastAsia="sk-SK"/>
              </w:rPr>
            </w:pPr>
            <w:r w:rsidRPr="008947B4">
              <w:rPr>
                <w:rFonts w:ascii="Times New Roman" w:hAnsi="Times New Roman"/>
                <w:b/>
                <w:bCs/>
                <w:color w:val="000000"/>
                <w:sz w:val="18"/>
                <w:szCs w:val="18"/>
                <w:lang w:eastAsia="sk-SK"/>
              </w:rPr>
              <w:t>Druh rezerv</w:t>
            </w:r>
          </w:p>
        </w:tc>
        <w:tc>
          <w:tcPr>
            <w:tcW w:w="731" w:type="pct"/>
            <w:tcBorders>
              <w:top w:val="nil"/>
              <w:left w:val="nil"/>
              <w:bottom w:val="single" w:sz="8" w:space="0" w:color="auto"/>
              <w:right w:val="nil"/>
            </w:tcBorders>
            <w:shd w:val="clear" w:color="000000" w:fill="BDD7EE"/>
            <w:noWrap/>
            <w:vAlign w:val="center"/>
            <w:hideMark/>
          </w:tcPr>
          <w:p w14:paraId="7FD25D03" w14:textId="77777777" w:rsidR="008947B4" w:rsidRPr="008947B4" w:rsidRDefault="008947B4" w:rsidP="008947B4">
            <w:pPr>
              <w:spacing w:after="0" w:line="240" w:lineRule="auto"/>
              <w:jc w:val="center"/>
              <w:rPr>
                <w:rFonts w:ascii="Times New Roman" w:hAnsi="Times New Roman"/>
                <w:b/>
                <w:bCs/>
                <w:color w:val="000000"/>
                <w:sz w:val="18"/>
                <w:szCs w:val="18"/>
                <w:lang w:eastAsia="sk-SK"/>
              </w:rPr>
            </w:pPr>
            <w:r w:rsidRPr="008947B4">
              <w:rPr>
                <w:rFonts w:ascii="Times New Roman" w:hAnsi="Times New Roman"/>
                <w:b/>
                <w:bCs/>
                <w:color w:val="000000"/>
                <w:sz w:val="18"/>
                <w:szCs w:val="18"/>
                <w:lang w:eastAsia="sk-SK"/>
              </w:rPr>
              <w:t>2024</w:t>
            </w:r>
          </w:p>
        </w:tc>
        <w:tc>
          <w:tcPr>
            <w:tcW w:w="731" w:type="pct"/>
            <w:tcBorders>
              <w:top w:val="nil"/>
              <w:left w:val="nil"/>
              <w:bottom w:val="single" w:sz="8" w:space="0" w:color="auto"/>
              <w:right w:val="nil"/>
            </w:tcBorders>
            <w:shd w:val="clear" w:color="000000" w:fill="BDD7EE"/>
            <w:noWrap/>
            <w:vAlign w:val="center"/>
            <w:hideMark/>
          </w:tcPr>
          <w:p w14:paraId="44472A9C" w14:textId="77777777" w:rsidR="008947B4" w:rsidRPr="008947B4" w:rsidRDefault="008947B4" w:rsidP="008947B4">
            <w:pPr>
              <w:spacing w:after="0" w:line="240" w:lineRule="auto"/>
              <w:jc w:val="center"/>
              <w:rPr>
                <w:rFonts w:ascii="Times New Roman" w:hAnsi="Times New Roman"/>
                <w:b/>
                <w:bCs/>
                <w:color w:val="000000"/>
                <w:sz w:val="18"/>
                <w:szCs w:val="18"/>
                <w:lang w:eastAsia="sk-SK"/>
              </w:rPr>
            </w:pPr>
            <w:r w:rsidRPr="008947B4">
              <w:rPr>
                <w:rFonts w:ascii="Times New Roman" w:hAnsi="Times New Roman"/>
                <w:b/>
                <w:bCs/>
                <w:color w:val="000000"/>
                <w:sz w:val="18"/>
                <w:szCs w:val="18"/>
                <w:lang w:eastAsia="sk-SK"/>
              </w:rPr>
              <w:t>2023</w:t>
            </w:r>
          </w:p>
        </w:tc>
        <w:tc>
          <w:tcPr>
            <w:tcW w:w="731" w:type="pct"/>
            <w:tcBorders>
              <w:top w:val="nil"/>
              <w:left w:val="nil"/>
              <w:bottom w:val="single" w:sz="8" w:space="0" w:color="auto"/>
              <w:right w:val="nil"/>
            </w:tcBorders>
            <w:shd w:val="clear" w:color="000000" w:fill="BDD7EE"/>
            <w:vAlign w:val="center"/>
            <w:hideMark/>
          </w:tcPr>
          <w:p w14:paraId="793A7983" w14:textId="77777777" w:rsidR="008947B4" w:rsidRPr="008947B4" w:rsidRDefault="008947B4" w:rsidP="008947B4">
            <w:pPr>
              <w:spacing w:after="0" w:line="240" w:lineRule="auto"/>
              <w:jc w:val="center"/>
              <w:rPr>
                <w:rFonts w:ascii="Times New Roman" w:hAnsi="Times New Roman"/>
                <w:b/>
                <w:bCs/>
                <w:color w:val="000000"/>
                <w:sz w:val="18"/>
                <w:szCs w:val="18"/>
                <w:lang w:eastAsia="sk-SK"/>
              </w:rPr>
            </w:pPr>
            <w:r w:rsidRPr="008947B4">
              <w:rPr>
                <w:rFonts w:ascii="Times New Roman" w:hAnsi="Times New Roman"/>
                <w:b/>
                <w:bCs/>
                <w:color w:val="000000"/>
                <w:sz w:val="18"/>
                <w:szCs w:val="18"/>
                <w:lang w:eastAsia="sk-SK"/>
              </w:rPr>
              <w:t>Δ 2024-2023</w:t>
            </w:r>
          </w:p>
        </w:tc>
      </w:tr>
      <w:tr w:rsidR="008947B4" w:rsidRPr="008947B4" w14:paraId="4A531D61" w14:textId="77777777" w:rsidTr="0085799C">
        <w:trPr>
          <w:trHeight w:val="227"/>
          <w:jc w:val="center"/>
        </w:trPr>
        <w:tc>
          <w:tcPr>
            <w:tcW w:w="2808" w:type="pct"/>
            <w:tcBorders>
              <w:top w:val="nil"/>
              <w:left w:val="nil"/>
              <w:bottom w:val="nil"/>
              <w:right w:val="nil"/>
            </w:tcBorders>
            <w:vAlign w:val="center"/>
            <w:hideMark/>
          </w:tcPr>
          <w:p w14:paraId="6C697B40" w14:textId="77777777" w:rsidR="008947B4" w:rsidRPr="008947B4" w:rsidRDefault="008947B4" w:rsidP="008947B4">
            <w:pPr>
              <w:spacing w:after="0" w:line="240" w:lineRule="auto"/>
              <w:rPr>
                <w:rFonts w:ascii="Times New Roman" w:hAnsi="Times New Roman"/>
                <w:color w:val="000000"/>
                <w:sz w:val="18"/>
                <w:szCs w:val="18"/>
                <w:lang w:eastAsia="sk-SK"/>
              </w:rPr>
            </w:pPr>
            <w:r w:rsidRPr="008947B4">
              <w:rPr>
                <w:rFonts w:ascii="Times New Roman" w:hAnsi="Times New Roman"/>
                <w:color w:val="000000"/>
                <w:sz w:val="18"/>
                <w:szCs w:val="18"/>
                <w:lang w:eastAsia="sk-SK"/>
              </w:rPr>
              <w:t>Zamestnanecké požitky v ústrednej správe</w:t>
            </w:r>
          </w:p>
        </w:tc>
        <w:tc>
          <w:tcPr>
            <w:tcW w:w="731" w:type="pct"/>
            <w:tcBorders>
              <w:top w:val="nil"/>
              <w:left w:val="nil"/>
              <w:bottom w:val="nil"/>
              <w:right w:val="nil"/>
            </w:tcBorders>
            <w:vAlign w:val="center"/>
            <w:hideMark/>
          </w:tcPr>
          <w:p w14:paraId="25AA39CB" w14:textId="77777777" w:rsidR="008947B4" w:rsidRPr="008947B4" w:rsidRDefault="008947B4" w:rsidP="008947B4">
            <w:pPr>
              <w:spacing w:after="0" w:line="240" w:lineRule="auto"/>
              <w:jc w:val="right"/>
              <w:rPr>
                <w:rFonts w:ascii="Times New Roman" w:hAnsi="Times New Roman"/>
                <w:color w:val="000000"/>
                <w:sz w:val="18"/>
                <w:szCs w:val="18"/>
                <w:lang w:eastAsia="sk-SK"/>
              </w:rPr>
            </w:pPr>
            <w:r w:rsidRPr="008947B4">
              <w:rPr>
                <w:rFonts w:ascii="Times New Roman" w:hAnsi="Times New Roman"/>
                <w:color w:val="000000"/>
                <w:sz w:val="18"/>
                <w:szCs w:val="18"/>
                <w:lang w:eastAsia="sk-SK"/>
              </w:rPr>
              <w:t>23 490 144</w:t>
            </w:r>
          </w:p>
        </w:tc>
        <w:tc>
          <w:tcPr>
            <w:tcW w:w="731" w:type="pct"/>
            <w:tcBorders>
              <w:top w:val="nil"/>
              <w:left w:val="nil"/>
              <w:bottom w:val="nil"/>
              <w:right w:val="nil"/>
            </w:tcBorders>
            <w:vAlign w:val="center"/>
            <w:hideMark/>
          </w:tcPr>
          <w:p w14:paraId="0E77D7D2" w14:textId="77777777" w:rsidR="008947B4" w:rsidRPr="008947B4" w:rsidRDefault="008947B4" w:rsidP="008947B4">
            <w:pPr>
              <w:spacing w:after="0" w:line="240" w:lineRule="auto"/>
              <w:jc w:val="right"/>
              <w:rPr>
                <w:rFonts w:ascii="Times New Roman" w:hAnsi="Times New Roman"/>
                <w:color w:val="000000"/>
                <w:sz w:val="18"/>
                <w:szCs w:val="18"/>
                <w:lang w:eastAsia="sk-SK"/>
              </w:rPr>
            </w:pPr>
            <w:r w:rsidRPr="008947B4">
              <w:rPr>
                <w:rFonts w:ascii="Times New Roman" w:hAnsi="Times New Roman"/>
                <w:color w:val="000000"/>
                <w:sz w:val="18"/>
                <w:szCs w:val="18"/>
                <w:lang w:eastAsia="sk-SK"/>
              </w:rPr>
              <w:t>23 816 209</w:t>
            </w:r>
          </w:p>
        </w:tc>
        <w:tc>
          <w:tcPr>
            <w:tcW w:w="731" w:type="pct"/>
            <w:tcBorders>
              <w:top w:val="nil"/>
              <w:left w:val="nil"/>
              <w:bottom w:val="nil"/>
              <w:right w:val="nil"/>
            </w:tcBorders>
            <w:vAlign w:val="center"/>
            <w:hideMark/>
          </w:tcPr>
          <w:p w14:paraId="269F5A2C" w14:textId="77777777" w:rsidR="008947B4" w:rsidRPr="008947B4" w:rsidRDefault="008947B4" w:rsidP="008947B4">
            <w:pPr>
              <w:spacing w:after="0" w:line="240" w:lineRule="auto"/>
              <w:jc w:val="right"/>
              <w:rPr>
                <w:rFonts w:ascii="Times New Roman" w:hAnsi="Times New Roman"/>
                <w:color w:val="000000"/>
                <w:sz w:val="18"/>
                <w:szCs w:val="18"/>
                <w:lang w:eastAsia="sk-SK"/>
              </w:rPr>
            </w:pPr>
            <w:r w:rsidRPr="008947B4">
              <w:rPr>
                <w:rFonts w:ascii="Times New Roman" w:hAnsi="Times New Roman"/>
                <w:color w:val="000000"/>
                <w:sz w:val="18"/>
                <w:szCs w:val="18"/>
                <w:lang w:eastAsia="sk-SK"/>
              </w:rPr>
              <w:t>-326 065</w:t>
            </w:r>
          </w:p>
        </w:tc>
      </w:tr>
      <w:tr w:rsidR="008947B4" w:rsidRPr="008947B4" w14:paraId="42F90348" w14:textId="77777777" w:rsidTr="0085799C">
        <w:trPr>
          <w:trHeight w:val="227"/>
          <w:jc w:val="center"/>
        </w:trPr>
        <w:tc>
          <w:tcPr>
            <w:tcW w:w="2808" w:type="pct"/>
            <w:tcBorders>
              <w:top w:val="nil"/>
              <w:left w:val="nil"/>
              <w:bottom w:val="nil"/>
              <w:right w:val="nil"/>
            </w:tcBorders>
            <w:vAlign w:val="center"/>
            <w:hideMark/>
          </w:tcPr>
          <w:p w14:paraId="719AF272" w14:textId="77777777" w:rsidR="008947B4" w:rsidRPr="008947B4" w:rsidRDefault="008947B4" w:rsidP="008947B4">
            <w:pPr>
              <w:spacing w:after="0" w:line="240" w:lineRule="auto"/>
              <w:rPr>
                <w:rFonts w:ascii="Times New Roman" w:hAnsi="Times New Roman"/>
                <w:color w:val="000000"/>
                <w:sz w:val="18"/>
                <w:szCs w:val="18"/>
                <w:lang w:eastAsia="sk-SK"/>
              </w:rPr>
            </w:pPr>
            <w:r w:rsidRPr="008947B4">
              <w:rPr>
                <w:rFonts w:ascii="Times New Roman" w:hAnsi="Times New Roman"/>
                <w:color w:val="000000"/>
                <w:sz w:val="18"/>
                <w:szCs w:val="18"/>
                <w:lang w:eastAsia="sk-SK"/>
              </w:rPr>
              <w:t xml:space="preserve">Vyraďovanie jadrových zariadení a rád. paliva </w:t>
            </w:r>
          </w:p>
        </w:tc>
        <w:tc>
          <w:tcPr>
            <w:tcW w:w="731" w:type="pct"/>
            <w:tcBorders>
              <w:top w:val="nil"/>
              <w:left w:val="nil"/>
              <w:bottom w:val="nil"/>
              <w:right w:val="nil"/>
            </w:tcBorders>
            <w:vAlign w:val="center"/>
            <w:hideMark/>
          </w:tcPr>
          <w:p w14:paraId="6053E1F1" w14:textId="77777777" w:rsidR="008947B4" w:rsidRPr="008947B4" w:rsidRDefault="008947B4" w:rsidP="008947B4">
            <w:pPr>
              <w:spacing w:after="0" w:line="240" w:lineRule="auto"/>
              <w:jc w:val="right"/>
              <w:rPr>
                <w:rFonts w:ascii="Times New Roman" w:hAnsi="Times New Roman"/>
                <w:color w:val="000000"/>
                <w:sz w:val="18"/>
                <w:szCs w:val="18"/>
                <w:lang w:eastAsia="sk-SK"/>
              </w:rPr>
            </w:pPr>
            <w:r w:rsidRPr="008947B4">
              <w:rPr>
                <w:rFonts w:ascii="Times New Roman" w:hAnsi="Times New Roman"/>
                <w:color w:val="000000"/>
                <w:sz w:val="18"/>
                <w:szCs w:val="18"/>
                <w:lang w:eastAsia="sk-SK"/>
              </w:rPr>
              <w:t>1 194 071</w:t>
            </w:r>
          </w:p>
        </w:tc>
        <w:tc>
          <w:tcPr>
            <w:tcW w:w="731" w:type="pct"/>
            <w:tcBorders>
              <w:top w:val="nil"/>
              <w:left w:val="nil"/>
              <w:bottom w:val="nil"/>
              <w:right w:val="nil"/>
            </w:tcBorders>
            <w:vAlign w:val="center"/>
            <w:hideMark/>
          </w:tcPr>
          <w:p w14:paraId="0D0FD55D" w14:textId="77777777" w:rsidR="008947B4" w:rsidRPr="008947B4" w:rsidRDefault="008947B4" w:rsidP="008947B4">
            <w:pPr>
              <w:spacing w:after="0" w:line="240" w:lineRule="auto"/>
              <w:jc w:val="right"/>
              <w:rPr>
                <w:rFonts w:ascii="Times New Roman" w:hAnsi="Times New Roman"/>
                <w:color w:val="000000"/>
                <w:sz w:val="18"/>
                <w:szCs w:val="18"/>
                <w:lang w:eastAsia="sk-SK"/>
              </w:rPr>
            </w:pPr>
            <w:r w:rsidRPr="008947B4">
              <w:rPr>
                <w:rFonts w:ascii="Times New Roman" w:hAnsi="Times New Roman"/>
                <w:color w:val="000000"/>
                <w:sz w:val="18"/>
                <w:szCs w:val="18"/>
                <w:lang w:eastAsia="sk-SK"/>
              </w:rPr>
              <w:t>1 586 357</w:t>
            </w:r>
          </w:p>
        </w:tc>
        <w:tc>
          <w:tcPr>
            <w:tcW w:w="731" w:type="pct"/>
            <w:tcBorders>
              <w:top w:val="nil"/>
              <w:left w:val="nil"/>
              <w:bottom w:val="nil"/>
              <w:right w:val="nil"/>
            </w:tcBorders>
            <w:vAlign w:val="center"/>
            <w:hideMark/>
          </w:tcPr>
          <w:p w14:paraId="3378F919" w14:textId="77777777" w:rsidR="008947B4" w:rsidRPr="008947B4" w:rsidRDefault="008947B4" w:rsidP="008947B4">
            <w:pPr>
              <w:spacing w:after="0" w:line="240" w:lineRule="auto"/>
              <w:jc w:val="right"/>
              <w:rPr>
                <w:rFonts w:ascii="Times New Roman" w:hAnsi="Times New Roman"/>
                <w:color w:val="000000"/>
                <w:sz w:val="18"/>
                <w:szCs w:val="18"/>
                <w:lang w:eastAsia="sk-SK"/>
              </w:rPr>
            </w:pPr>
            <w:r w:rsidRPr="008947B4">
              <w:rPr>
                <w:rFonts w:ascii="Times New Roman" w:hAnsi="Times New Roman"/>
                <w:color w:val="000000"/>
                <w:sz w:val="18"/>
                <w:szCs w:val="18"/>
                <w:lang w:eastAsia="sk-SK"/>
              </w:rPr>
              <w:t>-392 286</w:t>
            </w:r>
          </w:p>
        </w:tc>
      </w:tr>
      <w:tr w:rsidR="008947B4" w:rsidRPr="008947B4" w14:paraId="7DD60BD9" w14:textId="77777777" w:rsidTr="0085799C">
        <w:trPr>
          <w:trHeight w:val="227"/>
          <w:jc w:val="center"/>
        </w:trPr>
        <w:tc>
          <w:tcPr>
            <w:tcW w:w="2808" w:type="pct"/>
            <w:tcBorders>
              <w:top w:val="nil"/>
              <w:left w:val="nil"/>
              <w:bottom w:val="nil"/>
              <w:right w:val="nil"/>
            </w:tcBorders>
            <w:vAlign w:val="center"/>
            <w:hideMark/>
          </w:tcPr>
          <w:p w14:paraId="65FFBAC5" w14:textId="77777777" w:rsidR="008947B4" w:rsidRPr="008947B4" w:rsidRDefault="008947B4" w:rsidP="008947B4">
            <w:pPr>
              <w:spacing w:after="0" w:line="240" w:lineRule="auto"/>
              <w:rPr>
                <w:rFonts w:ascii="Times New Roman" w:hAnsi="Times New Roman"/>
                <w:color w:val="000000"/>
                <w:sz w:val="18"/>
                <w:szCs w:val="18"/>
                <w:lang w:eastAsia="sk-SK"/>
              </w:rPr>
            </w:pPr>
            <w:r w:rsidRPr="008947B4">
              <w:rPr>
                <w:rFonts w:ascii="Times New Roman" w:hAnsi="Times New Roman"/>
                <w:color w:val="000000"/>
                <w:sz w:val="18"/>
                <w:szCs w:val="18"/>
                <w:lang w:eastAsia="sk-SK"/>
              </w:rPr>
              <w:t>Súdne spory*</w:t>
            </w:r>
          </w:p>
        </w:tc>
        <w:tc>
          <w:tcPr>
            <w:tcW w:w="731" w:type="pct"/>
            <w:tcBorders>
              <w:top w:val="nil"/>
              <w:left w:val="nil"/>
              <w:bottom w:val="nil"/>
              <w:right w:val="nil"/>
            </w:tcBorders>
            <w:vAlign w:val="center"/>
            <w:hideMark/>
          </w:tcPr>
          <w:p w14:paraId="1EACFAB3" w14:textId="77777777" w:rsidR="008947B4" w:rsidRPr="008947B4" w:rsidRDefault="008947B4" w:rsidP="008947B4">
            <w:pPr>
              <w:spacing w:after="0" w:line="240" w:lineRule="auto"/>
              <w:jc w:val="right"/>
              <w:rPr>
                <w:rFonts w:ascii="Times New Roman" w:hAnsi="Times New Roman"/>
                <w:color w:val="000000"/>
                <w:sz w:val="18"/>
                <w:szCs w:val="18"/>
                <w:lang w:eastAsia="sk-SK"/>
              </w:rPr>
            </w:pPr>
            <w:r w:rsidRPr="008947B4">
              <w:rPr>
                <w:rFonts w:ascii="Times New Roman" w:hAnsi="Times New Roman"/>
                <w:color w:val="000000"/>
                <w:sz w:val="18"/>
                <w:szCs w:val="18"/>
                <w:lang w:eastAsia="sk-SK"/>
              </w:rPr>
              <w:t>501 783</w:t>
            </w:r>
          </w:p>
        </w:tc>
        <w:tc>
          <w:tcPr>
            <w:tcW w:w="731" w:type="pct"/>
            <w:tcBorders>
              <w:top w:val="nil"/>
              <w:left w:val="nil"/>
              <w:bottom w:val="nil"/>
              <w:right w:val="nil"/>
            </w:tcBorders>
            <w:vAlign w:val="center"/>
            <w:hideMark/>
          </w:tcPr>
          <w:p w14:paraId="6D1A646A" w14:textId="77777777" w:rsidR="008947B4" w:rsidRPr="008947B4" w:rsidRDefault="008947B4" w:rsidP="008947B4">
            <w:pPr>
              <w:spacing w:after="0" w:line="240" w:lineRule="auto"/>
              <w:jc w:val="right"/>
              <w:rPr>
                <w:rFonts w:ascii="Times New Roman" w:hAnsi="Times New Roman"/>
                <w:color w:val="000000"/>
                <w:sz w:val="18"/>
                <w:szCs w:val="18"/>
                <w:lang w:eastAsia="sk-SK"/>
              </w:rPr>
            </w:pPr>
            <w:r w:rsidRPr="008947B4">
              <w:rPr>
                <w:rFonts w:ascii="Times New Roman" w:hAnsi="Times New Roman"/>
                <w:color w:val="000000"/>
                <w:sz w:val="18"/>
                <w:szCs w:val="18"/>
                <w:lang w:eastAsia="sk-SK"/>
              </w:rPr>
              <w:t>441 987</w:t>
            </w:r>
          </w:p>
        </w:tc>
        <w:tc>
          <w:tcPr>
            <w:tcW w:w="731" w:type="pct"/>
            <w:tcBorders>
              <w:top w:val="nil"/>
              <w:left w:val="nil"/>
              <w:bottom w:val="nil"/>
              <w:right w:val="nil"/>
            </w:tcBorders>
            <w:vAlign w:val="center"/>
            <w:hideMark/>
          </w:tcPr>
          <w:p w14:paraId="288B29F9" w14:textId="77777777" w:rsidR="008947B4" w:rsidRPr="008947B4" w:rsidRDefault="008947B4" w:rsidP="008947B4">
            <w:pPr>
              <w:spacing w:after="0" w:line="240" w:lineRule="auto"/>
              <w:jc w:val="right"/>
              <w:rPr>
                <w:rFonts w:ascii="Times New Roman" w:hAnsi="Times New Roman"/>
                <w:color w:val="000000"/>
                <w:sz w:val="18"/>
                <w:szCs w:val="18"/>
                <w:lang w:eastAsia="sk-SK"/>
              </w:rPr>
            </w:pPr>
            <w:r w:rsidRPr="008947B4">
              <w:rPr>
                <w:rFonts w:ascii="Times New Roman" w:hAnsi="Times New Roman"/>
                <w:color w:val="000000"/>
                <w:sz w:val="18"/>
                <w:szCs w:val="18"/>
                <w:lang w:eastAsia="sk-SK"/>
              </w:rPr>
              <w:t>59 796</w:t>
            </w:r>
          </w:p>
        </w:tc>
      </w:tr>
      <w:tr w:rsidR="008947B4" w:rsidRPr="008947B4" w14:paraId="3F0BE8AB" w14:textId="77777777" w:rsidTr="0085799C">
        <w:trPr>
          <w:trHeight w:val="227"/>
          <w:jc w:val="center"/>
        </w:trPr>
        <w:tc>
          <w:tcPr>
            <w:tcW w:w="2808" w:type="pct"/>
            <w:tcBorders>
              <w:top w:val="nil"/>
              <w:left w:val="nil"/>
              <w:bottom w:val="nil"/>
              <w:right w:val="nil"/>
            </w:tcBorders>
            <w:vAlign w:val="center"/>
            <w:hideMark/>
          </w:tcPr>
          <w:p w14:paraId="17916E3C" w14:textId="77777777" w:rsidR="008947B4" w:rsidRPr="008947B4" w:rsidRDefault="008947B4" w:rsidP="008947B4">
            <w:pPr>
              <w:spacing w:after="0" w:line="240" w:lineRule="auto"/>
              <w:rPr>
                <w:rFonts w:ascii="Times New Roman" w:hAnsi="Times New Roman"/>
                <w:color w:val="000000"/>
                <w:sz w:val="18"/>
                <w:szCs w:val="18"/>
                <w:lang w:eastAsia="sk-SK"/>
              </w:rPr>
            </w:pPr>
            <w:r w:rsidRPr="008947B4">
              <w:rPr>
                <w:rFonts w:ascii="Times New Roman" w:hAnsi="Times New Roman"/>
                <w:color w:val="000000"/>
                <w:sz w:val="18"/>
                <w:szCs w:val="18"/>
                <w:lang w:eastAsia="sk-SK"/>
              </w:rPr>
              <w:t>Zamestnanecké</w:t>
            </w:r>
            <w:r w:rsidRPr="008947B4">
              <w:rPr>
                <w:rFonts w:ascii="Times New Roman" w:hAnsi="Times New Roman"/>
                <w:color w:val="000000"/>
                <w:sz w:val="16"/>
                <w:szCs w:val="16"/>
                <w:lang w:eastAsia="sk-SK"/>
              </w:rPr>
              <w:t> </w:t>
            </w:r>
            <w:r w:rsidRPr="008947B4">
              <w:rPr>
                <w:rFonts w:ascii="Times New Roman" w:hAnsi="Times New Roman"/>
                <w:color w:val="000000"/>
                <w:sz w:val="18"/>
                <w:szCs w:val="18"/>
                <w:lang w:eastAsia="sk-SK"/>
              </w:rPr>
              <w:t xml:space="preserve"> požitky (mimo rezervy MF SR)</w:t>
            </w:r>
          </w:p>
        </w:tc>
        <w:tc>
          <w:tcPr>
            <w:tcW w:w="731" w:type="pct"/>
            <w:tcBorders>
              <w:top w:val="nil"/>
              <w:left w:val="nil"/>
              <w:bottom w:val="nil"/>
              <w:right w:val="nil"/>
            </w:tcBorders>
            <w:vAlign w:val="center"/>
            <w:hideMark/>
          </w:tcPr>
          <w:p w14:paraId="413EA493" w14:textId="77777777" w:rsidR="008947B4" w:rsidRPr="008947B4" w:rsidRDefault="008947B4" w:rsidP="008947B4">
            <w:pPr>
              <w:spacing w:after="0" w:line="240" w:lineRule="auto"/>
              <w:jc w:val="right"/>
              <w:rPr>
                <w:rFonts w:ascii="Times New Roman" w:hAnsi="Times New Roman"/>
                <w:color w:val="000000"/>
                <w:sz w:val="18"/>
                <w:szCs w:val="18"/>
                <w:lang w:eastAsia="sk-SK"/>
              </w:rPr>
            </w:pPr>
            <w:r w:rsidRPr="008947B4">
              <w:rPr>
                <w:rFonts w:ascii="Times New Roman" w:hAnsi="Times New Roman"/>
                <w:color w:val="000000"/>
                <w:sz w:val="18"/>
                <w:szCs w:val="18"/>
                <w:lang w:eastAsia="sk-SK"/>
              </w:rPr>
              <w:t>110 055</w:t>
            </w:r>
          </w:p>
        </w:tc>
        <w:tc>
          <w:tcPr>
            <w:tcW w:w="731" w:type="pct"/>
            <w:tcBorders>
              <w:top w:val="nil"/>
              <w:left w:val="nil"/>
              <w:bottom w:val="nil"/>
              <w:right w:val="nil"/>
            </w:tcBorders>
            <w:vAlign w:val="center"/>
            <w:hideMark/>
          </w:tcPr>
          <w:p w14:paraId="1B3C7EC3" w14:textId="77777777" w:rsidR="008947B4" w:rsidRPr="008947B4" w:rsidRDefault="008947B4" w:rsidP="008947B4">
            <w:pPr>
              <w:spacing w:after="0" w:line="240" w:lineRule="auto"/>
              <w:jc w:val="right"/>
              <w:rPr>
                <w:rFonts w:ascii="Times New Roman" w:hAnsi="Times New Roman"/>
                <w:color w:val="000000"/>
                <w:sz w:val="18"/>
                <w:szCs w:val="18"/>
                <w:lang w:eastAsia="sk-SK"/>
              </w:rPr>
            </w:pPr>
            <w:r w:rsidRPr="008947B4">
              <w:rPr>
                <w:rFonts w:ascii="Times New Roman" w:hAnsi="Times New Roman"/>
                <w:color w:val="000000"/>
                <w:sz w:val="18"/>
                <w:szCs w:val="18"/>
                <w:lang w:eastAsia="sk-SK"/>
              </w:rPr>
              <w:t>107 036</w:t>
            </w:r>
          </w:p>
        </w:tc>
        <w:tc>
          <w:tcPr>
            <w:tcW w:w="731" w:type="pct"/>
            <w:tcBorders>
              <w:top w:val="nil"/>
              <w:left w:val="nil"/>
              <w:bottom w:val="nil"/>
              <w:right w:val="nil"/>
            </w:tcBorders>
            <w:vAlign w:val="center"/>
            <w:hideMark/>
          </w:tcPr>
          <w:p w14:paraId="7AD7ACC5" w14:textId="77777777" w:rsidR="008947B4" w:rsidRPr="008947B4" w:rsidRDefault="008947B4" w:rsidP="008947B4">
            <w:pPr>
              <w:spacing w:after="0" w:line="240" w:lineRule="auto"/>
              <w:jc w:val="right"/>
              <w:rPr>
                <w:rFonts w:ascii="Times New Roman" w:hAnsi="Times New Roman"/>
                <w:color w:val="000000"/>
                <w:sz w:val="18"/>
                <w:szCs w:val="18"/>
                <w:lang w:eastAsia="sk-SK"/>
              </w:rPr>
            </w:pPr>
            <w:r w:rsidRPr="008947B4">
              <w:rPr>
                <w:rFonts w:ascii="Times New Roman" w:hAnsi="Times New Roman"/>
                <w:color w:val="000000"/>
                <w:sz w:val="18"/>
                <w:szCs w:val="18"/>
                <w:lang w:eastAsia="sk-SK"/>
              </w:rPr>
              <w:t>3 019</w:t>
            </w:r>
          </w:p>
        </w:tc>
      </w:tr>
      <w:tr w:rsidR="008947B4" w:rsidRPr="008947B4" w14:paraId="07DAB6BB" w14:textId="77777777" w:rsidTr="0085799C">
        <w:trPr>
          <w:trHeight w:val="227"/>
          <w:jc w:val="center"/>
        </w:trPr>
        <w:tc>
          <w:tcPr>
            <w:tcW w:w="2808" w:type="pct"/>
            <w:tcBorders>
              <w:top w:val="nil"/>
              <w:left w:val="nil"/>
              <w:bottom w:val="nil"/>
              <w:right w:val="nil"/>
            </w:tcBorders>
            <w:vAlign w:val="center"/>
            <w:hideMark/>
          </w:tcPr>
          <w:p w14:paraId="46E9BF90" w14:textId="77777777" w:rsidR="008947B4" w:rsidRPr="008947B4" w:rsidRDefault="008947B4" w:rsidP="008947B4">
            <w:pPr>
              <w:spacing w:after="0" w:line="240" w:lineRule="auto"/>
              <w:rPr>
                <w:rFonts w:ascii="Times New Roman" w:hAnsi="Times New Roman"/>
                <w:color w:val="000000"/>
                <w:sz w:val="18"/>
                <w:szCs w:val="18"/>
                <w:lang w:eastAsia="sk-SK"/>
              </w:rPr>
            </w:pPr>
            <w:r w:rsidRPr="008947B4">
              <w:rPr>
                <w:rFonts w:ascii="Times New Roman" w:hAnsi="Times New Roman"/>
                <w:color w:val="000000"/>
                <w:sz w:val="18"/>
                <w:szCs w:val="18"/>
                <w:lang w:eastAsia="sk-SK"/>
              </w:rPr>
              <w:t>Náklady súvisiace s odstránením znečistenia životného prostredia*</w:t>
            </w:r>
          </w:p>
        </w:tc>
        <w:tc>
          <w:tcPr>
            <w:tcW w:w="731" w:type="pct"/>
            <w:tcBorders>
              <w:top w:val="nil"/>
              <w:left w:val="nil"/>
              <w:bottom w:val="nil"/>
              <w:right w:val="nil"/>
            </w:tcBorders>
            <w:vAlign w:val="center"/>
            <w:hideMark/>
          </w:tcPr>
          <w:p w14:paraId="1066D02E" w14:textId="77777777" w:rsidR="008947B4" w:rsidRPr="008947B4" w:rsidRDefault="008947B4" w:rsidP="008947B4">
            <w:pPr>
              <w:spacing w:after="0" w:line="240" w:lineRule="auto"/>
              <w:jc w:val="right"/>
              <w:rPr>
                <w:rFonts w:ascii="Times New Roman" w:hAnsi="Times New Roman"/>
                <w:color w:val="000000"/>
                <w:sz w:val="18"/>
                <w:szCs w:val="18"/>
                <w:lang w:eastAsia="sk-SK"/>
              </w:rPr>
            </w:pPr>
            <w:r w:rsidRPr="008947B4">
              <w:rPr>
                <w:rFonts w:ascii="Times New Roman" w:hAnsi="Times New Roman"/>
                <w:color w:val="000000"/>
                <w:sz w:val="18"/>
                <w:szCs w:val="18"/>
                <w:lang w:eastAsia="sk-SK"/>
              </w:rPr>
              <w:t>79 613</w:t>
            </w:r>
          </w:p>
        </w:tc>
        <w:tc>
          <w:tcPr>
            <w:tcW w:w="731" w:type="pct"/>
            <w:tcBorders>
              <w:top w:val="nil"/>
              <w:left w:val="nil"/>
              <w:bottom w:val="nil"/>
              <w:right w:val="nil"/>
            </w:tcBorders>
            <w:vAlign w:val="center"/>
            <w:hideMark/>
          </w:tcPr>
          <w:p w14:paraId="534D3885" w14:textId="77777777" w:rsidR="008947B4" w:rsidRPr="008947B4" w:rsidRDefault="008947B4" w:rsidP="008947B4">
            <w:pPr>
              <w:spacing w:after="0" w:line="240" w:lineRule="auto"/>
              <w:jc w:val="right"/>
              <w:rPr>
                <w:rFonts w:ascii="Times New Roman" w:hAnsi="Times New Roman"/>
                <w:color w:val="000000"/>
                <w:sz w:val="18"/>
                <w:szCs w:val="18"/>
                <w:lang w:eastAsia="sk-SK"/>
              </w:rPr>
            </w:pPr>
            <w:r w:rsidRPr="008947B4">
              <w:rPr>
                <w:rFonts w:ascii="Times New Roman" w:hAnsi="Times New Roman"/>
                <w:color w:val="000000"/>
                <w:sz w:val="18"/>
                <w:szCs w:val="18"/>
                <w:lang w:eastAsia="sk-SK"/>
              </w:rPr>
              <w:t>92 530</w:t>
            </w:r>
          </w:p>
        </w:tc>
        <w:tc>
          <w:tcPr>
            <w:tcW w:w="731" w:type="pct"/>
            <w:tcBorders>
              <w:top w:val="nil"/>
              <w:left w:val="nil"/>
              <w:bottom w:val="nil"/>
              <w:right w:val="nil"/>
            </w:tcBorders>
            <w:vAlign w:val="center"/>
            <w:hideMark/>
          </w:tcPr>
          <w:p w14:paraId="547E2EEA" w14:textId="77777777" w:rsidR="008947B4" w:rsidRPr="008947B4" w:rsidRDefault="008947B4" w:rsidP="008947B4">
            <w:pPr>
              <w:spacing w:after="0" w:line="240" w:lineRule="auto"/>
              <w:jc w:val="right"/>
              <w:rPr>
                <w:rFonts w:ascii="Times New Roman" w:hAnsi="Times New Roman"/>
                <w:color w:val="000000"/>
                <w:sz w:val="18"/>
                <w:szCs w:val="18"/>
                <w:lang w:eastAsia="sk-SK"/>
              </w:rPr>
            </w:pPr>
            <w:r w:rsidRPr="008947B4">
              <w:rPr>
                <w:rFonts w:ascii="Times New Roman" w:hAnsi="Times New Roman"/>
                <w:color w:val="000000"/>
                <w:sz w:val="18"/>
                <w:szCs w:val="18"/>
                <w:lang w:eastAsia="sk-SK"/>
              </w:rPr>
              <w:t>-12 917</w:t>
            </w:r>
          </w:p>
        </w:tc>
      </w:tr>
      <w:tr w:rsidR="008947B4" w:rsidRPr="008947B4" w14:paraId="204DD458" w14:textId="77777777" w:rsidTr="0085799C">
        <w:trPr>
          <w:trHeight w:val="227"/>
          <w:jc w:val="center"/>
        </w:trPr>
        <w:tc>
          <w:tcPr>
            <w:tcW w:w="2808" w:type="pct"/>
            <w:tcBorders>
              <w:top w:val="nil"/>
              <w:left w:val="nil"/>
              <w:bottom w:val="nil"/>
              <w:right w:val="nil"/>
            </w:tcBorders>
            <w:vAlign w:val="center"/>
            <w:hideMark/>
          </w:tcPr>
          <w:p w14:paraId="6CA0D0BD" w14:textId="1B4EF13C" w:rsidR="008947B4" w:rsidRPr="008947B4" w:rsidRDefault="008947B4" w:rsidP="008947B4">
            <w:pPr>
              <w:spacing w:after="0" w:line="240" w:lineRule="auto"/>
              <w:rPr>
                <w:rFonts w:ascii="Times New Roman" w:hAnsi="Times New Roman"/>
                <w:color w:val="000000"/>
                <w:sz w:val="18"/>
                <w:szCs w:val="18"/>
                <w:lang w:eastAsia="sk-SK"/>
              </w:rPr>
            </w:pPr>
            <w:r w:rsidRPr="008947B4">
              <w:rPr>
                <w:rFonts w:ascii="Times New Roman" w:hAnsi="Times New Roman"/>
                <w:color w:val="000000"/>
                <w:sz w:val="18"/>
                <w:szCs w:val="18"/>
                <w:lang w:eastAsia="sk-SK"/>
              </w:rPr>
              <w:t xml:space="preserve">Technické rezervy </w:t>
            </w:r>
            <w:r w:rsidR="003D08AA">
              <w:rPr>
                <w:rFonts w:ascii="Times New Roman" w:hAnsi="Times New Roman"/>
                <w:color w:val="000000"/>
                <w:sz w:val="18"/>
                <w:szCs w:val="18"/>
                <w:lang w:eastAsia="sk-SK"/>
              </w:rPr>
              <w:t xml:space="preserve">EXIMBANKY </w:t>
            </w:r>
            <w:r w:rsidR="00C02646">
              <w:rPr>
                <w:rFonts w:ascii="Times New Roman" w:hAnsi="Times New Roman"/>
                <w:color w:val="000000"/>
                <w:sz w:val="18"/>
                <w:szCs w:val="18"/>
                <w:lang w:eastAsia="sk-SK"/>
              </w:rPr>
              <w:t>SR</w:t>
            </w:r>
            <w:r w:rsidRPr="008947B4">
              <w:rPr>
                <w:rFonts w:ascii="Times New Roman" w:hAnsi="Times New Roman"/>
                <w:color w:val="000000"/>
                <w:sz w:val="18"/>
                <w:szCs w:val="18"/>
                <w:lang w:eastAsia="sk-SK"/>
              </w:rPr>
              <w:t xml:space="preserve"> na poistenie</w:t>
            </w:r>
          </w:p>
        </w:tc>
        <w:tc>
          <w:tcPr>
            <w:tcW w:w="731" w:type="pct"/>
            <w:tcBorders>
              <w:top w:val="nil"/>
              <w:left w:val="nil"/>
              <w:bottom w:val="nil"/>
              <w:right w:val="nil"/>
            </w:tcBorders>
            <w:vAlign w:val="center"/>
            <w:hideMark/>
          </w:tcPr>
          <w:p w14:paraId="7074D453" w14:textId="77777777" w:rsidR="008947B4" w:rsidRPr="008947B4" w:rsidRDefault="008947B4" w:rsidP="008947B4">
            <w:pPr>
              <w:spacing w:after="0" w:line="240" w:lineRule="auto"/>
              <w:jc w:val="right"/>
              <w:rPr>
                <w:rFonts w:ascii="Times New Roman" w:hAnsi="Times New Roman"/>
                <w:color w:val="000000"/>
                <w:sz w:val="18"/>
                <w:szCs w:val="18"/>
                <w:lang w:eastAsia="sk-SK"/>
              </w:rPr>
            </w:pPr>
            <w:r w:rsidRPr="008947B4">
              <w:rPr>
                <w:rFonts w:ascii="Times New Roman" w:hAnsi="Times New Roman"/>
                <w:color w:val="000000"/>
                <w:sz w:val="18"/>
                <w:szCs w:val="18"/>
                <w:lang w:eastAsia="sk-SK"/>
              </w:rPr>
              <w:t>38 719</w:t>
            </w:r>
          </w:p>
        </w:tc>
        <w:tc>
          <w:tcPr>
            <w:tcW w:w="731" w:type="pct"/>
            <w:tcBorders>
              <w:top w:val="nil"/>
              <w:left w:val="nil"/>
              <w:bottom w:val="nil"/>
              <w:right w:val="nil"/>
            </w:tcBorders>
            <w:vAlign w:val="center"/>
            <w:hideMark/>
          </w:tcPr>
          <w:p w14:paraId="4D02631F" w14:textId="77777777" w:rsidR="008947B4" w:rsidRPr="008947B4" w:rsidRDefault="008947B4" w:rsidP="008947B4">
            <w:pPr>
              <w:spacing w:after="0" w:line="240" w:lineRule="auto"/>
              <w:jc w:val="right"/>
              <w:rPr>
                <w:rFonts w:ascii="Times New Roman" w:hAnsi="Times New Roman"/>
                <w:color w:val="000000"/>
                <w:sz w:val="18"/>
                <w:szCs w:val="18"/>
                <w:lang w:eastAsia="sk-SK"/>
              </w:rPr>
            </w:pPr>
            <w:r w:rsidRPr="008947B4">
              <w:rPr>
                <w:rFonts w:ascii="Times New Roman" w:hAnsi="Times New Roman"/>
                <w:color w:val="000000"/>
                <w:sz w:val="18"/>
                <w:szCs w:val="18"/>
                <w:lang w:eastAsia="sk-SK"/>
              </w:rPr>
              <w:t>45 267</w:t>
            </w:r>
          </w:p>
        </w:tc>
        <w:tc>
          <w:tcPr>
            <w:tcW w:w="731" w:type="pct"/>
            <w:tcBorders>
              <w:top w:val="nil"/>
              <w:left w:val="nil"/>
              <w:bottom w:val="nil"/>
              <w:right w:val="nil"/>
            </w:tcBorders>
            <w:vAlign w:val="center"/>
            <w:hideMark/>
          </w:tcPr>
          <w:p w14:paraId="6FA1768C" w14:textId="77777777" w:rsidR="008947B4" w:rsidRPr="008947B4" w:rsidRDefault="008947B4" w:rsidP="008947B4">
            <w:pPr>
              <w:spacing w:after="0" w:line="240" w:lineRule="auto"/>
              <w:jc w:val="right"/>
              <w:rPr>
                <w:rFonts w:ascii="Times New Roman" w:hAnsi="Times New Roman"/>
                <w:color w:val="000000"/>
                <w:sz w:val="18"/>
                <w:szCs w:val="18"/>
                <w:lang w:eastAsia="sk-SK"/>
              </w:rPr>
            </w:pPr>
            <w:r w:rsidRPr="008947B4">
              <w:rPr>
                <w:rFonts w:ascii="Times New Roman" w:hAnsi="Times New Roman"/>
                <w:color w:val="000000"/>
                <w:sz w:val="18"/>
                <w:szCs w:val="18"/>
                <w:lang w:eastAsia="sk-SK"/>
              </w:rPr>
              <w:t>-6 548</w:t>
            </w:r>
          </w:p>
        </w:tc>
      </w:tr>
      <w:tr w:rsidR="008947B4" w:rsidRPr="008947B4" w14:paraId="388B31B6" w14:textId="77777777" w:rsidTr="0085799C">
        <w:trPr>
          <w:trHeight w:val="227"/>
          <w:jc w:val="center"/>
        </w:trPr>
        <w:tc>
          <w:tcPr>
            <w:tcW w:w="2808" w:type="pct"/>
            <w:tcBorders>
              <w:top w:val="nil"/>
              <w:left w:val="nil"/>
              <w:bottom w:val="nil"/>
              <w:right w:val="nil"/>
            </w:tcBorders>
            <w:vAlign w:val="center"/>
            <w:hideMark/>
          </w:tcPr>
          <w:p w14:paraId="64D7F4A1" w14:textId="77777777" w:rsidR="008947B4" w:rsidRPr="008947B4" w:rsidRDefault="008947B4" w:rsidP="008947B4">
            <w:pPr>
              <w:spacing w:after="0" w:line="240" w:lineRule="auto"/>
              <w:rPr>
                <w:rFonts w:ascii="Times New Roman" w:hAnsi="Times New Roman"/>
                <w:color w:val="000000"/>
                <w:sz w:val="18"/>
                <w:szCs w:val="18"/>
                <w:lang w:eastAsia="sk-SK"/>
              </w:rPr>
            </w:pPr>
            <w:r w:rsidRPr="008947B4">
              <w:rPr>
                <w:rFonts w:ascii="Times New Roman" w:hAnsi="Times New Roman"/>
                <w:color w:val="000000"/>
                <w:sz w:val="18"/>
                <w:szCs w:val="18"/>
                <w:lang w:eastAsia="sk-SK"/>
              </w:rPr>
              <w:t xml:space="preserve">Rezerva na </w:t>
            </w:r>
            <w:proofErr w:type="spellStart"/>
            <w:r w:rsidRPr="008947B4">
              <w:rPr>
                <w:rFonts w:ascii="Times New Roman" w:hAnsi="Times New Roman"/>
                <w:color w:val="000000"/>
                <w:sz w:val="18"/>
                <w:szCs w:val="18"/>
                <w:lang w:eastAsia="sk-SK"/>
              </w:rPr>
              <w:t>pestovnú</w:t>
            </w:r>
            <w:proofErr w:type="spellEnd"/>
            <w:r w:rsidRPr="008947B4">
              <w:rPr>
                <w:rFonts w:ascii="Times New Roman" w:hAnsi="Times New Roman"/>
                <w:color w:val="000000"/>
                <w:sz w:val="18"/>
                <w:szCs w:val="18"/>
                <w:lang w:eastAsia="sk-SK"/>
              </w:rPr>
              <w:t xml:space="preserve"> činnosť*</w:t>
            </w:r>
          </w:p>
        </w:tc>
        <w:tc>
          <w:tcPr>
            <w:tcW w:w="731" w:type="pct"/>
            <w:tcBorders>
              <w:top w:val="nil"/>
              <w:left w:val="nil"/>
              <w:bottom w:val="nil"/>
              <w:right w:val="nil"/>
            </w:tcBorders>
            <w:vAlign w:val="center"/>
            <w:hideMark/>
          </w:tcPr>
          <w:p w14:paraId="4BD0BB53" w14:textId="77777777" w:rsidR="008947B4" w:rsidRPr="008947B4" w:rsidRDefault="008947B4" w:rsidP="008947B4">
            <w:pPr>
              <w:spacing w:after="0" w:line="240" w:lineRule="auto"/>
              <w:jc w:val="right"/>
              <w:rPr>
                <w:rFonts w:ascii="Times New Roman" w:hAnsi="Times New Roman"/>
                <w:color w:val="000000"/>
                <w:sz w:val="18"/>
                <w:szCs w:val="18"/>
                <w:lang w:eastAsia="sk-SK"/>
              </w:rPr>
            </w:pPr>
            <w:r w:rsidRPr="008947B4">
              <w:rPr>
                <w:rFonts w:ascii="Times New Roman" w:hAnsi="Times New Roman"/>
                <w:color w:val="000000"/>
                <w:sz w:val="18"/>
                <w:szCs w:val="18"/>
                <w:lang w:eastAsia="sk-SK"/>
              </w:rPr>
              <w:t>12 629</w:t>
            </w:r>
          </w:p>
        </w:tc>
        <w:tc>
          <w:tcPr>
            <w:tcW w:w="731" w:type="pct"/>
            <w:tcBorders>
              <w:top w:val="nil"/>
              <w:left w:val="nil"/>
              <w:bottom w:val="nil"/>
              <w:right w:val="nil"/>
            </w:tcBorders>
            <w:vAlign w:val="center"/>
            <w:hideMark/>
          </w:tcPr>
          <w:p w14:paraId="21AF3C24" w14:textId="77777777" w:rsidR="008947B4" w:rsidRPr="008947B4" w:rsidRDefault="008947B4" w:rsidP="008947B4">
            <w:pPr>
              <w:spacing w:after="0" w:line="240" w:lineRule="auto"/>
              <w:jc w:val="right"/>
              <w:rPr>
                <w:rFonts w:ascii="Times New Roman" w:hAnsi="Times New Roman"/>
                <w:color w:val="000000"/>
                <w:sz w:val="18"/>
                <w:szCs w:val="18"/>
                <w:lang w:eastAsia="sk-SK"/>
              </w:rPr>
            </w:pPr>
            <w:r w:rsidRPr="008947B4">
              <w:rPr>
                <w:rFonts w:ascii="Times New Roman" w:hAnsi="Times New Roman"/>
                <w:color w:val="000000"/>
                <w:sz w:val="18"/>
                <w:szCs w:val="18"/>
                <w:lang w:eastAsia="sk-SK"/>
              </w:rPr>
              <w:t>9 041</w:t>
            </w:r>
          </w:p>
        </w:tc>
        <w:tc>
          <w:tcPr>
            <w:tcW w:w="731" w:type="pct"/>
            <w:tcBorders>
              <w:top w:val="nil"/>
              <w:left w:val="nil"/>
              <w:bottom w:val="nil"/>
              <w:right w:val="nil"/>
            </w:tcBorders>
            <w:vAlign w:val="center"/>
            <w:hideMark/>
          </w:tcPr>
          <w:p w14:paraId="5AA2F483" w14:textId="77777777" w:rsidR="008947B4" w:rsidRPr="008947B4" w:rsidRDefault="008947B4" w:rsidP="008947B4">
            <w:pPr>
              <w:spacing w:after="0" w:line="240" w:lineRule="auto"/>
              <w:jc w:val="right"/>
              <w:rPr>
                <w:rFonts w:ascii="Times New Roman" w:hAnsi="Times New Roman"/>
                <w:color w:val="000000"/>
                <w:sz w:val="18"/>
                <w:szCs w:val="18"/>
                <w:lang w:eastAsia="sk-SK"/>
              </w:rPr>
            </w:pPr>
            <w:r w:rsidRPr="008947B4">
              <w:rPr>
                <w:rFonts w:ascii="Times New Roman" w:hAnsi="Times New Roman"/>
                <w:color w:val="000000"/>
                <w:sz w:val="18"/>
                <w:szCs w:val="18"/>
                <w:lang w:eastAsia="sk-SK"/>
              </w:rPr>
              <w:t>3 588</w:t>
            </w:r>
          </w:p>
        </w:tc>
      </w:tr>
      <w:tr w:rsidR="008947B4" w:rsidRPr="008947B4" w14:paraId="2D789B03" w14:textId="77777777" w:rsidTr="0085799C">
        <w:trPr>
          <w:trHeight w:val="227"/>
          <w:jc w:val="center"/>
        </w:trPr>
        <w:tc>
          <w:tcPr>
            <w:tcW w:w="2808" w:type="pct"/>
            <w:tcBorders>
              <w:top w:val="nil"/>
              <w:left w:val="nil"/>
              <w:bottom w:val="single" w:sz="8" w:space="0" w:color="auto"/>
              <w:right w:val="nil"/>
            </w:tcBorders>
            <w:vAlign w:val="center"/>
            <w:hideMark/>
          </w:tcPr>
          <w:p w14:paraId="4EFEF114" w14:textId="77777777" w:rsidR="008947B4" w:rsidRPr="008947B4" w:rsidRDefault="008947B4" w:rsidP="008947B4">
            <w:pPr>
              <w:spacing w:after="0" w:line="240" w:lineRule="auto"/>
              <w:rPr>
                <w:rFonts w:ascii="Times New Roman" w:hAnsi="Times New Roman"/>
                <w:color w:val="000000"/>
                <w:sz w:val="18"/>
                <w:szCs w:val="18"/>
                <w:lang w:eastAsia="sk-SK"/>
              </w:rPr>
            </w:pPr>
            <w:r w:rsidRPr="008947B4">
              <w:rPr>
                <w:rFonts w:ascii="Times New Roman" w:hAnsi="Times New Roman"/>
                <w:color w:val="000000"/>
                <w:sz w:val="18"/>
                <w:szCs w:val="18"/>
                <w:lang w:eastAsia="sk-SK"/>
              </w:rPr>
              <w:t>Ostatné</w:t>
            </w:r>
          </w:p>
        </w:tc>
        <w:tc>
          <w:tcPr>
            <w:tcW w:w="731" w:type="pct"/>
            <w:tcBorders>
              <w:top w:val="nil"/>
              <w:left w:val="nil"/>
              <w:bottom w:val="single" w:sz="8" w:space="0" w:color="auto"/>
              <w:right w:val="nil"/>
            </w:tcBorders>
            <w:vAlign w:val="center"/>
            <w:hideMark/>
          </w:tcPr>
          <w:p w14:paraId="25735D91" w14:textId="77777777" w:rsidR="008947B4" w:rsidRPr="008947B4" w:rsidRDefault="008947B4" w:rsidP="008947B4">
            <w:pPr>
              <w:spacing w:after="0" w:line="240" w:lineRule="auto"/>
              <w:jc w:val="right"/>
              <w:rPr>
                <w:rFonts w:ascii="Times New Roman" w:hAnsi="Times New Roman"/>
                <w:color w:val="000000"/>
                <w:sz w:val="18"/>
                <w:szCs w:val="18"/>
                <w:lang w:eastAsia="sk-SK"/>
              </w:rPr>
            </w:pPr>
            <w:r w:rsidRPr="008947B4">
              <w:rPr>
                <w:rFonts w:ascii="Times New Roman" w:hAnsi="Times New Roman"/>
                <w:color w:val="000000"/>
                <w:sz w:val="18"/>
                <w:szCs w:val="18"/>
                <w:lang w:eastAsia="sk-SK"/>
              </w:rPr>
              <w:t>304 835</w:t>
            </w:r>
          </w:p>
        </w:tc>
        <w:tc>
          <w:tcPr>
            <w:tcW w:w="731" w:type="pct"/>
            <w:tcBorders>
              <w:top w:val="nil"/>
              <w:left w:val="nil"/>
              <w:bottom w:val="single" w:sz="8" w:space="0" w:color="auto"/>
              <w:right w:val="nil"/>
            </w:tcBorders>
            <w:vAlign w:val="center"/>
            <w:hideMark/>
          </w:tcPr>
          <w:p w14:paraId="55D93A39" w14:textId="77777777" w:rsidR="008947B4" w:rsidRPr="008947B4" w:rsidRDefault="008947B4" w:rsidP="008947B4">
            <w:pPr>
              <w:spacing w:after="0" w:line="240" w:lineRule="auto"/>
              <w:jc w:val="right"/>
              <w:rPr>
                <w:rFonts w:ascii="Times New Roman" w:hAnsi="Times New Roman"/>
                <w:color w:val="000000"/>
                <w:sz w:val="18"/>
                <w:szCs w:val="18"/>
                <w:lang w:eastAsia="sk-SK"/>
              </w:rPr>
            </w:pPr>
            <w:r w:rsidRPr="008947B4">
              <w:rPr>
                <w:rFonts w:ascii="Times New Roman" w:hAnsi="Times New Roman"/>
                <w:color w:val="000000"/>
                <w:sz w:val="18"/>
                <w:szCs w:val="18"/>
                <w:lang w:eastAsia="sk-SK"/>
              </w:rPr>
              <w:t>348 955</w:t>
            </w:r>
          </w:p>
        </w:tc>
        <w:tc>
          <w:tcPr>
            <w:tcW w:w="731" w:type="pct"/>
            <w:tcBorders>
              <w:top w:val="nil"/>
              <w:left w:val="nil"/>
              <w:bottom w:val="nil"/>
              <w:right w:val="nil"/>
            </w:tcBorders>
            <w:vAlign w:val="center"/>
            <w:hideMark/>
          </w:tcPr>
          <w:p w14:paraId="099B7F8B" w14:textId="77777777" w:rsidR="008947B4" w:rsidRPr="008947B4" w:rsidRDefault="008947B4" w:rsidP="008947B4">
            <w:pPr>
              <w:spacing w:after="0" w:line="240" w:lineRule="auto"/>
              <w:jc w:val="right"/>
              <w:rPr>
                <w:rFonts w:ascii="Times New Roman" w:hAnsi="Times New Roman"/>
                <w:color w:val="000000"/>
                <w:sz w:val="18"/>
                <w:szCs w:val="18"/>
                <w:lang w:eastAsia="sk-SK"/>
              </w:rPr>
            </w:pPr>
            <w:r w:rsidRPr="008947B4">
              <w:rPr>
                <w:rFonts w:ascii="Times New Roman" w:hAnsi="Times New Roman"/>
                <w:color w:val="000000"/>
                <w:sz w:val="18"/>
                <w:szCs w:val="18"/>
                <w:lang w:eastAsia="sk-SK"/>
              </w:rPr>
              <w:t>-44 120</w:t>
            </w:r>
          </w:p>
        </w:tc>
      </w:tr>
      <w:tr w:rsidR="008947B4" w:rsidRPr="008947B4" w14:paraId="44C96E74" w14:textId="77777777" w:rsidTr="0085799C">
        <w:trPr>
          <w:trHeight w:val="227"/>
          <w:jc w:val="center"/>
        </w:trPr>
        <w:tc>
          <w:tcPr>
            <w:tcW w:w="2808" w:type="pct"/>
            <w:tcBorders>
              <w:top w:val="nil"/>
              <w:left w:val="nil"/>
              <w:bottom w:val="single" w:sz="8" w:space="0" w:color="000000"/>
              <w:right w:val="nil"/>
            </w:tcBorders>
            <w:vAlign w:val="center"/>
            <w:hideMark/>
          </w:tcPr>
          <w:p w14:paraId="06DF9FAE" w14:textId="77777777" w:rsidR="008947B4" w:rsidRPr="008947B4" w:rsidRDefault="008947B4" w:rsidP="008947B4">
            <w:pPr>
              <w:spacing w:after="0" w:line="240" w:lineRule="auto"/>
              <w:rPr>
                <w:rFonts w:ascii="Times New Roman" w:hAnsi="Times New Roman"/>
                <w:b/>
                <w:bCs/>
                <w:color w:val="000000"/>
                <w:sz w:val="18"/>
                <w:szCs w:val="18"/>
                <w:lang w:eastAsia="sk-SK"/>
              </w:rPr>
            </w:pPr>
            <w:r w:rsidRPr="008947B4">
              <w:rPr>
                <w:rFonts w:ascii="Times New Roman" w:hAnsi="Times New Roman"/>
                <w:b/>
                <w:bCs/>
                <w:color w:val="000000"/>
                <w:sz w:val="18"/>
                <w:szCs w:val="18"/>
                <w:lang w:eastAsia="sk-SK"/>
              </w:rPr>
              <w:t>Spolu</w:t>
            </w:r>
          </w:p>
        </w:tc>
        <w:tc>
          <w:tcPr>
            <w:tcW w:w="731" w:type="pct"/>
            <w:tcBorders>
              <w:top w:val="nil"/>
              <w:left w:val="nil"/>
              <w:bottom w:val="single" w:sz="8" w:space="0" w:color="auto"/>
              <w:right w:val="nil"/>
            </w:tcBorders>
            <w:vAlign w:val="center"/>
            <w:hideMark/>
          </w:tcPr>
          <w:p w14:paraId="4BFD84AB" w14:textId="77777777" w:rsidR="008947B4" w:rsidRPr="008947B4" w:rsidRDefault="008947B4" w:rsidP="008947B4">
            <w:pPr>
              <w:spacing w:after="0" w:line="240" w:lineRule="auto"/>
              <w:jc w:val="right"/>
              <w:rPr>
                <w:rFonts w:ascii="Times New Roman" w:hAnsi="Times New Roman"/>
                <w:b/>
                <w:bCs/>
                <w:color w:val="000000"/>
                <w:sz w:val="18"/>
                <w:szCs w:val="18"/>
                <w:lang w:eastAsia="sk-SK"/>
              </w:rPr>
            </w:pPr>
            <w:r w:rsidRPr="008947B4">
              <w:rPr>
                <w:rFonts w:ascii="Times New Roman" w:hAnsi="Times New Roman"/>
                <w:b/>
                <w:bCs/>
                <w:color w:val="000000"/>
                <w:sz w:val="18"/>
                <w:szCs w:val="18"/>
                <w:lang w:eastAsia="sk-SK"/>
              </w:rPr>
              <w:t>25 731 849</w:t>
            </w:r>
          </w:p>
        </w:tc>
        <w:tc>
          <w:tcPr>
            <w:tcW w:w="731" w:type="pct"/>
            <w:tcBorders>
              <w:top w:val="nil"/>
              <w:left w:val="nil"/>
              <w:bottom w:val="single" w:sz="8" w:space="0" w:color="auto"/>
              <w:right w:val="nil"/>
            </w:tcBorders>
            <w:vAlign w:val="center"/>
            <w:hideMark/>
          </w:tcPr>
          <w:p w14:paraId="57D75F46" w14:textId="77777777" w:rsidR="008947B4" w:rsidRPr="008947B4" w:rsidRDefault="008947B4" w:rsidP="008947B4">
            <w:pPr>
              <w:spacing w:after="0" w:line="240" w:lineRule="auto"/>
              <w:jc w:val="right"/>
              <w:rPr>
                <w:rFonts w:ascii="Times New Roman" w:hAnsi="Times New Roman"/>
                <w:b/>
                <w:bCs/>
                <w:color w:val="000000"/>
                <w:sz w:val="18"/>
                <w:szCs w:val="18"/>
                <w:lang w:eastAsia="sk-SK"/>
              </w:rPr>
            </w:pPr>
            <w:r w:rsidRPr="008947B4">
              <w:rPr>
                <w:rFonts w:ascii="Times New Roman" w:hAnsi="Times New Roman"/>
                <w:b/>
                <w:bCs/>
                <w:color w:val="000000"/>
                <w:sz w:val="18"/>
                <w:szCs w:val="18"/>
                <w:lang w:eastAsia="sk-SK"/>
              </w:rPr>
              <w:t>26 447 382</w:t>
            </w:r>
          </w:p>
        </w:tc>
        <w:tc>
          <w:tcPr>
            <w:tcW w:w="731" w:type="pct"/>
            <w:tcBorders>
              <w:top w:val="single" w:sz="8" w:space="0" w:color="000000"/>
              <w:left w:val="nil"/>
              <w:bottom w:val="single" w:sz="8" w:space="0" w:color="000000"/>
              <w:right w:val="nil"/>
            </w:tcBorders>
            <w:vAlign w:val="center"/>
            <w:hideMark/>
          </w:tcPr>
          <w:p w14:paraId="7C6EE162" w14:textId="77777777" w:rsidR="008947B4" w:rsidRPr="008947B4" w:rsidRDefault="008947B4" w:rsidP="008947B4">
            <w:pPr>
              <w:spacing w:after="0" w:line="240" w:lineRule="auto"/>
              <w:jc w:val="right"/>
              <w:rPr>
                <w:rFonts w:ascii="Times New Roman" w:hAnsi="Times New Roman"/>
                <w:b/>
                <w:bCs/>
                <w:color w:val="000000"/>
                <w:sz w:val="18"/>
                <w:szCs w:val="18"/>
                <w:lang w:eastAsia="sk-SK"/>
              </w:rPr>
            </w:pPr>
            <w:r w:rsidRPr="008947B4">
              <w:rPr>
                <w:rFonts w:ascii="Times New Roman" w:hAnsi="Times New Roman"/>
                <w:b/>
                <w:bCs/>
                <w:color w:val="000000"/>
                <w:sz w:val="18"/>
                <w:szCs w:val="18"/>
                <w:lang w:eastAsia="sk-SK"/>
              </w:rPr>
              <w:t>-715 533</w:t>
            </w:r>
          </w:p>
        </w:tc>
      </w:tr>
      <w:tr w:rsidR="008947B4" w:rsidRPr="008947B4" w14:paraId="3B110A15" w14:textId="77777777" w:rsidTr="0085799C">
        <w:trPr>
          <w:trHeight w:val="227"/>
          <w:jc w:val="center"/>
        </w:trPr>
        <w:tc>
          <w:tcPr>
            <w:tcW w:w="5000" w:type="pct"/>
            <w:gridSpan w:val="4"/>
            <w:tcBorders>
              <w:top w:val="nil"/>
              <w:left w:val="nil"/>
              <w:bottom w:val="nil"/>
              <w:right w:val="nil"/>
            </w:tcBorders>
            <w:noWrap/>
            <w:vAlign w:val="center"/>
            <w:hideMark/>
          </w:tcPr>
          <w:p w14:paraId="7E9F29BC" w14:textId="77777777" w:rsidR="008947B4" w:rsidRPr="008947B4" w:rsidRDefault="008947B4" w:rsidP="008947B4">
            <w:pPr>
              <w:spacing w:after="0" w:line="240" w:lineRule="auto"/>
              <w:rPr>
                <w:rFonts w:ascii="Times New Roman" w:hAnsi="Times New Roman"/>
                <w:color w:val="000000"/>
                <w:sz w:val="16"/>
                <w:szCs w:val="16"/>
                <w:lang w:eastAsia="sk-SK"/>
              </w:rPr>
            </w:pPr>
            <w:r w:rsidRPr="008947B4">
              <w:rPr>
                <w:rFonts w:ascii="Times New Roman" w:hAnsi="Times New Roman"/>
                <w:color w:val="000000"/>
                <w:sz w:val="16"/>
                <w:szCs w:val="16"/>
                <w:lang w:eastAsia="sk-SK"/>
              </w:rPr>
              <w:t>* Za ústrednú správu, VUC a vybrané subjekty                                                                 Zdroj: MF SR, Centrálny konsolidačný systém</w:t>
            </w:r>
          </w:p>
        </w:tc>
      </w:tr>
    </w:tbl>
    <w:p w14:paraId="15B30969" w14:textId="77777777" w:rsidR="00C07B08" w:rsidRPr="0085799C" w:rsidRDefault="00C07B08" w:rsidP="0085799C">
      <w:pPr>
        <w:spacing w:after="120" w:line="240" w:lineRule="auto"/>
        <w:rPr>
          <w:rFonts w:eastAsiaTheme="majorEastAsia"/>
          <w:b/>
        </w:rPr>
      </w:pPr>
    </w:p>
    <w:p w14:paraId="1C241E2F" w14:textId="1C3A9B00" w:rsidR="00C07B08" w:rsidRDefault="003E720D" w:rsidP="0085799C">
      <w:pPr>
        <w:pStyle w:val="Nadpis4"/>
        <w:numPr>
          <w:ilvl w:val="0"/>
          <w:numId w:val="54"/>
        </w:numPr>
        <w:ind w:left="426" w:hanging="426"/>
        <w:rPr>
          <w:b w:val="0"/>
          <w:szCs w:val="22"/>
        </w:rPr>
      </w:pPr>
      <w:bookmarkStart w:id="43" w:name="_Zamestnanecké_požitky_štátnych"/>
      <w:bookmarkEnd w:id="43"/>
      <w:r>
        <w:t>Zamestnanecké požitky štátnych rozpočtových a príspevkových organizácií</w:t>
      </w:r>
    </w:p>
    <w:p w14:paraId="3DC8E67C" w14:textId="78EFCF0B" w:rsidR="00647542" w:rsidRPr="006444AD" w:rsidRDefault="00647542" w:rsidP="009E3C89">
      <w:pPr>
        <w:pStyle w:val="Pismenka"/>
        <w:tabs>
          <w:tab w:val="clear" w:pos="426"/>
        </w:tabs>
        <w:spacing w:after="120"/>
        <w:ind w:left="0" w:firstLine="0"/>
        <w:rPr>
          <w:b w:val="0"/>
          <w:sz w:val="22"/>
          <w:szCs w:val="22"/>
        </w:rPr>
      </w:pPr>
      <w:r w:rsidRPr="006444AD">
        <w:rPr>
          <w:b w:val="0"/>
          <w:sz w:val="22"/>
          <w:szCs w:val="22"/>
        </w:rPr>
        <w:t>Ministerstvo</w:t>
      </w:r>
      <w:r w:rsidR="00552C49" w:rsidRPr="006444AD">
        <w:rPr>
          <w:b w:val="0"/>
          <w:sz w:val="22"/>
          <w:szCs w:val="22"/>
        </w:rPr>
        <w:t xml:space="preserve"> financií SR</w:t>
      </w:r>
      <w:r w:rsidRPr="006444AD">
        <w:rPr>
          <w:b w:val="0"/>
          <w:sz w:val="22"/>
          <w:szCs w:val="22"/>
        </w:rPr>
        <w:t xml:space="preserve"> tvorí rezervu na zamestnanecké požitky za všetky rozpočtové a príspevkové organizácie ústrednej správy. Na výpočet rezervy majú vplyv najmä ustanovenia kolektívnej zmluvy vyššieho stupňa v štátnej službe</w:t>
      </w:r>
      <w:r w:rsidRPr="006444AD">
        <w:rPr>
          <w:rStyle w:val="Odkaznapoznmkupodiarou"/>
          <w:b w:val="0"/>
          <w:sz w:val="22"/>
          <w:szCs w:val="22"/>
        </w:rPr>
        <w:footnoteReference w:id="4"/>
      </w:r>
      <w:r w:rsidRPr="006444AD">
        <w:rPr>
          <w:b w:val="0"/>
          <w:sz w:val="22"/>
          <w:szCs w:val="22"/>
        </w:rPr>
        <w:t xml:space="preserve">, ustanovenie príslušnej legislatívy a jej zmeny, ako aj počet zamestnancov, počet odpracovaných rokov v organizácii a podobne. Ďalšími faktormi sú demografické premenné (miera úmrtnosti) a ekonomické premenné vstupujúce do expertného odhadu. Ide napríklad o infláciu meranú indexom CPI (index rastu spotrebiteľských cien) a rast miezd určené v dokumente Strednodobá predikcia P1Q-2024 základných makroekonomických ukazovateľov Národnej banky </w:t>
      </w:r>
      <w:r w:rsidRPr="006444AD">
        <w:rPr>
          <w:b w:val="0"/>
          <w:sz w:val="22"/>
          <w:szCs w:val="22"/>
        </w:rPr>
        <w:lastRenderedPageBreak/>
        <w:t>Slovenska a diskontnú sadzbu určenú z odhadovanej výnosovej krivky bezrizikových štátnych dlhopisov s dobou splatnosti 15 rokov. Diskontnou sadzbou sa určí súčasná hodnota budúcich nákladov na zamestnanecké požitky.</w:t>
      </w:r>
    </w:p>
    <w:p w14:paraId="0DC02B22" w14:textId="0B52793B" w:rsidR="00F32FC3" w:rsidRDefault="00367A55" w:rsidP="009E3C89">
      <w:pPr>
        <w:spacing w:after="120" w:line="240" w:lineRule="auto"/>
        <w:jc w:val="both"/>
        <w:rPr>
          <w:rFonts w:ascii="Times New Roman" w:hAnsi="Times New Roman"/>
        </w:rPr>
      </w:pPr>
      <w:r w:rsidRPr="0085799C">
        <w:rPr>
          <w:rFonts w:ascii="Times New Roman" w:hAnsi="Times New Roman"/>
          <w:bCs/>
        </w:rPr>
        <w:t>Pri výpočte za rok 2024 boli aktualizované parametre (diskontná sadzba, rast miezd, inflácia) a taktiež vstupné dáta (počet zamestnancov, priemerná mzda, priemerný počet odpracovaných rokov, výška benefitu, typ benefitu a fluktuácia).</w:t>
      </w:r>
      <w:r w:rsidR="0061131E">
        <w:rPr>
          <w:rFonts w:ascii="Times New Roman" w:hAnsi="Times New Roman"/>
          <w:bCs/>
        </w:rPr>
        <w:t xml:space="preserve"> </w:t>
      </w:r>
      <w:r w:rsidR="008D29D8" w:rsidRPr="0085799C">
        <w:rPr>
          <w:rFonts w:ascii="Times New Roman" w:hAnsi="Times New Roman"/>
        </w:rPr>
        <w:t>Na celkovej výške rezervy na zamestnanecké požitky (23 490 144 </w:t>
      </w:r>
      <w:r w:rsidR="00272991" w:rsidRPr="0085799C">
        <w:rPr>
          <w:rFonts w:ascii="Times New Roman" w:hAnsi="Times New Roman"/>
        </w:rPr>
        <w:t>tis.</w:t>
      </w:r>
      <w:r w:rsidR="008D29D8" w:rsidRPr="0085799C">
        <w:rPr>
          <w:rFonts w:ascii="Times New Roman" w:hAnsi="Times New Roman"/>
        </w:rPr>
        <w:t> eur) sa v rozhodujúcej miere podieľajú rezervy vytvorené za príslušníkov silových rezortov (potenciálnych budúcich poberateľov výsluhových dávok, dôchodcov, vdovy, vdovcov, siroty) ako sú Ministerstvo vnútra SR, Ministerstvo obrany SR, Ministerstvo financií SR, Ministerstvo spravodlivosti SR a Národný bezpečnostný úrad, a to konkrétne na budúce výsluhové dôchodky súčasných zamestnancov, ale aj výsluhové dôchodky pre súčasných dôchodcov, súčasné siroty a vdovy v celkovej sume 22 755 88</w:t>
      </w:r>
      <w:r w:rsidR="00272991" w:rsidRPr="0085799C">
        <w:rPr>
          <w:rFonts w:ascii="Times New Roman" w:hAnsi="Times New Roman"/>
        </w:rPr>
        <w:t>8 tis.</w:t>
      </w:r>
      <w:r w:rsidR="008D29D8" w:rsidRPr="0085799C">
        <w:rPr>
          <w:rFonts w:ascii="Times New Roman" w:hAnsi="Times New Roman"/>
        </w:rPr>
        <w:t> eur (97 % z celkovej rezervy na zamestnanecké požitky).</w:t>
      </w:r>
      <w:r w:rsidR="0061131E">
        <w:rPr>
          <w:rFonts w:ascii="Times New Roman" w:hAnsi="Times New Roman"/>
        </w:rPr>
        <w:t xml:space="preserve"> </w:t>
      </w:r>
      <w:r w:rsidR="008D29D8" w:rsidRPr="0085799C">
        <w:rPr>
          <w:rFonts w:ascii="Times New Roman" w:hAnsi="Times New Roman"/>
        </w:rPr>
        <w:t>Z vyššie uvedenej hodnoty, rezerva pre potenciálnych budúcich poberateľov výsluhových dávok predstavuje výšku 7 194 589 </w:t>
      </w:r>
      <w:r w:rsidR="00272991" w:rsidRPr="0085799C">
        <w:rPr>
          <w:rFonts w:ascii="Times New Roman" w:hAnsi="Times New Roman"/>
        </w:rPr>
        <w:t>tis.</w:t>
      </w:r>
      <w:r w:rsidR="008D29D8" w:rsidRPr="0085799C">
        <w:rPr>
          <w:rFonts w:ascii="Times New Roman" w:hAnsi="Times New Roman"/>
        </w:rPr>
        <w:t> eur a pre súčasných poberateľov - dôchodcov, vdovy, vdovcov a siroty predstavuje výšku 15 519 54</w:t>
      </w:r>
      <w:r w:rsidR="00272991" w:rsidRPr="0085799C">
        <w:rPr>
          <w:rFonts w:ascii="Times New Roman" w:hAnsi="Times New Roman"/>
        </w:rPr>
        <w:t>5</w:t>
      </w:r>
      <w:r w:rsidR="008D29D8" w:rsidRPr="0085799C">
        <w:rPr>
          <w:rFonts w:ascii="Times New Roman" w:hAnsi="Times New Roman"/>
        </w:rPr>
        <w:t> </w:t>
      </w:r>
      <w:r w:rsidR="00272991" w:rsidRPr="0085799C">
        <w:rPr>
          <w:rFonts w:ascii="Times New Roman" w:hAnsi="Times New Roman"/>
        </w:rPr>
        <w:t>tis.</w:t>
      </w:r>
      <w:r w:rsidR="008D29D8" w:rsidRPr="0085799C">
        <w:rPr>
          <w:rFonts w:ascii="Times New Roman" w:hAnsi="Times New Roman"/>
        </w:rPr>
        <w:t> eur a z toho rezerva pre samotných dôchodcov predstavuje hodnotu 14 877 25</w:t>
      </w:r>
      <w:r w:rsidR="00272991" w:rsidRPr="0085799C">
        <w:rPr>
          <w:rFonts w:ascii="Times New Roman" w:hAnsi="Times New Roman"/>
        </w:rPr>
        <w:t>2</w:t>
      </w:r>
      <w:r w:rsidR="008D29D8" w:rsidRPr="0085799C">
        <w:rPr>
          <w:rFonts w:ascii="Times New Roman" w:hAnsi="Times New Roman"/>
        </w:rPr>
        <w:t> </w:t>
      </w:r>
      <w:r w:rsidR="00272991" w:rsidRPr="0085799C">
        <w:rPr>
          <w:rFonts w:ascii="Times New Roman" w:hAnsi="Times New Roman"/>
        </w:rPr>
        <w:t>tis.</w:t>
      </w:r>
      <w:r w:rsidR="008D29D8" w:rsidRPr="0085799C">
        <w:rPr>
          <w:rFonts w:ascii="Times New Roman" w:hAnsi="Times New Roman"/>
        </w:rPr>
        <w:t> eur.</w:t>
      </w:r>
      <w:r w:rsidR="0061131E">
        <w:rPr>
          <w:rFonts w:ascii="Times New Roman" w:hAnsi="Times New Roman"/>
        </w:rPr>
        <w:t xml:space="preserve"> </w:t>
      </w:r>
      <w:r w:rsidR="00C5422A" w:rsidRPr="0085799C">
        <w:rPr>
          <w:rFonts w:ascii="Times New Roman" w:hAnsi="Times New Roman"/>
        </w:rPr>
        <w:t>Medziročne sa rezerva na zamestnanecké požitky na základe prepočtu expertného odhadu znížila o 326 065 tis. eur, z toho na uvedených 5 silových rezortoch u silových zamestnancov o 336 519 tis. eur. Významný vplyv na zníženie tejto časti rezervy bola zmena predpokladov o raste CPI a miezd. Oproti tomuto efektu pôsobil nárast diskontnej sadzby a aktualizovanie ekonomických predpokladov, ako aj vstupných dát, ktorých vplyv je popísaný nižšie v prípade 2 najvýznamnejších kapitol. V roku 2024 sa predpokladaná hodnota CPI znížila na 4,3 %, 3,1 % a 3,2 % pre budúce obdobia v porovnaní s</w:t>
      </w:r>
      <w:r w:rsidR="00C5422A" w:rsidRPr="0085799C" w:rsidDel="007A3404">
        <w:rPr>
          <w:rFonts w:ascii="Times New Roman" w:hAnsi="Times New Roman"/>
        </w:rPr>
        <w:t xml:space="preserve"> </w:t>
      </w:r>
      <w:r w:rsidR="00C5422A" w:rsidRPr="0085799C">
        <w:rPr>
          <w:rFonts w:ascii="Times New Roman" w:hAnsi="Times New Roman"/>
        </w:rPr>
        <w:t>predpokladmi 3,7 % a 3,6 %, ktoré boli použité v roku 2023. Predpokladaný rast miezd v roku 2024 pre budúce obdobia poklesol na hodnotu 5,0 %, 4,5, % a 4,8 % z hodnoty 5,3 % a 5,1 %, ktoré boli použité ako predpoklady v roku 2023. Hodnota diskontnej sadzby bola k </w:t>
      </w:r>
      <w:r w:rsidR="00F418A2">
        <w:rPr>
          <w:rFonts w:ascii="Times New Roman" w:hAnsi="Times New Roman"/>
        </w:rPr>
        <w:t>31.</w:t>
      </w:r>
      <w:r w:rsidR="00867606">
        <w:rPr>
          <w:rFonts w:ascii="Times New Roman" w:hAnsi="Times New Roman"/>
        </w:rPr>
        <w:t xml:space="preserve"> </w:t>
      </w:r>
      <w:r w:rsidR="00F418A2">
        <w:rPr>
          <w:rFonts w:ascii="Times New Roman" w:hAnsi="Times New Roman"/>
        </w:rPr>
        <w:t>12.</w:t>
      </w:r>
      <w:r w:rsidR="00867606">
        <w:rPr>
          <w:rFonts w:ascii="Times New Roman" w:hAnsi="Times New Roman"/>
        </w:rPr>
        <w:t xml:space="preserve"> </w:t>
      </w:r>
      <w:r w:rsidR="00F418A2">
        <w:rPr>
          <w:rFonts w:ascii="Times New Roman" w:hAnsi="Times New Roman"/>
        </w:rPr>
        <w:t>2024</w:t>
      </w:r>
      <w:r w:rsidR="00C5422A" w:rsidRPr="0085799C">
        <w:rPr>
          <w:rFonts w:ascii="Times New Roman" w:hAnsi="Times New Roman"/>
        </w:rPr>
        <w:t xml:space="preserve"> stanovená na úroveň 3,8 %, pričom k 31.</w:t>
      </w:r>
      <w:r w:rsidR="00867606">
        <w:rPr>
          <w:rFonts w:ascii="Times New Roman" w:hAnsi="Times New Roman"/>
        </w:rPr>
        <w:t xml:space="preserve"> </w:t>
      </w:r>
      <w:r w:rsidR="00C5422A" w:rsidRPr="0085799C">
        <w:rPr>
          <w:rFonts w:ascii="Times New Roman" w:hAnsi="Times New Roman"/>
        </w:rPr>
        <w:t>12.</w:t>
      </w:r>
      <w:r w:rsidR="00867606">
        <w:rPr>
          <w:rFonts w:ascii="Times New Roman" w:hAnsi="Times New Roman"/>
        </w:rPr>
        <w:t xml:space="preserve"> </w:t>
      </w:r>
      <w:r w:rsidR="00C5422A" w:rsidRPr="0085799C">
        <w:rPr>
          <w:rFonts w:ascii="Times New Roman" w:hAnsi="Times New Roman"/>
        </w:rPr>
        <w:t>2023, jej hodnota bola 3,61 %.</w:t>
      </w:r>
      <w:r w:rsidR="002106FD">
        <w:rPr>
          <w:rFonts w:ascii="Times New Roman" w:hAnsi="Times New Roman"/>
        </w:rPr>
        <w:t xml:space="preserve"> </w:t>
      </w:r>
      <w:r w:rsidR="00C5422A" w:rsidRPr="0085799C">
        <w:rPr>
          <w:rFonts w:ascii="Times New Roman" w:hAnsi="Times New Roman"/>
        </w:rPr>
        <w:t>Po prepočítaní parametrov na počet budúcich poberateľov požitkov - aktívnych príslušníkov, vdovských a sirotských dávok, sa najvýznamnejšie na medziročnom poklese rezervy podieľali Ministerstvo obrany SR (-637 111 tis. eur) a Ministerstvo vnútra SR (-1 319 599 tis. eur), ktorých počty príslušníkov (potenciálnych budúcich poberateľov výsluhových dávok) sú vždy najvyššie. Pre Ministerstvo obrany SR sa rezerva rátala na počet nárokov na benefit (počet nárokov sa nerovná počtu príslušníkov vzhľadom k tomu, že príslušník môže mať nárok na viac benefitov) 31 328 (nárast o 225) a pri MV SR na 161 585 nárokov na benefit (pokles o 12 893), pričom za tieto 2 rezorty je rezerva so stavom k </w:t>
      </w:r>
      <w:r w:rsidR="00F418A2">
        <w:rPr>
          <w:rFonts w:ascii="Times New Roman" w:hAnsi="Times New Roman"/>
        </w:rPr>
        <w:t>31.</w:t>
      </w:r>
      <w:r w:rsidR="00867606">
        <w:rPr>
          <w:rFonts w:ascii="Times New Roman" w:hAnsi="Times New Roman"/>
        </w:rPr>
        <w:t xml:space="preserve"> </w:t>
      </w:r>
      <w:r w:rsidR="00F418A2">
        <w:rPr>
          <w:rFonts w:ascii="Times New Roman" w:hAnsi="Times New Roman"/>
        </w:rPr>
        <w:t>12.</w:t>
      </w:r>
      <w:r w:rsidR="00867606">
        <w:rPr>
          <w:rFonts w:ascii="Times New Roman" w:hAnsi="Times New Roman"/>
        </w:rPr>
        <w:t xml:space="preserve"> </w:t>
      </w:r>
      <w:r w:rsidR="00F418A2">
        <w:rPr>
          <w:rFonts w:ascii="Times New Roman" w:hAnsi="Times New Roman"/>
        </w:rPr>
        <w:t>2024</w:t>
      </w:r>
      <w:r w:rsidR="00C5422A" w:rsidRPr="0085799C">
        <w:rPr>
          <w:rFonts w:ascii="Times New Roman" w:hAnsi="Times New Roman"/>
        </w:rPr>
        <w:t xml:space="preserve"> v sume 6 657 598 </w:t>
      </w:r>
      <w:r w:rsidR="00122D34" w:rsidRPr="0085799C">
        <w:rPr>
          <w:rFonts w:ascii="Times New Roman" w:hAnsi="Times New Roman"/>
        </w:rPr>
        <w:t>tis.</w:t>
      </w:r>
      <w:r w:rsidR="00C5422A" w:rsidRPr="0085799C">
        <w:rPr>
          <w:rFonts w:ascii="Times New Roman" w:hAnsi="Times New Roman"/>
        </w:rPr>
        <w:t> eur (2023: 8 614 309 </w:t>
      </w:r>
      <w:r w:rsidR="00122D34" w:rsidRPr="0085799C">
        <w:rPr>
          <w:rFonts w:ascii="Times New Roman" w:hAnsi="Times New Roman"/>
        </w:rPr>
        <w:t>tis.</w:t>
      </w:r>
      <w:r w:rsidR="00C5422A" w:rsidRPr="0085799C">
        <w:rPr>
          <w:rFonts w:ascii="Times New Roman" w:hAnsi="Times New Roman"/>
        </w:rPr>
        <w:t> eur).</w:t>
      </w:r>
      <w:r w:rsidR="006247EE">
        <w:rPr>
          <w:rFonts w:ascii="Times New Roman" w:hAnsi="Times New Roman"/>
        </w:rPr>
        <w:t xml:space="preserve"> </w:t>
      </w:r>
      <w:r w:rsidR="00C5422A" w:rsidRPr="0085799C">
        <w:rPr>
          <w:rFonts w:ascii="Times New Roman" w:hAnsi="Times New Roman"/>
        </w:rPr>
        <w:t>Medziročná zmena pri týchto dvoch silových kapitolách pokles rezervy o 1 956 71</w:t>
      </w:r>
      <w:r w:rsidR="00122D34" w:rsidRPr="0085799C">
        <w:rPr>
          <w:rFonts w:ascii="Times New Roman" w:hAnsi="Times New Roman"/>
        </w:rPr>
        <w:t>1</w:t>
      </w:r>
      <w:r w:rsidR="00C5422A" w:rsidRPr="0085799C">
        <w:rPr>
          <w:rFonts w:ascii="Times New Roman" w:hAnsi="Times New Roman"/>
        </w:rPr>
        <w:t> </w:t>
      </w:r>
      <w:r w:rsidR="00122D34" w:rsidRPr="0085799C">
        <w:rPr>
          <w:rFonts w:ascii="Times New Roman" w:hAnsi="Times New Roman"/>
        </w:rPr>
        <w:t>tis.</w:t>
      </w:r>
      <w:r w:rsidR="00C5422A" w:rsidRPr="0085799C">
        <w:rPr>
          <w:rFonts w:ascii="Times New Roman" w:hAnsi="Times New Roman"/>
        </w:rPr>
        <w:t> eur bola spôsobená najmä znížením počtu nárokov na benefit o 12 668, pri miernom pok</w:t>
      </w:r>
      <w:r w:rsidR="00BD0DA9">
        <w:rPr>
          <w:rFonts w:ascii="Times New Roman" w:hAnsi="Times New Roman"/>
        </w:rPr>
        <w:t>l</w:t>
      </w:r>
      <w:r w:rsidR="00C5422A" w:rsidRPr="0085799C">
        <w:rPr>
          <w:rFonts w:ascii="Times New Roman" w:hAnsi="Times New Roman"/>
        </w:rPr>
        <w:t>ese predpokladaného rastu CPI, miernym poklesom rastu miezd a tým, že zamestnanci odišli do výsluhového dôchodku, teda už nie sú aktívni poberatelia výsluhového dôchodku. Zvyšnú časť spôsobila zmena ostatných parametrov, kam patria vstupné dáta (počet zamestnancov, priemerná mzda, priemerný počet odpracovaných rokov, výška benefitu, typ benefitu a fluktuácia).</w:t>
      </w:r>
    </w:p>
    <w:p w14:paraId="60B0BEF8" w14:textId="77777777" w:rsidR="00F32FC3" w:rsidRDefault="00F32FC3" w:rsidP="00BB21FD">
      <w:pPr>
        <w:spacing w:after="120" w:line="240" w:lineRule="auto"/>
        <w:jc w:val="both"/>
        <w:rPr>
          <w:rFonts w:ascii="Times New Roman" w:hAnsi="Times New Roman"/>
        </w:rPr>
      </w:pPr>
    </w:p>
    <w:p w14:paraId="132FDC8C" w14:textId="5D61F2D8" w:rsidR="00381BBE" w:rsidRDefault="00367B1D" w:rsidP="0085799C">
      <w:pPr>
        <w:pStyle w:val="Nadpis4"/>
        <w:numPr>
          <w:ilvl w:val="0"/>
          <w:numId w:val="54"/>
        </w:numPr>
        <w:ind w:left="426" w:hanging="426"/>
      </w:pPr>
      <w:r w:rsidRPr="009E3C89">
        <w:t xml:space="preserve">Ostatné dlhodobé </w:t>
      </w:r>
      <w:r w:rsidR="00647542" w:rsidRPr="00BB21FD">
        <w:t>rezervy</w:t>
      </w:r>
    </w:p>
    <w:p w14:paraId="4E441D32" w14:textId="77777777" w:rsidR="00647542" w:rsidRPr="0085799C" w:rsidRDefault="00647542" w:rsidP="0085799C">
      <w:pPr>
        <w:spacing w:after="120" w:line="240" w:lineRule="auto"/>
        <w:rPr>
          <w:b/>
          <w:bCs/>
          <w:i/>
          <w:szCs w:val="22"/>
          <w:u w:val="single"/>
        </w:rPr>
      </w:pPr>
      <w:bookmarkStart w:id="44" w:name="_Ostatné_dlhodobé_rezervy"/>
      <w:bookmarkEnd w:id="44"/>
      <w:r w:rsidRPr="0085799C">
        <w:rPr>
          <w:rFonts w:ascii="Times New Roman" w:hAnsi="Times New Roman"/>
          <w:i/>
          <w:szCs w:val="22"/>
          <w:u w:val="single"/>
        </w:rPr>
        <w:t xml:space="preserve">Rezervy na vyraďovanie jadrových elektrární, na likvidáciu a vyraďovanie neenergetických zariadení, skladovanie a trvalé uloženie vyhoretého jadrového paliva </w:t>
      </w:r>
    </w:p>
    <w:p w14:paraId="2620E05E" w14:textId="6295A1B1" w:rsidR="00647542" w:rsidRPr="009E3C89" w:rsidRDefault="00647542" w:rsidP="009E3C89">
      <w:pPr>
        <w:spacing w:after="120" w:line="240" w:lineRule="auto"/>
        <w:jc w:val="both"/>
        <w:rPr>
          <w:rFonts w:ascii="Times New Roman" w:hAnsi="Times New Roman"/>
          <w:szCs w:val="22"/>
          <w:lang w:eastAsia="sk-SK"/>
        </w:rPr>
      </w:pPr>
      <w:r w:rsidRPr="009E3C89">
        <w:rPr>
          <w:rFonts w:ascii="Times New Roman" w:hAnsi="Times New Roman"/>
          <w:szCs w:val="22"/>
          <w:lang w:eastAsia="sk-SK"/>
        </w:rPr>
        <w:t>Hodnota týchto dlhodobých rezerv Jadrovej a vyraďovacej spoločnosti, a.s. k 31.</w:t>
      </w:r>
      <w:r w:rsidR="00867606">
        <w:rPr>
          <w:rFonts w:ascii="Times New Roman" w:hAnsi="Times New Roman"/>
          <w:szCs w:val="22"/>
          <w:lang w:eastAsia="sk-SK"/>
        </w:rPr>
        <w:t xml:space="preserve"> </w:t>
      </w:r>
      <w:r w:rsidRPr="009E3C89">
        <w:rPr>
          <w:rFonts w:ascii="Times New Roman" w:hAnsi="Times New Roman"/>
          <w:szCs w:val="22"/>
          <w:lang w:eastAsia="sk-SK"/>
        </w:rPr>
        <w:t>12.</w:t>
      </w:r>
      <w:r w:rsidR="00867606">
        <w:rPr>
          <w:rFonts w:ascii="Times New Roman" w:hAnsi="Times New Roman"/>
          <w:szCs w:val="22"/>
          <w:lang w:eastAsia="sk-SK"/>
        </w:rPr>
        <w:t xml:space="preserve"> </w:t>
      </w:r>
      <w:r w:rsidRPr="009E3C89">
        <w:rPr>
          <w:rFonts w:ascii="Times New Roman" w:hAnsi="Times New Roman"/>
          <w:szCs w:val="22"/>
          <w:lang w:eastAsia="sk-SK"/>
        </w:rPr>
        <w:t>202</w:t>
      </w:r>
      <w:r w:rsidR="00800BE7" w:rsidRPr="00BB21FD">
        <w:rPr>
          <w:rFonts w:ascii="Times New Roman" w:hAnsi="Times New Roman"/>
          <w:szCs w:val="22"/>
          <w:lang w:eastAsia="sk-SK"/>
        </w:rPr>
        <w:t>4</w:t>
      </w:r>
      <w:r w:rsidRPr="009E3C89">
        <w:rPr>
          <w:rFonts w:ascii="Times New Roman" w:hAnsi="Times New Roman"/>
          <w:szCs w:val="22"/>
          <w:lang w:eastAsia="sk-SK"/>
        </w:rPr>
        <w:t xml:space="preserve"> dosiahla 1</w:t>
      </w:r>
      <w:r w:rsidR="00540F9C" w:rsidRPr="00BB21FD">
        <w:rPr>
          <w:rFonts w:ascii="Times New Roman" w:hAnsi="Times New Roman"/>
          <w:szCs w:val="22"/>
          <w:lang w:eastAsia="sk-SK"/>
        </w:rPr>
        <w:t xml:space="preserve"> 194 071 </w:t>
      </w:r>
      <w:r w:rsidRPr="009E3C89">
        <w:rPr>
          <w:rFonts w:ascii="Times New Roman" w:hAnsi="Times New Roman"/>
          <w:szCs w:val="22"/>
          <w:lang w:eastAsia="sk-SK"/>
        </w:rPr>
        <w:t>tis. eur</w:t>
      </w:r>
      <w:r w:rsidR="00540F9C" w:rsidRPr="00BB21FD">
        <w:rPr>
          <w:rFonts w:ascii="Times New Roman" w:hAnsi="Times New Roman"/>
          <w:szCs w:val="22"/>
          <w:lang w:eastAsia="sk-SK"/>
        </w:rPr>
        <w:t xml:space="preserve"> (po konsolidačných operáciách na druhej úrovni)</w:t>
      </w:r>
      <w:r w:rsidRPr="009E3C89">
        <w:rPr>
          <w:rFonts w:ascii="Times New Roman" w:hAnsi="Times New Roman"/>
          <w:szCs w:val="22"/>
          <w:lang w:eastAsia="sk-SK"/>
        </w:rPr>
        <w:t>. Ide najmä o rezervu vytvorenú na vyraďovanie a likvidáciu jadrových elektrární A1</w:t>
      </w:r>
      <w:r w:rsidR="00867606">
        <w:rPr>
          <w:rFonts w:ascii="Times New Roman" w:hAnsi="Times New Roman"/>
          <w:szCs w:val="22"/>
          <w:lang w:eastAsia="sk-SK"/>
        </w:rPr>
        <w:t xml:space="preserve"> a V1</w:t>
      </w:r>
      <w:r w:rsidRPr="009E3C89">
        <w:rPr>
          <w:rFonts w:ascii="Times New Roman" w:hAnsi="Times New Roman"/>
          <w:szCs w:val="22"/>
          <w:lang w:eastAsia="sk-SK"/>
        </w:rPr>
        <w:t xml:space="preserve"> a rezervu na likvidáciu a vyraďovanie neenergetických zariadení. Rezervy sa účtujú v očakávanej výške budúcich peňažných tokov na uhradenie záväzku. Vykázané sú v plnej výške diskontovaných očakávaných budúcich peňažných tokov spojených s aktivitami na vyraďovanie jadrových elektrární a zariadení na spracovanie, likvidáciu a ukladanie rádioaktívneho odpadu. Diskontný faktor sa každoročne prehodnocuje a k 31.</w:t>
      </w:r>
      <w:r w:rsidR="00867606">
        <w:rPr>
          <w:rFonts w:ascii="Times New Roman" w:hAnsi="Times New Roman"/>
          <w:szCs w:val="22"/>
          <w:lang w:eastAsia="sk-SK"/>
        </w:rPr>
        <w:t xml:space="preserve"> </w:t>
      </w:r>
      <w:r w:rsidRPr="009E3C89">
        <w:rPr>
          <w:rFonts w:ascii="Times New Roman" w:hAnsi="Times New Roman"/>
          <w:szCs w:val="22"/>
          <w:lang w:eastAsia="sk-SK"/>
        </w:rPr>
        <w:t>12.</w:t>
      </w:r>
      <w:r w:rsidR="00867606">
        <w:rPr>
          <w:rFonts w:ascii="Times New Roman" w:hAnsi="Times New Roman"/>
          <w:szCs w:val="22"/>
          <w:lang w:eastAsia="sk-SK"/>
        </w:rPr>
        <w:t xml:space="preserve"> </w:t>
      </w:r>
      <w:r w:rsidRPr="009E3C89">
        <w:rPr>
          <w:rFonts w:ascii="Times New Roman" w:hAnsi="Times New Roman"/>
          <w:szCs w:val="22"/>
          <w:lang w:eastAsia="sk-SK"/>
        </w:rPr>
        <w:t>202</w:t>
      </w:r>
      <w:r w:rsidR="00540F9C" w:rsidRPr="00BB21FD">
        <w:rPr>
          <w:rFonts w:ascii="Times New Roman" w:hAnsi="Times New Roman"/>
          <w:szCs w:val="22"/>
          <w:lang w:eastAsia="sk-SK"/>
        </w:rPr>
        <w:t>4</w:t>
      </w:r>
      <w:r w:rsidRPr="009E3C89">
        <w:rPr>
          <w:rFonts w:ascii="Times New Roman" w:hAnsi="Times New Roman"/>
          <w:szCs w:val="22"/>
          <w:lang w:eastAsia="sk-SK"/>
        </w:rPr>
        <w:t xml:space="preserve"> predstavuje rovnako ako v roku 202</w:t>
      </w:r>
      <w:r w:rsidR="00540F9C" w:rsidRPr="00BB21FD">
        <w:rPr>
          <w:rFonts w:ascii="Times New Roman" w:hAnsi="Times New Roman"/>
          <w:szCs w:val="22"/>
          <w:lang w:eastAsia="sk-SK"/>
        </w:rPr>
        <w:t>3</w:t>
      </w:r>
      <w:r w:rsidRPr="009E3C89">
        <w:rPr>
          <w:rFonts w:ascii="Times New Roman" w:hAnsi="Times New Roman"/>
          <w:szCs w:val="22"/>
          <w:lang w:eastAsia="sk-SK"/>
        </w:rPr>
        <w:t xml:space="preserve"> 3,47 %. Zmena výšky rezerv v roku 202</w:t>
      </w:r>
      <w:r w:rsidR="000679C6" w:rsidRPr="00BB21FD">
        <w:rPr>
          <w:rFonts w:ascii="Times New Roman" w:hAnsi="Times New Roman"/>
          <w:szCs w:val="22"/>
          <w:lang w:eastAsia="sk-SK"/>
        </w:rPr>
        <w:t>4</w:t>
      </w:r>
      <w:r w:rsidRPr="009E3C89">
        <w:rPr>
          <w:rFonts w:ascii="Times New Roman" w:hAnsi="Times New Roman"/>
          <w:szCs w:val="22"/>
          <w:lang w:eastAsia="sk-SK"/>
        </w:rPr>
        <w:t xml:space="preserve"> je spôsobená aktualizáciou odhadov očakávaných nákladov na vyradenie, z dôvodu schválenia aktualizovanej koncepcie stratégie záverečnej časti jadrovej energetiky vládou Slovenskej republiky, zvýšená o vplyv uvoľňovania úroku a znížená o použitie rezervy na vyraďovanie jadrovej elektrárne A1 a V1 vo výške </w:t>
      </w:r>
      <w:r w:rsidRPr="009E3C89">
        <w:rPr>
          <w:rFonts w:ascii="Times New Roman" w:hAnsi="Times New Roman"/>
          <w:szCs w:val="22"/>
          <w:lang w:eastAsia="sk-SK"/>
        </w:rPr>
        <w:lastRenderedPageBreak/>
        <w:t>skutočných nákladov vynaložených počas roka 202</w:t>
      </w:r>
      <w:r w:rsidR="00F53BB1" w:rsidRPr="009E3C89">
        <w:rPr>
          <w:rFonts w:ascii="Times New Roman" w:hAnsi="Times New Roman"/>
          <w:szCs w:val="22"/>
          <w:lang w:eastAsia="sk-SK"/>
        </w:rPr>
        <w:t>4</w:t>
      </w:r>
      <w:r w:rsidRPr="009E3C89">
        <w:rPr>
          <w:rFonts w:ascii="Times New Roman" w:hAnsi="Times New Roman"/>
          <w:szCs w:val="22"/>
          <w:lang w:eastAsia="sk-SK"/>
        </w:rPr>
        <w:t>. Použitie rezerv na vyraďovanie jadrových elektrární A1, V1, neenergetických zariadení, skladovanie a trvalé uloženie vyhoretého jadrového paliva sa očakáva v rokoch 2022 – 2137.</w:t>
      </w:r>
    </w:p>
    <w:p w14:paraId="564C462C" w14:textId="53D5365D" w:rsidR="00647542" w:rsidRPr="009E3C89" w:rsidRDefault="00647542" w:rsidP="0085799C">
      <w:pPr>
        <w:pStyle w:val="Pismenka"/>
        <w:tabs>
          <w:tab w:val="clear" w:pos="426"/>
        </w:tabs>
        <w:spacing w:after="120"/>
        <w:ind w:left="0" w:firstLine="0"/>
        <w:rPr>
          <w:b w:val="0"/>
          <w:sz w:val="22"/>
          <w:szCs w:val="22"/>
        </w:rPr>
      </w:pPr>
      <w:r w:rsidRPr="009E3C89">
        <w:rPr>
          <w:b w:val="0"/>
          <w:i/>
          <w:sz w:val="22"/>
          <w:szCs w:val="22"/>
          <w:u w:val="single"/>
        </w:rPr>
        <w:t>Rezervy na súdne spory</w:t>
      </w:r>
      <w:r w:rsidRPr="009E3C89">
        <w:rPr>
          <w:b w:val="0"/>
          <w:i/>
          <w:sz w:val="22"/>
          <w:szCs w:val="22"/>
        </w:rPr>
        <w:t xml:space="preserve"> </w:t>
      </w:r>
      <w:r w:rsidRPr="009E3C89">
        <w:rPr>
          <w:b w:val="0"/>
          <w:sz w:val="22"/>
          <w:szCs w:val="22"/>
        </w:rPr>
        <w:t>boli identifikované prostredníctvom informácií z individuálnych účtovných závierok subjektov územnej samosprávy (obcí, VUC a ich rozpočtových a príspevkových organizácií) a štátnej správy. Do sumáru neboli započítané niektoré jednotky, ktoré nepredkladajú detailné informácie o rezervách (napríklad obchodné spoločnosti obcí). Najvýznamnejšiu hodnotu vykazuje Ministerstvo financií SR, najmä na možné budúce plnenie voči daňovému subjektu</w:t>
      </w:r>
      <w:r w:rsidR="004B630C" w:rsidRPr="009E3C89">
        <w:rPr>
          <w:b w:val="0"/>
          <w:sz w:val="22"/>
          <w:szCs w:val="22"/>
        </w:rPr>
        <w:t xml:space="preserve"> </w:t>
      </w:r>
      <w:r w:rsidRPr="009E3C89">
        <w:rPr>
          <w:b w:val="0"/>
          <w:sz w:val="22"/>
          <w:szCs w:val="22"/>
        </w:rPr>
        <w:t xml:space="preserve">z dôvodu podania žiadosti o vrátenie preplatku, ktorá bola doručená na Úrad pre vybrané hospodárske </w:t>
      </w:r>
      <w:r w:rsidR="0095021F" w:rsidRPr="0085799C">
        <w:rPr>
          <w:rFonts w:cstheme="minorHAnsi"/>
          <w:b w:val="0"/>
          <w:sz w:val="22"/>
          <w:szCs w:val="22"/>
        </w:rPr>
        <w:t>subjekty</w:t>
      </w:r>
      <w:r w:rsidRPr="009E3C89">
        <w:rPr>
          <w:b w:val="0"/>
          <w:sz w:val="22"/>
          <w:szCs w:val="22"/>
        </w:rPr>
        <w:t xml:space="preserve">. </w:t>
      </w:r>
      <w:r w:rsidR="00867606">
        <w:rPr>
          <w:b w:val="0"/>
          <w:sz w:val="22"/>
          <w:szCs w:val="22"/>
        </w:rPr>
        <w:t xml:space="preserve">Predmetný súdny spor bol vykazovaný aj v predchádzajúcom účtovnom období v rovnakej hodnote, pričom nedošlo stále k jeho ukončeniu. </w:t>
      </w:r>
    </w:p>
    <w:p w14:paraId="472CDF86" w14:textId="0EB43477" w:rsidR="00647542" w:rsidRPr="009E3C89" w:rsidRDefault="00647542" w:rsidP="0085799C">
      <w:pPr>
        <w:pStyle w:val="Pismenka"/>
        <w:tabs>
          <w:tab w:val="clear" w:pos="426"/>
        </w:tabs>
        <w:spacing w:after="120"/>
        <w:ind w:left="0" w:firstLine="0"/>
        <w:rPr>
          <w:b w:val="0"/>
          <w:sz w:val="22"/>
          <w:szCs w:val="22"/>
        </w:rPr>
      </w:pPr>
      <w:r w:rsidRPr="009E3C89">
        <w:rPr>
          <w:b w:val="0"/>
          <w:sz w:val="22"/>
          <w:szCs w:val="22"/>
        </w:rPr>
        <w:t xml:space="preserve">Ďalej vykazujú významné dlhodobé rezervy na súdne spory </w:t>
      </w:r>
      <w:r w:rsidR="0059413A" w:rsidRPr="00BB21FD">
        <w:rPr>
          <w:b w:val="0"/>
          <w:sz w:val="22"/>
          <w:szCs w:val="22"/>
        </w:rPr>
        <w:t>Ministerstvo zdravotníctva SR (67</w:t>
      </w:r>
      <w:r w:rsidR="00FC7026">
        <w:rPr>
          <w:b w:val="0"/>
          <w:sz w:val="22"/>
          <w:szCs w:val="22"/>
        </w:rPr>
        <w:t> </w:t>
      </w:r>
      <w:r w:rsidR="0059413A" w:rsidRPr="009E3C89">
        <w:rPr>
          <w:b w:val="0"/>
          <w:sz w:val="22"/>
          <w:szCs w:val="22"/>
        </w:rPr>
        <w:t>575</w:t>
      </w:r>
      <w:r w:rsidR="00FC7026">
        <w:rPr>
          <w:b w:val="0"/>
          <w:sz w:val="22"/>
          <w:szCs w:val="22"/>
        </w:rPr>
        <w:t> </w:t>
      </w:r>
      <w:r w:rsidR="0059413A" w:rsidRPr="00BB21FD">
        <w:rPr>
          <w:b w:val="0"/>
          <w:sz w:val="22"/>
          <w:szCs w:val="22"/>
        </w:rPr>
        <w:t>tis.</w:t>
      </w:r>
      <w:r w:rsidR="00FC7026">
        <w:rPr>
          <w:b w:val="0"/>
          <w:sz w:val="22"/>
          <w:szCs w:val="22"/>
        </w:rPr>
        <w:t> </w:t>
      </w:r>
      <w:r w:rsidR="0059413A" w:rsidRPr="009E3C89">
        <w:rPr>
          <w:b w:val="0"/>
          <w:sz w:val="22"/>
          <w:szCs w:val="22"/>
        </w:rPr>
        <w:t>eur), Ministerstvo cestovného ruchu a športu SR</w:t>
      </w:r>
      <w:r w:rsidR="00EA19AF" w:rsidRPr="00BB21FD">
        <w:rPr>
          <w:b w:val="0"/>
          <w:sz w:val="22"/>
          <w:szCs w:val="22"/>
        </w:rPr>
        <w:t xml:space="preserve"> (44 684 tis. eur) a Ministerstvo vnútra SR (30 426 tis. eur)</w:t>
      </w:r>
      <w:r w:rsidRPr="009E3C89">
        <w:rPr>
          <w:b w:val="0"/>
          <w:sz w:val="22"/>
          <w:szCs w:val="22"/>
        </w:rPr>
        <w:t>.</w:t>
      </w:r>
      <w:r w:rsidR="00EA19AF" w:rsidRPr="009E3C89">
        <w:rPr>
          <w:b w:val="0"/>
          <w:sz w:val="22"/>
          <w:szCs w:val="22"/>
        </w:rPr>
        <w:t xml:space="preserve"> Z obchodných spoločností v súhrnnom celku vykazujú najvýznamnejšie hodnoty Slov</w:t>
      </w:r>
      <w:r w:rsidR="00EA19AF" w:rsidRPr="00BB21FD">
        <w:rPr>
          <w:b w:val="0"/>
          <w:sz w:val="22"/>
          <w:szCs w:val="22"/>
        </w:rPr>
        <w:t xml:space="preserve">enský vodohospodársky podnik, š. p. (29 308 tis. eur), </w:t>
      </w:r>
      <w:r w:rsidR="000B7271" w:rsidRPr="00BB21FD">
        <w:rPr>
          <w:b w:val="0"/>
          <w:sz w:val="22"/>
          <w:szCs w:val="22"/>
        </w:rPr>
        <w:t>Slovenská konsolidačná, a.s (14</w:t>
      </w:r>
      <w:r w:rsidR="00FC7026">
        <w:rPr>
          <w:b w:val="0"/>
          <w:sz w:val="22"/>
          <w:szCs w:val="22"/>
        </w:rPr>
        <w:t> </w:t>
      </w:r>
      <w:r w:rsidR="000B7271" w:rsidRPr="009E3C89">
        <w:rPr>
          <w:b w:val="0"/>
          <w:sz w:val="22"/>
          <w:szCs w:val="22"/>
        </w:rPr>
        <w:t>366</w:t>
      </w:r>
      <w:r w:rsidR="00FC7026">
        <w:rPr>
          <w:b w:val="0"/>
          <w:sz w:val="22"/>
          <w:szCs w:val="22"/>
        </w:rPr>
        <w:t> </w:t>
      </w:r>
      <w:r w:rsidR="000B7271" w:rsidRPr="00BB21FD">
        <w:rPr>
          <w:b w:val="0"/>
          <w:sz w:val="22"/>
          <w:szCs w:val="22"/>
        </w:rPr>
        <w:t>tis.</w:t>
      </w:r>
      <w:r w:rsidR="00FC7026">
        <w:rPr>
          <w:b w:val="0"/>
          <w:sz w:val="22"/>
          <w:szCs w:val="22"/>
        </w:rPr>
        <w:t> </w:t>
      </w:r>
      <w:r w:rsidR="000B7271" w:rsidRPr="00BB21FD">
        <w:rPr>
          <w:b w:val="0"/>
          <w:sz w:val="22"/>
          <w:szCs w:val="22"/>
        </w:rPr>
        <w:t xml:space="preserve">eur). </w:t>
      </w:r>
    </w:p>
    <w:p w14:paraId="1F87F3D8" w14:textId="18D1CA05" w:rsidR="00647542" w:rsidRDefault="00647542" w:rsidP="00FC7026">
      <w:pPr>
        <w:pStyle w:val="Pismenka"/>
        <w:tabs>
          <w:tab w:val="clear" w:pos="426"/>
        </w:tabs>
        <w:spacing w:after="120"/>
        <w:ind w:left="0" w:firstLine="0"/>
        <w:rPr>
          <w:b w:val="0"/>
          <w:sz w:val="22"/>
          <w:szCs w:val="22"/>
        </w:rPr>
      </w:pPr>
      <w:r w:rsidRPr="009E3C89">
        <w:rPr>
          <w:b w:val="0"/>
          <w:i/>
          <w:sz w:val="22"/>
          <w:szCs w:val="22"/>
          <w:u w:val="single"/>
        </w:rPr>
        <w:t xml:space="preserve">Rezerva na </w:t>
      </w:r>
      <w:proofErr w:type="spellStart"/>
      <w:r w:rsidRPr="009E3C89">
        <w:rPr>
          <w:b w:val="0"/>
          <w:i/>
          <w:sz w:val="22"/>
          <w:szCs w:val="22"/>
          <w:u w:val="single"/>
        </w:rPr>
        <w:t>pestovnú</w:t>
      </w:r>
      <w:proofErr w:type="spellEnd"/>
      <w:r w:rsidRPr="009E3C89">
        <w:rPr>
          <w:b w:val="0"/>
          <w:i/>
          <w:sz w:val="22"/>
          <w:szCs w:val="22"/>
          <w:u w:val="single"/>
        </w:rPr>
        <w:t xml:space="preserve"> činnosť</w:t>
      </w:r>
      <w:r w:rsidR="00DA3744" w:rsidRPr="00BB21FD">
        <w:rPr>
          <w:b w:val="0"/>
          <w:sz w:val="22"/>
          <w:szCs w:val="22"/>
        </w:rPr>
        <w:t xml:space="preserve"> j</w:t>
      </w:r>
      <w:r w:rsidRPr="009E3C89">
        <w:rPr>
          <w:b w:val="0"/>
          <w:sz w:val="22"/>
          <w:szCs w:val="22"/>
        </w:rPr>
        <w:t xml:space="preserve">e vykazovaná najmä </w:t>
      </w:r>
      <w:r w:rsidR="00DA3744" w:rsidRPr="009E3C89">
        <w:rPr>
          <w:b w:val="0"/>
          <w:sz w:val="22"/>
          <w:szCs w:val="22"/>
        </w:rPr>
        <w:t>účtovnou jednotou</w:t>
      </w:r>
      <w:r w:rsidR="00DA3744" w:rsidRPr="00BB21FD">
        <w:rPr>
          <w:b w:val="0"/>
          <w:sz w:val="22"/>
          <w:szCs w:val="22"/>
        </w:rPr>
        <w:t xml:space="preserve"> </w:t>
      </w:r>
      <w:r w:rsidRPr="009E3C89">
        <w:rPr>
          <w:b w:val="0"/>
          <w:sz w:val="22"/>
          <w:szCs w:val="22"/>
        </w:rPr>
        <w:t>L</w:t>
      </w:r>
      <w:r w:rsidR="00175C8F" w:rsidRPr="009E3C89">
        <w:rPr>
          <w:b w:val="0"/>
          <w:sz w:val="22"/>
          <w:szCs w:val="22"/>
        </w:rPr>
        <w:t>ESY</w:t>
      </w:r>
      <w:r w:rsidRPr="009E3C89">
        <w:rPr>
          <w:b w:val="0"/>
          <w:sz w:val="22"/>
          <w:szCs w:val="22"/>
        </w:rPr>
        <w:t xml:space="preserve"> </w:t>
      </w:r>
      <w:r w:rsidR="009E1B36" w:rsidRPr="009E3C89">
        <w:rPr>
          <w:b w:val="0"/>
          <w:sz w:val="22"/>
          <w:szCs w:val="22"/>
        </w:rPr>
        <w:t>Slovenskej republiky</w:t>
      </w:r>
      <w:r w:rsidRPr="009E3C89">
        <w:rPr>
          <w:b w:val="0"/>
          <w:sz w:val="22"/>
          <w:szCs w:val="22"/>
        </w:rPr>
        <w:t>,</w:t>
      </w:r>
      <w:r w:rsidR="009170A4">
        <w:rPr>
          <w:b w:val="0"/>
          <w:sz w:val="22"/>
          <w:szCs w:val="22"/>
        </w:rPr>
        <w:t xml:space="preserve"> </w:t>
      </w:r>
      <w:r w:rsidRPr="009E3C89">
        <w:rPr>
          <w:b w:val="0"/>
          <w:sz w:val="22"/>
          <w:szCs w:val="22"/>
        </w:rPr>
        <w:t>š</w:t>
      </w:r>
      <w:r w:rsidR="009E1B36" w:rsidRPr="009E3C89">
        <w:rPr>
          <w:b w:val="0"/>
          <w:sz w:val="22"/>
          <w:szCs w:val="22"/>
        </w:rPr>
        <w:t>tátny podnik</w:t>
      </w:r>
      <w:r w:rsidRPr="009E3C89">
        <w:rPr>
          <w:b w:val="0"/>
          <w:sz w:val="22"/>
          <w:szCs w:val="22"/>
        </w:rPr>
        <w:t xml:space="preserve"> v celkovej sume </w:t>
      </w:r>
      <w:r w:rsidR="00651786" w:rsidRPr="00BB21FD">
        <w:rPr>
          <w:b w:val="0"/>
          <w:sz w:val="22"/>
          <w:szCs w:val="22"/>
        </w:rPr>
        <w:t>12</w:t>
      </w:r>
      <w:r w:rsidR="009170A4">
        <w:rPr>
          <w:b w:val="0"/>
          <w:sz w:val="22"/>
          <w:szCs w:val="22"/>
        </w:rPr>
        <w:t> </w:t>
      </w:r>
      <w:r w:rsidR="00651786" w:rsidRPr="00BB21FD">
        <w:rPr>
          <w:b w:val="0"/>
          <w:sz w:val="22"/>
          <w:szCs w:val="22"/>
        </w:rPr>
        <w:t>6</w:t>
      </w:r>
      <w:r w:rsidR="00461581" w:rsidRPr="0085799C">
        <w:rPr>
          <w:b w:val="0"/>
          <w:sz w:val="22"/>
          <w:szCs w:val="22"/>
        </w:rPr>
        <w:t>2</w:t>
      </w:r>
      <w:r w:rsidR="00651786" w:rsidRPr="009E3C89">
        <w:rPr>
          <w:b w:val="0"/>
          <w:sz w:val="22"/>
          <w:szCs w:val="22"/>
        </w:rPr>
        <w:t>9</w:t>
      </w:r>
      <w:r w:rsidRPr="009E3C89">
        <w:rPr>
          <w:b w:val="0"/>
          <w:sz w:val="22"/>
          <w:szCs w:val="22"/>
        </w:rPr>
        <w:t xml:space="preserve"> tis. eur a je tvorená na základe ročného projektu lesnej </w:t>
      </w:r>
      <w:proofErr w:type="spellStart"/>
      <w:r w:rsidRPr="009E3C89">
        <w:rPr>
          <w:b w:val="0"/>
          <w:sz w:val="22"/>
          <w:szCs w:val="22"/>
        </w:rPr>
        <w:t>pestovnej</w:t>
      </w:r>
      <w:proofErr w:type="spellEnd"/>
      <w:r w:rsidRPr="009E3C89">
        <w:rPr>
          <w:b w:val="0"/>
          <w:sz w:val="22"/>
          <w:szCs w:val="22"/>
        </w:rPr>
        <w:t xml:space="preserve"> činnosti potvrdenom odborným lesným hospodárom podľa zákona č. 326/2005 Z. z. o hospodárení v lesoch a štátnej správe lesného hospodárstva. Pri tvorbe rezervy je rozhodujúca výška ťažby drevnej hmoty v porovnaní s ročnou bilanciou, ktorá vychádza z programu obnovy lesa. Tvorí sa v prípade prekročenia ročnej bilancie ťažby drevnej hmoty maximálne na dobu do vykonania </w:t>
      </w:r>
      <w:proofErr w:type="spellStart"/>
      <w:r w:rsidRPr="009E3C89">
        <w:rPr>
          <w:b w:val="0"/>
          <w:sz w:val="22"/>
          <w:szCs w:val="22"/>
        </w:rPr>
        <w:t>prečistky</w:t>
      </w:r>
      <w:proofErr w:type="spellEnd"/>
      <w:r w:rsidRPr="009E3C89">
        <w:rPr>
          <w:b w:val="0"/>
          <w:sz w:val="22"/>
          <w:szCs w:val="22"/>
        </w:rPr>
        <w:t xml:space="preserve"> mladých lesných porastov. Celkový zostatok vytvorenej a ešte nevyčerpanej dlhodobej rezervy na </w:t>
      </w:r>
      <w:proofErr w:type="spellStart"/>
      <w:r w:rsidRPr="009E3C89">
        <w:rPr>
          <w:b w:val="0"/>
          <w:sz w:val="22"/>
          <w:szCs w:val="22"/>
        </w:rPr>
        <w:t>pestovnú</w:t>
      </w:r>
      <w:proofErr w:type="spellEnd"/>
      <w:r w:rsidRPr="009E3C89">
        <w:rPr>
          <w:b w:val="0"/>
          <w:sz w:val="22"/>
          <w:szCs w:val="22"/>
        </w:rPr>
        <w:t xml:space="preserve"> činnosť a ochranu lesa medziročne </w:t>
      </w:r>
      <w:r w:rsidR="00373237" w:rsidRPr="00BB21FD">
        <w:rPr>
          <w:b w:val="0"/>
          <w:sz w:val="22"/>
          <w:szCs w:val="22"/>
        </w:rPr>
        <w:t>stúp</w:t>
      </w:r>
      <w:r w:rsidRPr="009E3C89">
        <w:rPr>
          <w:b w:val="0"/>
          <w:sz w:val="22"/>
          <w:szCs w:val="22"/>
        </w:rPr>
        <w:t>ol o</w:t>
      </w:r>
      <w:r w:rsidR="00373237" w:rsidRPr="00BB21FD">
        <w:rPr>
          <w:b w:val="0"/>
          <w:sz w:val="22"/>
          <w:szCs w:val="22"/>
        </w:rPr>
        <w:t xml:space="preserve"> 3 588 </w:t>
      </w:r>
      <w:r w:rsidRPr="009E3C89">
        <w:rPr>
          <w:b w:val="0"/>
          <w:sz w:val="22"/>
          <w:szCs w:val="22"/>
        </w:rPr>
        <w:t>tis. eur.</w:t>
      </w:r>
    </w:p>
    <w:p w14:paraId="3DA268FB" w14:textId="77777777" w:rsidR="00647542" w:rsidRPr="00265F07" w:rsidRDefault="00647542" w:rsidP="0085799C">
      <w:pPr>
        <w:pStyle w:val="Nadpis3"/>
      </w:pPr>
      <w:r w:rsidRPr="00265F07">
        <w:t>B.III. Krátkodobé záväzky</w:t>
      </w:r>
    </w:p>
    <w:p w14:paraId="1AA231EA" w14:textId="3A985508" w:rsidR="00647542" w:rsidRPr="00907622" w:rsidRDefault="00647542" w:rsidP="009E3C89">
      <w:pPr>
        <w:spacing w:after="120" w:line="240" w:lineRule="auto"/>
        <w:jc w:val="both"/>
        <w:rPr>
          <w:rFonts w:ascii="Times New Roman" w:hAnsi="Times New Roman"/>
          <w:color w:val="FF0000"/>
          <w:szCs w:val="22"/>
          <w:highlight w:val="yellow"/>
          <w:lang w:eastAsia="sk-SK"/>
        </w:rPr>
      </w:pPr>
      <w:r w:rsidRPr="00907622">
        <w:rPr>
          <w:rFonts w:ascii="Times New Roman" w:hAnsi="Times New Roman"/>
          <w:szCs w:val="22"/>
          <w:lang w:eastAsia="sk-SK"/>
        </w:rPr>
        <w:t xml:space="preserve">Krátkodobé záväzky súhrnného celku dosiahli hodnotu </w:t>
      </w:r>
      <w:r w:rsidR="007B1437">
        <w:rPr>
          <w:rFonts w:ascii="Times New Roman" w:hAnsi="Times New Roman"/>
          <w:szCs w:val="22"/>
          <w:lang w:eastAsia="sk-SK"/>
        </w:rPr>
        <w:t xml:space="preserve">19 572 468 </w:t>
      </w:r>
      <w:r w:rsidRPr="00907622">
        <w:rPr>
          <w:rFonts w:ascii="Times New Roman" w:hAnsi="Times New Roman"/>
          <w:szCs w:val="22"/>
          <w:lang w:eastAsia="sk-SK"/>
        </w:rPr>
        <w:t xml:space="preserve">tis. eur a medziročne sa </w:t>
      </w:r>
      <w:r w:rsidR="00D10602">
        <w:rPr>
          <w:rFonts w:ascii="Times New Roman" w:hAnsi="Times New Roman"/>
          <w:szCs w:val="22"/>
          <w:lang w:eastAsia="sk-SK"/>
        </w:rPr>
        <w:t> zvýšili o 1</w:t>
      </w:r>
      <w:r w:rsidR="0021751D">
        <w:rPr>
          <w:rFonts w:ascii="Times New Roman" w:hAnsi="Times New Roman"/>
          <w:szCs w:val="22"/>
          <w:lang w:eastAsia="sk-SK"/>
        </w:rPr>
        <w:t> </w:t>
      </w:r>
      <w:r w:rsidR="00D10602">
        <w:rPr>
          <w:rFonts w:ascii="Times New Roman" w:hAnsi="Times New Roman"/>
          <w:szCs w:val="22"/>
          <w:lang w:eastAsia="sk-SK"/>
        </w:rPr>
        <w:t>077</w:t>
      </w:r>
      <w:r w:rsidR="0021751D">
        <w:rPr>
          <w:rFonts w:ascii="Times New Roman" w:hAnsi="Times New Roman"/>
          <w:szCs w:val="22"/>
          <w:lang w:eastAsia="sk-SK"/>
        </w:rPr>
        <w:t> </w:t>
      </w:r>
      <w:r w:rsidR="00D10602">
        <w:rPr>
          <w:rFonts w:ascii="Times New Roman" w:hAnsi="Times New Roman"/>
          <w:szCs w:val="22"/>
          <w:lang w:eastAsia="sk-SK"/>
        </w:rPr>
        <w:t>100</w:t>
      </w:r>
      <w:r w:rsidRPr="00954712">
        <w:rPr>
          <w:rFonts w:ascii="Times New Roman" w:hAnsi="Times New Roman"/>
          <w:szCs w:val="22"/>
          <w:lang w:eastAsia="sk-SK"/>
        </w:rPr>
        <w:t> tis.</w:t>
      </w:r>
      <w:r w:rsidRPr="00907622">
        <w:rPr>
          <w:rFonts w:ascii="Times New Roman" w:hAnsi="Times New Roman"/>
          <w:szCs w:val="22"/>
          <w:lang w:eastAsia="sk-SK"/>
        </w:rPr>
        <w:t xml:space="preserve"> eur. Najväčšiu položku celkových krátkodobých záväzkov tvoria </w:t>
      </w:r>
      <w:r w:rsidRPr="00907622">
        <w:rPr>
          <w:rFonts w:ascii="Times New Roman" w:hAnsi="Times New Roman"/>
          <w:i/>
          <w:szCs w:val="22"/>
          <w:u w:val="single"/>
          <w:lang w:eastAsia="sk-SK"/>
        </w:rPr>
        <w:t>štátom emitované krátkodobé dlhopisy</w:t>
      </w:r>
      <w:r w:rsidRPr="00907622">
        <w:rPr>
          <w:rFonts w:ascii="Times New Roman" w:hAnsi="Times New Roman"/>
          <w:szCs w:val="22"/>
          <w:lang w:eastAsia="sk-SK"/>
        </w:rPr>
        <w:t xml:space="preserve">, ktoré dosiahli konsolidovanú hodnotu </w:t>
      </w:r>
      <w:r w:rsidR="00B70796">
        <w:rPr>
          <w:rFonts w:ascii="Times New Roman" w:hAnsi="Times New Roman"/>
          <w:szCs w:val="22"/>
          <w:lang w:eastAsia="sk-SK"/>
        </w:rPr>
        <w:t>6</w:t>
      </w:r>
      <w:r w:rsidR="0021751D">
        <w:rPr>
          <w:rFonts w:ascii="Times New Roman" w:hAnsi="Times New Roman"/>
          <w:szCs w:val="22"/>
          <w:lang w:eastAsia="sk-SK"/>
        </w:rPr>
        <w:t> </w:t>
      </w:r>
      <w:r w:rsidR="00B70796">
        <w:rPr>
          <w:rFonts w:ascii="Times New Roman" w:hAnsi="Times New Roman"/>
          <w:szCs w:val="22"/>
          <w:lang w:eastAsia="sk-SK"/>
        </w:rPr>
        <w:t>800</w:t>
      </w:r>
      <w:r w:rsidR="0021751D">
        <w:rPr>
          <w:rFonts w:ascii="Times New Roman" w:hAnsi="Times New Roman"/>
          <w:szCs w:val="22"/>
          <w:lang w:eastAsia="sk-SK"/>
        </w:rPr>
        <w:t> </w:t>
      </w:r>
      <w:r w:rsidR="00B70796">
        <w:rPr>
          <w:rFonts w:ascii="Times New Roman" w:hAnsi="Times New Roman"/>
          <w:szCs w:val="22"/>
          <w:lang w:eastAsia="sk-SK"/>
        </w:rPr>
        <w:t>716</w:t>
      </w:r>
      <w:r w:rsidRPr="00907622">
        <w:rPr>
          <w:rFonts w:ascii="Times New Roman" w:hAnsi="Times New Roman"/>
          <w:szCs w:val="22"/>
          <w:lang w:eastAsia="sk-SK"/>
        </w:rPr>
        <w:t> tis. eur, čo je o </w:t>
      </w:r>
      <w:r w:rsidR="00633454">
        <w:rPr>
          <w:rFonts w:ascii="Times New Roman" w:hAnsi="Times New Roman"/>
          <w:szCs w:val="22"/>
          <w:lang w:eastAsia="sk-SK"/>
        </w:rPr>
        <w:t xml:space="preserve">1 499 419 </w:t>
      </w:r>
      <w:r w:rsidRPr="00907622">
        <w:rPr>
          <w:rFonts w:ascii="Times New Roman" w:hAnsi="Times New Roman"/>
          <w:szCs w:val="22"/>
          <w:lang w:eastAsia="sk-SK"/>
        </w:rPr>
        <w:t>tis. eur viac ako k</w:t>
      </w:r>
      <w:r w:rsidR="0021751D">
        <w:rPr>
          <w:rFonts w:ascii="Times New Roman" w:hAnsi="Times New Roman"/>
          <w:szCs w:val="22"/>
          <w:lang w:eastAsia="sk-SK"/>
        </w:rPr>
        <w:t xml:space="preserve"> </w:t>
      </w:r>
      <w:proofErr w:type="spellStart"/>
      <w:r w:rsidRPr="00907622">
        <w:rPr>
          <w:rFonts w:ascii="Times New Roman" w:hAnsi="Times New Roman"/>
          <w:szCs w:val="22"/>
          <w:lang w:eastAsia="sk-SK"/>
        </w:rPr>
        <w:t>ultimu</w:t>
      </w:r>
      <w:proofErr w:type="spellEnd"/>
      <w:r w:rsidRPr="00907622">
        <w:rPr>
          <w:rFonts w:ascii="Times New Roman" w:hAnsi="Times New Roman"/>
          <w:szCs w:val="22"/>
          <w:lang w:eastAsia="sk-SK"/>
        </w:rPr>
        <w:t xml:space="preserve"> roka 202</w:t>
      </w:r>
      <w:r w:rsidR="007B1437">
        <w:rPr>
          <w:rFonts w:ascii="Times New Roman" w:hAnsi="Times New Roman"/>
          <w:szCs w:val="22"/>
          <w:lang w:eastAsia="sk-SK"/>
        </w:rPr>
        <w:t>3</w:t>
      </w:r>
      <w:r w:rsidRPr="00907622">
        <w:rPr>
          <w:rFonts w:ascii="Times New Roman" w:hAnsi="Times New Roman"/>
          <w:szCs w:val="22"/>
          <w:lang w:eastAsia="sk-SK"/>
        </w:rPr>
        <w:t xml:space="preserve"> a </w:t>
      </w:r>
      <w:r w:rsidRPr="00907622">
        <w:rPr>
          <w:rFonts w:ascii="Times New Roman" w:hAnsi="Times New Roman"/>
          <w:i/>
          <w:szCs w:val="22"/>
          <w:u w:val="single"/>
          <w:lang w:eastAsia="sk-SK"/>
        </w:rPr>
        <w:t>záväzky vyplývajúce zo zúčtovania s</w:t>
      </w:r>
      <w:r w:rsidR="0021751D">
        <w:rPr>
          <w:rFonts w:ascii="Times New Roman" w:hAnsi="Times New Roman"/>
          <w:i/>
          <w:szCs w:val="22"/>
          <w:u w:val="single"/>
          <w:lang w:eastAsia="sk-SK"/>
        </w:rPr>
        <w:t xml:space="preserve"> </w:t>
      </w:r>
      <w:r w:rsidRPr="00907622">
        <w:rPr>
          <w:rFonts w:ascii="Times New Roman" w:hAnsi="Times New Roman"/>
          <w:i/>
          <w:szCs w:val="22"/>
          <w:u w:val="single"/>
          <w:lang w:eastAsia="sk-SK"/>
        </w:rPr>
        <w:t>EÚ</w:t>
      </w:r>
      <w:r w:rsidRPr="00907622">
        <w:rPr>
          <w:rFonts w:ascii="Times New Roman" w:hAnsi="Times New Roman"/>
          <w:szCs w:val="22"/>
          <w:lang w:eastAsia="sk-SK"/>
        </w:rPr>
        <w:t xml:space="preserve"> v</w:t>
      </w:r>
      <w:r w:rsidR="0021751D">
        <w:rPr>
          <w:rFonts w:ascii="Times New Roman" w:hAnsi="Times New Roman"/>
          <w:szCs w:val="22"/>
          <w:lang w:eastAsia="sk-SK"/>
        </w:rPr>
        <w:t xml:space="preserve"> </w:t>
      </w:r>
      <w:r w:rsidRPr="00907622">
        <w:rPr>
          <w:rFonts w:ascii="Times New Roman" w:hAnsi="Times New Roman"/>
          <w:szCs w:val="22"/>
          <w:lang w:eastAsia="sk-SK"/>
        </w:rPr>
        <w:t xml:space="preserve">sume </w:t>
      </w:r>
      <w:r w:rsidR="00B335CC">
        <w:rPr>
          <w:rFonts w:ascii="Times New Roman" w:hAnsi="Times New Roman"/>
          <w:szCs w:val="22"/>
          <w:lang w:eastAsia="sk-SK"/>
        </w:rPr>
        <w:t>3</w:t>
      </w:r>
      <w:r w:rsidR="0021751D">
        <w:rPr>
          <w:rFonts w:ascii="Times New Roman" w:hAnsi="Times New Roman"/>
          <w:szCs w:val="22"/>
          <w:lang w:eastAsia="sk-SK"/>
        </w:rPr>
        <w:t> </w:t>
      </w:r>
      <w:r w:rsidR="00B335CC">
        <w:rPr>
          <w:rFonts w:ascii="Times New Roman" w:hAnsi="Times New Roman"/>
          <w:szCs w:val="22"/>
          <w:lang w:eastAsia="sk-SK"/>
        </w:rPr>
        <w:t>317</w:t>
      </w:r>
      <w:r w:rsidR="0021751D">
        <w:rPr>
          <w:rFonts w:ascii="Times New Roman" w:hAnsi="Times New Roman"/>
          <w:szCs w:val="22"/>
          <w:lang w:eastAsia="sk-SK"/>
        </w:rPr>
        <w:t> </w:t>
      </w:r>
      <w:r w:rsidR="00B335CC">
        <w:rPr>
          <w:rFonts w:ascii="Times New Roman" w:hAnsi="Times New Roman"/>
          <w:szCs w:val="22"/>
          <w:lang w:eastAsia="sk-SK"/>
        </w:rPr>
        <w:t>473</w:t>
      </w:r>
      <w:r w:rsidRPr="00907622">
        <w:rPr>
          <w:rFonts w:ascii="Times New Roman" w:hAnsi="Times New Roman"/>
          <w:szCs w:val="22"/>
          <w:lang w:eastAsia="sk-SK"/>
        </w:rPr>
        <w:t xml:space="preserve"> tis. eur s medziročným </w:t>
      </w:r>
      <w:r w:rsidR="00B61074">
        <w:rPr>
          <w:rFonts w:ascii="Times New Roman" w:hAnsi="Times New Roman"/>
          <w:szCs w:val="22"/>
          <w:lang w:eastAsia="sk-SK"/>
        </w:rPr>
        <w:t>poklesom</w:t>
      </w:r>
      <w:r w:rsidR="00B61074" w:rsidRPr="00954712">
        <w:rPr>
          <w:rFonts w:ascii="Times New Roman" w:hAnsi="Times New Roman"/>
          <w:szCs w:val="22"/>
          <w:lang w:eastAsia="sk-SK"/>
        </w:rPr>
        <w:t xml:space="preserve"> </w:t>
      </w:r>
      <w:r w:rsidRPr="00907622">
        <w:rPr>
          <w:rFonts w:ascii="Times New Roman" w:hAnsi="Times New Roman"/>
          <w:szCs w:val="22"/>
          <w:lang w:eastAsia="sk-SK"/>
        </w:rPr>
        <w:t>o </w:t>
      </w:r>
      <w:r w:rsidR="00B61074">
        <w:rPr>
          <w:rFonts w:ascii="Times New Roman" w:hAnsi="Times New Roman"/>
          <w:szCs w:val="22"/>
          <w:lang w:eastAsia="sk-SK"/>
        </w:rPr>
        <w:t>1</w:t>
      </w:r>
      <w:r w:rsidR="0021751D">
        <w:rPr>
          <w:rFonts w:ascii="Times New Roman" w:hAnsi="Times New Roman"/>
          <w:szCs w:val="22"/>
          <w:lang w:eastAsia="sk-SK"/>
        </w:rPr>
        <w:t> </w:t>
      </w:r>
      <w:r w:rsidR="00B61074">
        <w:rPr>
          <w:rFonts w:ascii="Times New Roman" w:hAnsi="Times New Roman"/>
          <w:szCs w:val="22"/>
          <w:lang w:eastAsia="sk-SK"/>
        </w:rPr>
        <w:t>518</w:t>
      </w:r>
      <w:r w:rsidR="0021751D">
        <w:rPr>
          <w:rFonts w:ascii="Times New Roman" w:hAnsi="Times New Roman"/>
          <w:szCs w:val="22"/>
          <w:lang w:eastAsia="sk-SK"/>
        </w:rPr>
        <w:t> </w:t>
      </w:r>
      <w:r w:rsidR="00B61074">
        <w:rPr>
          <w:rFonts w:ascii="Times New Roman" w:hAnsi="Times New Roman"/>
          <w:szCs w:val="22"/>
          <w:lang w:eastAsia="sk-SK"/>
        </w:rPr>
        <w:t>253</w:t>
      </w:r>
      <w:r w:rsidRPr="00907622">
        <w:rPr>
          <w:rFonts w:ascii="Times New Roman" w:hAnsi="Times New Roman"/>
          <w:szCs w:val="22"/>
          <w:lang w:eastAsia="sk-SK"/>
        </w:rPr>
        <w:t> tis. eur.</w:t>
      </w:r>
    </w:p>
    <w:p w14:paraId="5B61917B" w14:textId="53B18F08" w:rsidR="00647542" w:rsidRPr="00907622" w:rsidRDefault="00647542" w:rsidP="009E3C89">
      <w:pPr>
        <w:spacing w:after="120" w:line="240" w:lineRule="auto"/>
        <w:jc w:val="both"/>
        <w:rPr>
          <w:rFonts w:ascii="Times New Roman" w:hAnsi="Times New Roman"/>
          <w:b/>
          <w:iCs/>
          <w:sz w:val="18"/>
          <w:szCs w:val="18"/>
        </w:rPr>
      </w:pPr>
      <w:r w:rsidRPr="00907622">
        <w:rPr>
          <w:rFonts w:ascii="Times New Roman" w:hAnsi="Times New Roman"/>
          <w:szCs w:val="22"/>
          <w:lang w:eastAsia="sk-SK"/>
        </w:rPr>
        <w:t xml:space="preserve">Súčasťou krátkodobých záväzkov sú aj bankové úvery so splatnosťou do jedného roka v sume </w:t>
      </w:r>
      <w:r w:rsidR="001F54EB">
        <w:rPr>
          <w:rFonts w:ascii="Times New Roman" w:hAnsi="Times New Roman"/>
          <w:szCs w:val="22"/>
          <w:lang w:eastAsia="sk-SK"/>
        </w:rPr>
        <w:t>1</w:t>
      </w:r>
      <w:r w:rsidR="00AA4332">
        <w:rPr>
          <w:rFonts w:ascii="Times New Roman" w:hAnsi="Times New Roman"/>
          <w:szCs w:val="22"/>
          <w:lang w:eastAsia="sk-SK"/>
        </w:rPr>
        <w:t> 299</w:t>
      </w:r>
      <w:r w:rsidR="0021751D">
        <w:rPr>
          <w:rFonts w:ascii="Times New Roman" w:hAnsi="Times New Roman"/>
          <w:szCs w:val="22"/>
          <w:lang w:eastAsia="sk-SK"/>
        </w:rPr>
        <w:t> </w:t>
      </w:r>
      <w:r w:rsidR="00AA4332">
        <w:rPr>
          <w:rFonts w:ascii="Times New Roman" w:hAnsi="Times New Roman"/>
          <w:szCs w:val="22"/>
          <w:lang w:eastAsia="sk-SK"/>
        </w:rPr>
        <w:t>194</w:t>
      </w:r>
      <w:r w:rsidRPr="00907622">
        <w:rPr>
          <w:rFonts w:ascii="Times New Roman" w:hAnsi="Times New Roman"/>
          <w:szCs w:val="22"/>
          <w:lang w:eastAsia="sk-SK"/>
        </w:rPr>
        <w:t> tis. eur (202</w:t>
      </w:r>
      <w:r w:rsidR="001F54EB">
        <w:rPr>
          <w:rFonts w:ascii="Times New Roman" w:hAnsi="Times New Roman"/>
          <w:szCs w:val="22"/>
          <w:lang w:eastAsia="sk-SK"/>
        </w:rPr>
        <w:t>3</w:t>
      </w:r>
      <w:r w:rsidRPr="00907622">
        <w:rPr>
          <w:rFonts w:ascii="Times New Roman" w:hAnsi="Times New Roman"/>
          <w:szCs w:val="22"/>
          <w:lang w:eastAsia="sk-SK"/>
        </w:rPr>
        <w:t xml:space="preserve">: </w:t>
      </w:r>
      <w:r w:rsidR="001F54EB">
        <w:rPr>
          <w:rFonts w:ascii="Times New Roman" w:hAnsi="Times New Roman"/>
          <w:szCs w:val="22"/>
          <w:lang w:eastAsia="sk-SK"/>
        </w:rPr>
        <w:t>839</w:t>
      </w:r>
      <w:r w:rsidR="0021751D">
        <w:rPr>
          <w:rFonts w:ascii="Times New Roman" w:hAnsi="Times New Roman"/>
          <w:szCs w:val="22"/>
          <w:lang w:eastAsia="sk-SK"/>
        </w:rPr>
        <w:t> </w:t>
      </w:r>
      <w:r w:rsidR="001F54EB">
        <w:rPr>
          <w:rFonts w:ascii="Times New Roman" w:hAnsi="Times New Roman"/>
          <w:szCs w:val="22"/>
          <w:lang w:eastAsia="sk-SK"/>
        </w:rPr>
        <w:t>811</w:t>
      </w:r>
      <w:r w:rsidRPr="00907622">
        <w:rPr>
          <w:rFonts w:ascii="Times New Roman" w:hAnsi="Times New Roman"/>
          <w:szCs w:val="22"/>
          <w:lang w:eastAsia="sk-SK"/>
        </w:rPr>
        <w:t xml:space="preserve"> tis. eur) a záväzky zo zúčtovania medzi subjektami verejnej správy v sume </w:t>
      </w:r>
      <w:r w:rsidR="00ED0603">
        <w:rPr>
          <w:rFonts w:ascii="Times New Roman" w:hAnsi="Times New Roman"/>
          <w:szCs w:val="22"/>
          <w:lang w:eastAsia="sk-SK"/>
        </w:rPr>
        <w:t>621 881</w:t>
      </w:r>
      <w:r w:rsidRPr="00907622">
        <w:rPr>
          <w:rFonts w:ascii="Times New Roman" w:hAnsi="Times New Roman"/>
          <w:szCs w:val="22"/>
          <w:lang w:eastAsia="sk-SK"/>
        </w:rPr>
        <w:t> tis. eur (202</w:t>
      </w:r>
      <w:r w:rsidR="000A2ADA">
        <w:rPr>
          <w:rFonts w:ascii="Times New Roman" w:hAnsi="Times New Roman"/>
          <w:szCs w:val="22"/>
          <w:lang w:eastAsia="sk-SK"/>
        </w:rPr>
        <w:t>3</w:t>
      </w:r>
      <w:r w:rsidRPr="00907622">
        <w:rPr>
          <w:rFonts w:ascii="Times New Roman" w:hAnsi="Times New Roman"/>
          <w:szCs w:val="22"/>
          <w:lang w:eastAsia="sk-SK"/>
        </w:rPr>
        <w:t xml:space="preserve">: </w:t>
      </w:r>
      <w:r w:rsidR="00ED0603">
        <w:rPr>
          <w:rFonts w:ascii="Times New Roman" w:hAnsi="Times New Roman"/>
          <w:szCs w:val="22"/>
          <w:lang w:eastAsia="sk-SK"/>
        </w:rPr>
        <w:t>530</w:t>
      </w:r>
      <w:r w:rsidR="0021751D">
        <w:rPr>
          <w:rFonts w:ascii="Times New Roman" w:hAnsi="Times New Roman"/>
          <w:szCs w:val="22"/>
          <w:lang w:eastAsia="sk-SK"/>
        </w:rPr>
        <w:t> </w:t>
      </w:r>
      <w:r w:rsidR="00ED0603">
        <w:rPr>
          <w:rFonts w:ascii="Times New Roman" w:hAnsi="Times New Roman"/>
          <w:szCs w:val="22"/>
          <w:lang w:eastAsia="sk-SK"/>
        </w:rPr>
        <w:t>527</w:t>
      </w:r>
      <w:r w:rsidRPr="00907622">
        <w:rPr>
          <w:rFonts w:ascii="Times New Roman" w:hAnsi="Times New Roman"/>
          <w:szCs w:val="22"/>
          <w:lang w:eastAsia="sk-SK"/>
        </w:rPr>
        <w:t> tis. eur).</w:t>
      </w:r>
    </w:p>
    <w:p w14:paraId="491713B8" w14:textId="485E1B19" w:rsidR="00647542" w:rsidRDefault="00647542" w:rsidP="00647542">
      <w:pPr>
        <w:pStyle w:val="Popis"/>
        <w:keepNext/>
        <w:rPr>
          <w:noProof/>
        </w:rPr>
      </w:pPr>
      <w:r w:rsidRPr="00907622">
        <w:t xml:space="preserve">Tabuľka </w:t>
      </w:r>
      <w:r w:rsidRPr="00907622">
        <w:fldChar w:fldCharType="begin"/>
      </w:r>
      <w:r w:rsidRPr="00907622">
        <w:instrText xml:space="preserve"> SEQ Tabuľka \* ARABIC </w:instrText>
      </w:r>
      <w:r w:rsidRPr="00907622">
        <w:fldChar w:fldCharType="separate"/>
      </w:r>
      <w:r w:rsidRPr="00907622">
        <w:rPr>
          <w:noProof/>
        </w:rPr>
        <w:t>16</w:t>
      </w:r>
      <w:r w:rsidRPr="00907622">
        <w:rPr>
          <w:noProof/>
        </w:rPr>
        <w:fldChar w:fldCharType="end"/>
      </w:r>
    </w:p>
    <w:tbl>
      <w:tblPr>
        <w:tblW w:w="5000" w:type="pct"/>
        <w:jc w:val="center"/>
        <w:tblCellMar>
          <w:left w:w="70" w:type="dxa"/>
          <w:right w:w="70" w:type="dxa"/>
        </w:tblCellMar>
        <w:tblLook w:val="04A0" w:firstRow="1" w:lastRow="0" w:firstColumn="1" w:lastColumn="0" w:noHBand="0" w:noVBand="1"/>
      </w:tblPr>
      <w:tblGrid>
        <w:gridCol w:w="5000"/>
        <w:gridCol w:w="1357"/>
        <w:gridCol w:w="1357"/>
        <w:gridCol w:w="1357"/>
      </w:tblGrid>
      <w:tr w:rsidR="003F2560" w:rsidRPr="003F2560" w14:paraId="095ED297" w14:textId="77777777" w:rsidTr="0085799C">
        <w:trPr>
          <w:trHeight w:val="227"/>
          <w:jc w:val="center"/>
        </w:trPr>
        <w:tc>
          <w:tcPr>
            <w:tcW w:w="2756" w:type="pct"/>
            <w:tcBorders>
              <w:top w:val="single" w:sz="8" w:space="0" w:color="auto"/>
              <w:left w:val="nil"/>
              <w:bottom w:val="single" w:sz="8" w:space="0" w:color="000000"/>
              <w:right w:val="nil"/>
            </w:tcBorders>
            <w:shd w:val="clear" w:color="000000" w:fill="F4B084"/>
            <w:noWrap/>
            <w:vAlign w:val="center"/>
            <w:hideMark/>
          </w:tcPr>
          <w:p w14:paraId="04660E23" w14:textId="77777777" w:rsidR="003F2560" w:rsidRPr="003F2560" w:rsidRDefault="003F2560" w:rsidP="003F2560">
            <w:pPr>
              <w:spacing w:after="0" w:line="240" w:lineRule="auto"/>
              <w:rPr>
                <w:rFonts w:ascii="Times New Roman" w:hAnsi="Times New Roman"/>
                <w:color w:val="000000"/>
                <w:sz w:val="18"/>
                <w:szCs w:val="18"/>
                <w:lang w:eastAsia="sk-SK"/>
              </w:rPr>
            </w:pPr>
            <w:r w:rsidRPr="003F2560">
              <w:rPr>
                <w:rFonts w:ascii="Times New Roman" w:hAnsi="Times New Roman"/>
                <w:b/>
                <w:bCs/>
                <w:color w:val="000000"/>
                <w:sz w:val="18"/>
                <w:szCs w:val="18"/>
                <w:lang w:eastAsia="sk-SK"/>
              </w:rPr>
              <w:t>Záväzky súhrnného celku</w:t>
            </w:r>
          </w:p>
        </w:tc>
        <w:tc>
          <w:tcPr>
            <w:tcW w:w="748" w:type="pct"/>
            <w:tcBorders>
              <w:top w:val="single" w:sz="8" w:space="0" w:color="auto"/>
              <w:left w:val="nil"/>
              <w:bottom w:val="single" w:sz="8" w:space="0" w:color="000000"/>
              <w:right w:val="nil"/>
            </w:tcBorders>
            <w:shd w:val="clear" w:color="000000" w:fill="F4B084"/>
            <w:noWrap/>
            <w:vAlign w:val="center"/>
            <w:hideMark/>
          </w:tcPr>
          <w:p w14:paraId="5A38F8AE" w14:textId="77777777" w:rsidR="003F2560" w:rsidRPr="003F2560" w:rsidRDefault="003F2560" w:rsidP="003F2560">
            <w:pPr>
              <w:spacing w:after="0" w:line="240" w:lineRule="auto"/>
              <w:jc w:val="center"/>
              <w:rPr>
                <w:rFonts w:ascii="Times New Roman" w:hAnsi="Times New Roman"/>
                <w:color w:val="000000"/>
                <w:sz w:val="18"/>
                <w:szCs w:val="18"/>
                <w:lang w:eastAsia="sk-SK"/>
              </w:rPr>
            </w:pPr>
            <w:r w:rsidRPr="003F2560">
              <w:rPr>
                <w:rFonts w:ascii="Times New Roman" w:hAnsi="Times New Roman"/>
                <w:color w:val="000000"/>
                <w:sz w:val="18"/>
                <w:szCs w:val="18"/>
                <w:lang w:eastAsia="sk-SK"/>
              </w:rPr>
              <w:t> </w:t>
            </w:r>
          </w:p>
        </w:tc>
        <w:tc>
          <w:tcPr>
            <w:tcW w:w="748" w:type="pct"/>
            <w:tcBorders>
              <w:top w:val="single" w:sz="8" w:space="0" w:color="auto"/>
              <w:left w:val="nil"/>
              <w:bottom w:val="single" w:sz="8" w:space="0" w:color="000000"/>
              <w:right w:val="nil"/>
            </w:tcBorders>
            <w:shd w:val="clear" w:color="000000" w:fill="F4B084"/>
            <w:noWrap/>
            <w:vAlign w:val="center"/>
            <w:hideMark/>
          </w:tcPr>
          <w:p w14:paraId="56A90C3E" w14:textId="77777777" w:rsidR="003F2560" w:rsidRPr="003F2560" w:rsidRDefault="003F2560" w:rsidP="003F2560">
            <w:pPr>
              <w:spacing w:after="0" w:line="240" w:lineRule="auto"/>
              <w:jc w:val="center"/>
              <w:rPr>
                <w:rFonts w:ascii="Times New Roman" w:hAnsi="Times New Roman"/>
                <w:b/>
                <w:bCs/>
                <w:color w:val="000000"/>
                <w:sz w:val="18"/>
                <w:szCs w:val="18"/>
                <w:lang w:eastAsia="sk-SK"/>
              </w:rPr>
            </w:pPr>
            <w:r w:rsidRPr="003F2560">
              <w:rPr>
                <w:rFonts w:ascii="Times New Roman" w:hAnsi="Times New Roman"/>
                <w:b/>
                <w:bCs/>
                <w:color w:val="000000"/>
                <w:sz w:val="18"/>
                <w:szCs w:val="18"/>
                <w:lang w:eastAsia="sk-SK"/>
              </w:rPr>
              <w:t>(v tis. eur)</w:t>
            </w:r>
          </w:p>
        </w:tc>
        <w:tc>
          <w:tcPr>
            <w:tcW w:w="748" w:type="pct"/>
            <w:tcBorders>
              <w:top w:val="single" w:sz="8" w:space="0" w:color="auto"/>
              <w:left w:val="nil"/>
              <w:bottom w:val="single" w:sz="8" w:space="0" w:color="000000"/>
              <w:right w:val="nil"/>
            </w:tcBorders>
            <w:shd w:val="clear" w:color="000000" w:fill="F4B084"/>
            <w:noWrap/>
            <w:vAlign w:val="center"/>
            <w:hideMark/>
          </w:tcPr>
          <w:p w14:paraId="2E4788FB" w14:textId="77777777" w:rsidR="003F2560" w:rsidRPr="003F2560" w:rsidRDefault="003F2560" w:rsidP="003F2560">
            <w:pPr>
              <w:spacing w:after="0" w:line="240" w:lineRule="auto"/>
              <w:jc w:val="center"/>
              <w:rPr>
                <w:rFonts w:ascii="Times New Roman" w:hAnsi="Times New Roman"/>
                <w:color w:val="000000"/>
                <w:sz w:val="18"/>
                <w:szCs w:val="18"/>
                <w:lang w:eastAsia="sk-SK"/>
              </w:rPr>
            </w:pPr>
            <w:r w:rsidRPr="003F2560">
              <w:rPr>
                <w:rFonts w:ascii="Times New Roman" w:hAnsi="Times New Roman"/>
                <w:color w:val="000000"/>
                <w:sz w:val="18"/>
                <w:szCs w:val="18"/>
                <w:lang w:eastAsia="sk-SK"/>
              </w:rPr>
              <w:t> </w:t>
            </w:r>
          </w:p>
        </w:tc>
      </w:tr>
      <w:tr w:rsidR="003F2560" w:rsidRPr="003F2560" w14:paraId="5FBD7317" w14:textId="77777777" w:rsidTr="0085799C">
        <w:trPr>
          <w:trHeight w:val="227"/>
          <w:jc w:val="center"/>
        </w:trPr>
        <w:tc>
          <w:tcPr>
            <w:tcW w:w="2756" w:type="pct"/>
            <w:tcBorders>
              <w:top w:val="nil"/>
              <w:left w:val="nil"/>
              <w:bottom w:val="single" w:sz="8" w:space="0" w:color="auto"/>
              <w:right w:val="nil"/>
            </w:tcBorders>
            <w:shd w:val="clear" w:color="000000" w:fill="BDD7EE"/>
            <w:vAlign w:val="center"/>
            <w:hideMark/>
          </w:tcPr>
          <w:p w14:paraId="15C19053" w14:textId="77777777" w:rsidR="003F2560" w:rsidRPr="003F2560" w:rsidRDefault="003F2560" w:rsidP="003F2560">
            <w:pPr>
              <w:spacing w:after="0" w:line="240" w:lineRule="auto"/>
              <w:rPr>
                <w:rFonts w:ascii="Times New Roman" w:hAnsi="Times New Roman"/>
                <w:b/>
                <w:bCs/>
                <w:color w:val="000000"/>
                <w:sz w:val="18"/>
                <w:szCs w:val="18"/>
                <w:lang w:eastAsia="sk-SK"/>
              </w:rPr>
            </w:pPr>
            <w:r w:rsidRPr="003F2560">
              <w:rPr>
                <w:rFonts w:ascii="Times New Roman" w:hAnsi="Times New Roman"/>
                <w:b/>
                <w:bCs/>
                <w:color w:val="000000"/>
                <w:sz w:val="18"/>
                <w:szCs w:val="18"/>
                <w:lang w:eastAsia="sk-SK"/>
              </w:rPr>
              <w:t>Krátkodobé záväzky</w:t>
            </w:r>
          </w:p>
        </w:tc>
        <w:tc>
          <w:tcPr>
            <w:tcW w:w="748" w:type="pct"/>
            <w:tcBorders>
              <w:top w:val="nil"/>
              <w:left w:val="nil"/>
              <w:bottom w:val="single" w:sz="8" w:space="0" w:color="auto"/>
              <w:right w:val="nil"/>
            </w:tcBorders>
            <w:shd w:val="clear" w:color="000000" w:fill="BDD7EE"/>
            <w:vAlign w:val="center"/>
            <w:hideMark/>
          </w:tcPr>
          <w:p w14:paraId="3DCA6CBC" w14:textId="77777777" w:rsidR="003F2560" w:rsidRPr="003F2560" w:rsidRDefault="003F2560" w:rsidP="003F2560">
            <w:pPr>
              <w:spacing w:after="0" w:line="240" w:lineRule="auto"/>
              <w:jc w:val="center"/>
              <w:rPr>
                <w:rFonts w:ascii="Times New Roman" w:hAnsi="Times New Roman"/>
                <w:b/>
                <w:bCs/>
                <w:color w:val="000000"/>
                <w:sz w:val="18"/>
                <w:szCs w:val="18"/>
                <w:lang w:eastAsia="sk-SK"/>
              </w:rPr>
            </w:pPr>
            <w:r w:rsidRPr="003F2560">
              <w:rPr>
                <w:rFonts w:ascii="Times New Roman" w:hAnsi="Times New Roman"/>
                <w:b/>
                <w:bCs/>
                <w:color w:val="000000"/>
                <w:sz w:val="18"/>
                <w:szCs w:val="18"/>
                <w:lang w:eastAsia="sk-SK"/>
              </w:rPr>
              <w:t>2024</w:t>
            </w:r>
          </w:p>
        </w:tc>
        <w:tc>
          <w:tcPr>
            <w:tcW w:w="748" w:type="pct"/>
            <w:tcBorders>
              <w:top w:val="nil"/>
              <w:left w:val="nil"/>
              <w:bottom w:val="single" w:sz="8" w:space="0" w:color="auto"/>
              <w:right w:val="nil"/>
            </w:tcBorders>
            <w:shd w:val="clear" w:color="000000" w:fill="BDD7EE"/>
            <w:vAlign w:val="center"/>
            <w:hideMark/>
          </w:tcPr>
          <w:p w14:paraId="19BA4510" w14:textId="77777777" w:rsidR="003F2560" w:rsidRPr="003F2560" w:rsidRDefault="003F2560" w:rsidP="003F2560">
            <w:pPr>
              <w:spacing w:after="0" w:line="240" w:lineRule="auto"/>
              <w:jc w:val="center"/>
              <w:rPr>
                <w:rFonts w:ascii="Times New Roman" w:hAnsi="Times New Roman"/>
                <w:b/>
                <w:bCs/>
                <w:color w:val="000000"/>
                <w:sz w:val="18"/>
                <w:szCs w:val="18"/>
                <w:lang w:eastAsia="sk-SK"/>
              </w:rPr>
            </w:pPr>
            <w:r w:rsidRPr="003F2560">
              <w:rPr>
                <w:rFonts w:ascii="Times New Roman" w:hAnsi="Times New Roman"/>
                <w:b/>
                <w:bCs/>
                <w:color w:val="000000"/>
                <w:sz w:val="18"/>
                <w:szCs w:val="18"/>
                <w:lang w:eastAsia="sk-SK"/>
              </w:rPr>
              <w:t>2023</w:t>
            </w:r>
          </w:p>
        </w:tc>
        <w:tc>
          <w:tcPr>
            <w:tcW w:w="748" w:type="pct"/>
            <w:tcBorders>
              <w:top w:val="nil"/>
              <w:left w:val="nil"/>
              <w:bottom w:val="single" w:sz="8" w:space="0" w:color="auto"/>
              <w:right w:val="nil"/>
            </w:tcBorders>
            <w:shd w:val="clear" w:color="000000" w:fill="BDD7EE"/>
            <w:vAlign w:val="center"/>
            <w:hideMark/>
          </w:tcPr>
          <w:p w14:paraId="19F82558" w14:textId="77777777" w:rsidR="003F2560" w:rsidRPr="003F2560" w:rsidRDefault="003F2560" w:rsidP="003F2560">
            <w:pPr>
              <w:spacing w:after="0" w:line="240" w:lineRule="auto"/>
              <w:jc w:val="center"/>
              <w:rPr>
                <w:rFonts w:ascii="Times New Roman" w:hAnsi="Times New Roman"/>
                <w:b/>
                <w:bCs/>
                <w:color w:val="000000"/>
                <w:sz w:val="18"/>
                <w:szCs w:val="18"/>
                <w:lang w:eastAsia="sk-SK"/>
              </w:rPr>
            </w:pPr>
            <w:r w:rsidRPr="003F2560">
              <w:rPr>
                <w:rFonts w:ascii="Times New Roman" w:hAnsi="Times New Roman"/>
                <w:b/>
                <w:bCs/>
                <w:color w:val="000000"/>
                <w:sz w:val="18"/>
                <w:szCs w:val="18"/>
                <w:lang w:eastAsia="sk-SK"/>
              </w:rPr>
              <w:t>Δ 2024-2023</w:t>
            </w:r>
          </w:p>
        </w:tc>
      </w:tr>
      <w:tr w:rsidR="003F2560" w:rsidRPr="003F2560" w14:paraId="0FF63794" w14:textId="77777777" w:rsidTr="0085799C">
        <w:trPr>
          <w:trHeight w:val="227"/>
          <w:jc w:val="center"/>
        </w:trPr>
        <w:tc>
          <w:tcPr>
            <w:tcW w:w="2756" w:type="pct"/>
            <w:tcBorders>
              <w:top w:val="nil"/>
              <w:left w:val="nil"/>
              <w:bottom w:val="nil"/>
              <w:right w:val="nil"/>
            </w:tcBorders>
            <w:vAlign w:val="center"/>
            <w:hideMark/>
          </w:tcPr>
          <w:p w14:paraId="01F51632" w14:textId="77777777" w:rsidR="003F2560" w:rsidRPr="003F2560" w:rsidRDefault="003F2560" w:rsidP="003F2560">
            <w:pPr>
              <w:spacing w:after="0" w:line="240" w:lineRule="auto"/>
              <w:rPr>
                <w:rFonts w:ascii="Times New Roman" w:hAnsi="Times New Roman"/>
                <w:color w:val="000000"/>
                <w:sz w:val="18"/>
                <w:szCs w:val="18"/>
                <w:lang w:eastAsia="sk-SK"/>
              </w:rPr>
            </w:pPr>
            <w:r w:rsidRPr="003F2560">
              <w:rPr>
                <w:rFonts w:ascii="Times New Roman" w:hAnsi="Times New Roman"/>
                <w:color w:val="000000"/>
                <w:sz w:val="18"/>
                <w:szCs w:val="18"/>
                <w:lang w:eastAsia="sk-SK"/>
              </w:rPr>
              <w:t xml:space="preserve">Štátne dlhopisy </w:t>
            </w:r>
          </w:p>
        </w:tc>
        <w:tc>
          <w:tcPr>
            <w:tcW w:w="748" w:type="pct"/>
            <w:tcBorders>
              <w:top w:val="nil"/>
              <w:left w:val="nil"/>
              <w:bottom w:val="nil"/>
              <w:right w:val="nil"/>
            </w:tcBorders>
            <w:vAlign w:val="center"/>
            <w:hideMark/>
          </w:tcPr>
          <w:p w14:paraId="326131AA"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6 800 716</w:t>
            </w:r>
          </w:p>
        </w:tc>
        <w:tc>
          <w:tcPr>
            <w:tcW w:w="748" w:type="pct"/>
            <w:tcBorders>
              <w:top w:val="nil"/>
              <w:left w:val="nil"/>
              <w:bottom w:val="nil"/>
              <w:right w:val="nil"/>
            </w:tcBorders>
            <w:vAlign w:val="center"/>
            <w:hideMark/>
          </w:tcPr>
          <w:p w14:paraId="55BB14C2"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5 301 297</w:t>
            </w:r>
          </w:p>
        </w:tc>
        <w:tc>
          <w:tcPr>
            <w:tcW w:w="748" w:type="pct"/>
            <w:tcBorders>
              <w:top w:val="nil"/>
              <w:left w:val="nil"/>
              <w:bottom w:val="nil"/>
              <w:right w:val="nil"/>
            </w:tcBorders>
            <w:vAlign w:val="center"/>
            <w:hideMark/>
          </w:tcPr>
          <w:p w14:paraId="05184AB2"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1 499 419</w:t>
            </w:r>
          </w:p>
        </w:tc>
      </w:tr>
      <w:tr w:rsidR="003F2560" w:rsidRPr="003F2560" w14:paraId="3511A679" w14:textId="77777777" w:rsidTr="0085799C">
        <w:trPr>
          <w:trHeight w:val="227"/>
          <w:jc w:val="center"/>
        </w:trPr>
        <w:tc>
          <w:tcPr>
            <w:tcW w:w="2756" w:type="pct"/>
            <w:tcBorders>
              <w:top w:val="nil"/>
              <w:left w:val="nil"/>
              <w:bottom w:val="nil"/>
              <w:right w:val="nil"/>
            </w:tcBorders>
            <w:vAlign w:val="center"/>
            <w:hideMark/>
          </w:tcPr>
          <w:p w14:paraId="73BEE2FB" w14:textId="77777777" w:rsidR="003F2560" w:rsidRPr="003F2560" w:rsidRDefault="003F2560" w:rsidP="003F2560">
            <w:pPr>
              <w:spacing w:after="0" w:line="240" w:lineRule="auto"/>
              <w:rPr>
                <w:rFonts w:ascii="Times New Roman" w:hAnsi="Times New Roman"/>
                <w:color w:val="000000"/>
                <w:sz w:val="18"/>
                <w:szCs w:val="18"/>
                <w:lang w:eastAsia="sk-SK"/>
              </w:rPr>
            </w:pPr>
            <w:r w:rsidRPr="003F2560">
              <w:rPr>
                <w:rFonts w:ascii="Times New Roman" w:hAnsi="Times New Roman"/>
                <w:color w:val="000000"/>
                <w:sz w:val="18"/>
                <w:szCs w:val="18"/>
                <w:lang w:eastAsia="sk-SK"/>
              </w:rPr>
              <w:t>Zúčtovanie prijatých prostriedkov z EÚ</w:t>
            </w:r>
          </w:p>
        </w:tc>
        <w:tc>
          <w:tcPr>
            <w:tcW w:w="748" w:type="pct"/>
            <w:tcBorders>
              <w:top w:val="nil"/>
              <w:left w:val="nil"/>
              <w:bottom w:val="nil"/>
              <w:right w:val="nil"/>
            </w:tcBorders>
            <w:vAlign w:val="center"/>
            <w:hideMark/>
          </w:tcPr>
          <w:p w14:paraId="7D16BC8D"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3 317 473</w:t>
            </w:r>
          </w:p>
        </w:tc>
        <w:tc>
          <w:tcPr>
            <w:tcW w:w="748" w:type="pct"/>
            <w:tcBorders>
              <w:top w:val="nil"/>
              <w:left w:val="nil"/>
              <w:bottom w:val="nil"/>
              <w:right w:val="nil"/>
            </w:tcBorders>
            <w:vAlign w:val="center"/>
            <w:hideMark/>
          </w:tcPr>
          <w:p w14:paraId="6C4C79B6"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4 835 726</w:t>
            </w:r>
          </w:p>
        </w:tc>
        <w:tc>
          <w:tcPr>
            <w:tcW w:w="748" w:type="pct"/>
            <w:tcBorders>
              <w:top w:val="nil"/>
              <w:left w:val="nil"/>
              <w:bottom w:val="nil"/>
              <w:right w:val="nil"/>
            </w:tcBorders>
            <w:vAlign w:val="center"/>
            <w:hideMark/>
          </w:tcPr>
          <w:p w14:paraId="4CE62B22"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-1 518 253</w:t>
            </w:r>
          </w:p>
        </w:tc>
      </w:tr>
      <w:tr w:rsidR="003F2560" w:rsidRPr="003F2560" w14:paraId="58B8D0FB" w14:textId="77777777" w:rsidTr="0085799C">
        <w:trPr>
          <w:trHeight w:val="227"/>
          <w:jc w:val="center"/>
        </w:trPr>
        <w:tc>
          <w:tcPr>
            <w:tcW w:w="2756" w:type="pct"/>
            <w:tcBorders>
              <w:top w:val="nil"/>
              <w:left w:val="nil"/>
              <w:bottom w:val="nil"/>
              <w:right w:val="nil"/>
            </w:tcBorders>
            <w:vAlign w:val="center"/>
            <w:hideMark/>
          </w:tcPr>
          <w:p w14:paraId="012C31C0" w14:textId="77777777" w:rsidR="003F2560" w:rsidRPr="003F2560" w:rsidRDefault="003F2560" w:rsidP="003F2560">
            <w:pPr>
              <w:spacing w:after="0" w:line="240" w:lineRule="auto"/>
              <w:rPr>
                <w:rFonts w:ascii="Times New Roman" w:hAnsi="Times New Roman"/>
                <w:color w:val="000000"/>
                <w:sz w:val="18"/>
                <w:szCs w:val="18"/>
                <w:lang w:eastAsia="sk-SK"/>
              </w:rPr>
            </w:pPr>
            <w:r w:rsidRPr="003F2560">
              <w:rPr>
                <w:rFonts w:ascii="Times New Roman" w:hAnsi="Times New Roman"/>
                <w:color w:val="000000"/>
                <w:sz w:val="18"/>
                <w:szCs w:val="18"/>
                <w:lang w:eastAsia="sk-SK"/>
              </w:rPr>
              <w:t>Dodávatelia</w:t>
            </w:r>
          </w:p>
        </w:tc>
        <w:tc>
          <w:tcPr>
            <w:tcW w:w="748" w:type="pct"/>
            <w:tcBorders>
              <w:top w:val="nil"/>
              <w:left w:val="nil"/>
              <w:bottom w:val="nil"/>
              <w:right w:val="nil"/>
            </w:tcBorders>
            <w:vAlign w:val="center"/>
            <w:hideMark/>
          </w:tcPr>
          <w:p w14:paraId="177D324C"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1 955 710</w:t>
            </w:r>
          </w:p>
        </w:tc>
        <w:tc>
          <w:tcPr>
            <w:tcW w:w="748" w:type="pct"/>
            <w:tcBorders>
              <w:top w:val="nil"/>
              <w:left w:val="nil"/>
              <w:bottom w:val="nil"/>
              <w:right w:val="nil"/>
            </w:tcBorders>
            <w:vAlign w:val="center"/>
            <w:hideMark/>
          </w:tcPr>
          <w:p w14:paraId="38FF5325"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1 467 011</w:t>
            </w:r>
          </w:p>
        </w:tc>
        <w:tc>
          <w:tcPr>
            <w:tcW w:w="748" w:type="pct"/>
            <w:tcBorders>
              <w:top w:val="nil"/>
              <w:left w:val="nil"/>
              <w:bottom w:val="nil"/>
              <w:right w:val="nil"/>
            </w:tcBorders>
            <w:vAlign w:val="center"/>
            <w:hideMark/>
          </w:tcPr>
          <w:p w14:paraId="36258700"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488 699</w:t>
            </w:r>
          </w:p>
        </w:tc>
      </w:tr>
      <w:tr w:rsidR="003F2560" w:rsidRPr="003F2560" w14:paraId="77DC71D6" w14:textId="77777777" w:rsidTr="0085799C">
        <w:trPr>
          <w:trHeight w:val="227"/>
          <w:jc w:val="center"/>
        </w:trPr>
        <w:tc>
          <w:tcPr>
            <w:tcW w:w="2756" w:type="pct"/>
            <w:tcBorders>
              <w:top w:val="nil"/>
              <w:left w:val="nil"/>
              <w:bottom w:val="nil"/>
              <w:right w:val="nil"/>
            </w:tcBorders>
            <w:vAlign w:val="center"/>
            <w:hideMark/>
          </w:tcPr>
          <w:p w14:paraId="4536200C" w14:textId="77777777" w:rsidR="003F2560" w:rsidRPr="003F2560" w:rsidRDefault="003F2560" w:rsidP="003F2560">
            <w:pPr>
              <w:spacing w:after="0" w:line="240" w:lineRule="auto"/>
              <w:rPr>
                <w:rFonts w:ascii="Times New Roman" w:hAnsi="Times New Roman"/>
                <w:color w:val="000000"/>
                <w:sz w:val="18"/>
                <w:szCs w:val="18"/>
                <w:lang w:eastAsia="sk-SK"/>
              </w:rPr>
            </w:pPr>
            <w:r w:rsidRPr="003F2560">
              <w:rPr>
                <w:rFonts w:ascii="Times New Roman" w:hAnsi="Times New Roman"/>
                <w:color w:val="000000"/>
                <w:sz w:val="18"/>
                <w:szCs w:val="18"/>
                <w:lang w:eastAsia="sk-SK"/>
              </w:rPr>
              <w:t>Špecifické záväzky MF SR</w:t>
            </w:r>
          </w:p>
        </w:tc>
        <w:tc>
          <w:tcPr>
            <w:tcW w:w="748" w:type="pct"/>
            <w:tcBorders>
              <w:top w:val="nil"/>
              <w:left w:val="nil"/>
              <w:bottom w:val="nil"/>
              <w:right w:val="nil"/>
            </w:tcBorders>
            <w:vAlign w:val="center"/>
            <w:hideMark/>
          </w:tcPr>
          <w:p w14:paraId="487857A8"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1 846 157</w:t>
            </w:r>
          </w:p>
        </w:tc>
        <w:tc>
          <w:tcPr>
            <w:tcW w:w="748" w:type="pct"/>
            <w:tcBorders>
              <w:top w:val="nil"/>
              <w:left w:val="nil"/>
              <w:bottom w:val="nil"/>
              <w:right w:val="nil"/>
            </w:tcBorders>
            <w:vAlign w:val="center"/>
            <w:hideMark/>
          </w:tcPr>
          <w:p w14:paraId="4BC7A611"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1 742 935</w:t>
            </w:r>
          </w:p>
        </w:tc>
        <w:tc>
          <w:tcPr>
            <w:tcW w:w="748" w:type="pct"/>
            <w:tcBorders>
              <w:top w:val="nil"/>
              <w:left w:val="nil"/>
              <w:bottom w:val="nil"/>
              <w:right w:val="nil"/>
            </w:tcBorders>
            <w:vAlign w:val="center"/>
            <w:hideMark/>
          </w:tcPr>
          <w:p w14:paraId="453AB271"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103 222</w:t>
            </w:r>
          </w:p>
        </w:tc>
      </w:tr>
      <w:tr w:rsidR="003F2560" w:rsidRPr="003F2560" w14:paraId="3E321965" w14:textId="77777777" w:rsidTr="0085799C">
        <w:trPr>
          <w:trHeight w:val="227"/>
          <w:jc w:val="center"/>
        </w:trPr>
        <w:tc>
          <w:tcPr>
            <w:tcW w:w="2756" w:type="pct"/>
            <w:tcBorders>
              <w:top w:val="nil"/>
              <w:left w:val="nil"/>
              <w:bottom w:val="nil"/>
              <w:right w:val="nil"/>
            </w:tcBorders>
            <w:vAlign w:val="center"/>
            <w:hideMark/>
          </w:tcPr>
          <w:p w14:paraId="5F08284F" w14:textId="77777777" w:rsidR="003F2560" w:rsidRPr="003F2560" w:rsidRDefault="003F2560" w:rsidP="003F2560">
            <w:pPr>
              <w:spacing w:after="0" w:line="240" w:lineRule="auto"/>
              <w:rPr>
                <w:rFonts w:ascii="Times New Roman" w:hAnsi="Times New Roman"/>
                <w:color w:val="000000"/>
                <w:sz w:val="18"/>
                <w:szCs w:val="18"/>
                <w:lang w:eastAsia="sk-SK"/>
              </w:rPr>
            </w:pPr>
            <w:r w:rsidRPr="003F2560">
              <w:rPr>
                <w:rFonts w:ascii="Times New Roman" w:hAnsi="Times New Roman"/>
                <w:color w:val="000000"/>
                <w:sz w:val="18"/>
                <w:szCs w:val="18"/>
                <w:lang w:eastAsia="sk-SK"/>
              </w:rPr>
              <w:t>Bankové úvery krátkodobé</w:t>
            </w:r>
          </w:p>
        </w:tc>
        <w:tc>
          <w:tcPr>
            <w:tcW w:w="748" w:type="pct"/>
            <w:tcBorders>
              <w:top w:val="nil"/>
              <w:left w:val="nil"/>
              <w:bottom w:val="nil"/>
              <w:right w:val="nil"/>
            </w:tcBorders>
            <w:vAlign w:val="center"/>
            <w:hideMark/>
          </w:tcPr>
          <w:p w14:paraId="56FF4B6B"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1 299 194</w:t>
            </w:r>
          </w:p>
        </w:tc>
        <w:tc>
          <w:tcPr>
            <w:tcW w:w="748" w:type="pct"/>
            <w:tcBorders>
              <w:top w:val="nil"/>
              <w:left w:val="nil"/>
              <w:bottom w:val="nil"/>
              <w:right w:val="nil"/>
            </w:tcBorders>
            <w:vAlign w:val="center"/>
            <w:hideMark/>
          </w:tcPr>
          <w:p w14:paraId="1AFD3738"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839 811</w:t>
            </w:r>
          </w:p>
        </w:tc>
        <w:tc>
          <w:tcPr>
            <w:tcW w:w="748" w:type="pct"/>
            <w:tcBorders>
              <w:top w:val="nil"/>
              <w:left w:val="nil"/>
              <w:bottom w:val="nil"/>
              <w:right w:val="nil"/>
            </w:tcBorders>
            <w:vAlign w:val="center"/>
            <w:hideMark/>
          </w:tcPr>
          <w:p w14:paraId="7F3C0FAB"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459 383</w:t>
            </w:r>
          </w:p>
        </w:tc>
      </w:tr>
      <w:tr w:rsidR="003F2560" w:rsidRPr="003F2560" w14:paraId="55ADF844" w14:textId="77777777" w:rsidTr="0085799C">
        <w:trPr>
          <w:trHeight w:val="227"/>
          <w:jc w:val="center"/>
        </w:trPr>
        <w:tc>
          <w:tcPr>
            <w:tcW w:w="2756" w:type="pct"/>
            <w:tcBorders>
              <w:top w:val="nil"/>
              <w:left w:val="nil"/>
              <w:bottom w:val="nil"/>
              <w:right w:val="nil"/>
            </w:tcBorders>
            <w:vAlign w:val="center"/>
            <w:hideMark/>
          </w:tcPr>
          <w:p w14:paraId="2304FE5A" w14:textId="77777777" w:rsidR="003F2560" w:rsidRPr="003F2560" w:rsidRDefault="003F2560" w:rsidP="003F2560">
            <w:pPr>
              <w:spacing w:after="0" w:line="240" w:lineRule="auto"/>
              <w:rPr>
                <w:rFonts w:ascii="Times New Roman" w:hAnsi="Times New Roman"/>
                <w:color w:val="000000"/>
                <w:sz w:val="18"/>
                <w:szCs w:val="18"/>
                <w:lang w:eastAsia="sk-SK"/>
              </w:rPr>
            </w:pPr>
            <w:r w:rsidRPr="003F2560">
              <w:rPr>
                <w:rFonts w:ascii="Times New Roman" w:hAnsi="Times New Roman"/>
                <w:color w:val="000000"/>
                <w:sz w:val="18"/>
                <w:szCs w:val="18"/>
                <w:lang w:eastAsia="sk-SK"/>
              </w:rPr>
              <w:t>Zúčtovanie s orgánmi sociálneho a zdravotného poistenia</w:t>
            </w:r>
          </w:p>
        </w:tc>
        <w:tc>
          <w:tcPr>
            <w:tcW w:w="748" w:type="pct"/>
            <w:tcBorders>
              <w:top w:val="nil"/>
              <w:left w:val="nil"/>
              <w:bottom w:val="nil"/>
              <w:right w:val="nil"/>
            </w:tcBorders>
            <w:vAlign w:val="center"/>
            <w:hideMark/>
          </w:tcPr>
          <w:p w14:paraId="119E8130"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837 502</w:t>
            </w:r>
          </w:p>
        </w:tc>
        <w:tc>
          <w:tcPr>
            <w:tcW w:w="748" w:type="pct"/>
            <w:tcBorders>
              <w:top w:val="nil"/>
              <w:left w:val="nil"/>
              <w:bottom w:val="nil"/>
              <w:right w:val="nil"/>
            </w:tcBorders>
            <w:vAlign w:val="center"/>
            <w:hideMark/>
          </w:tcPr>
          <w:p w14:paraId="08CED4A6"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756 770</w:t>
            </w:r>
          </w:p>
        </w:tc>
        <w:tc>
          <w:tcPr>
            <w:tcW w:w="748" w:type="pct"/>
            <w:tcBorders>
              <w:top w:val="nil"/>
              <w:left w:val="nil"/>
              <w:bottom w:val="nil"/>
              <w:right w:val="nil"/>
            </w:tcBorders>
            <w:vAlign w:val="center"/>
            <w:hideMark/>
          </w:tcPr>
          <w:p w14:paraId="01C09F5A"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80 732</w:t>
            </w:r>
          </w:p>
        </w:tc>
      </w:tr>
      <w:tr w:rsidR="003F2560" w:rsidRPr="003F2560" w14:paraId="119058A1" w14:textId="77777777" w:rsidTr="0085799C">
        <w:trPr>
          <w:trHeight w:val="227"/>
          <w:jc w:val="center"/>
        </w:trPr>
        <w:tc>
          <w:tcPr>
            <w:tcW w:w="2756" w:type="pct"/>
            <w:tcBorders>
              <w:top w:val="nil"/>
              <w:left w:val="nil"/>
              <w:bottom w:val="nil"/>
              <w:right w:val="nil"/>
            </w:tcBorders>
            <w:vAlign w:val="center"/>
            <w:hideMark/>
          </w:tcPr>
          <w:p w14:paraId="0E1A27DE" w14:textId="77777777" w:rsidR="003F2560" w:rsidRPr="003F2560" w:rsidRDefault="003F2560" w:rsidP="003F2560">
            <w:pPr>
              <w:spacing w:after="0" w:line="240" w:lineRule="auto"/>
              <w:rPr>
                <w:rFonts w:ascii="Times New Roman" w:hAnsi="Times New Roman"/>
                <w:color w:val="000000"/>
                <w:sz w:val="18"/>
                <w:szCs w:val="18"/>
                <w:lang w:eastAsia="sk-SK"/>
              </w:rPr>
            </w:pPr>
            <w:r w:rsidRPr="003F2560">
              <w:rPr>
                <w:rFonts w:ascii="Times New Roman" w:hAnsi="Times New Roman"/>
                <w:color w:val="000000"/>
                <w:sz w:val="18"/>
                <w:szCs w:val="18"/>
                <w:lang w:eastAsia="sk-SK"/>
              </w:rPr>
              <w:t>Zamestnanci</w:t>
            </w:r>
          </w:p>
        </w:tc>
        <w:tc>
          <w:tcPr>
            <w:tcW w:w="748" w:type="pct"/>
            <w:tcBorders>
              <w:top w:val="nil"/>
              <w:left w:val="nil"/>
              <w:bottom w:val="nil"/>
              <w:right w:val="nil"/>
            </w:tcBorders>
            <w:vAlign w:val="center"/>
            <w:hideMark/>
          </w:tcPr>
          <w:p w14:paraId="1C782DFE"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673 336</w:t>
            </w:r>
          </w:p>
        </w:tc>
        <w:tc>
          <w:tcPr>
            <w:tcW w:w="748" w:type="pct"/>
            <w:tcBorders>
              <w:top w:val="nil"/>
              <w:left w:val="nil"/>
              <w:bottom w:val="nil"/>
              <w:right w:val="nil"/>
            </w:tcBorders>
            <w:vAlign w:val="center"/>
            <w:hideMark/>
          </w:tcPr>
          <w:p w14:paraId="4989218B"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620 077</w:t>
            </w:r>
          </w:p>
        </w:tc>
        <w:tc>
          <w:tcPr>
            <w:tcW w:w="748" w:type="pct"/>
            <w:tcBorders>
              <w:top w:val="nil"/>
              <w:left w:val="nil"/>
              <w:bottom w:val="nil"/>
              <w:right w:val="nil"/>
            </w:tcBorders>
            <w:vAlign w:val="center"/>
            <w:hideMark/>
          </w:tcPr>
          <w:p w14:paraId="2CD8BB25"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53 259</w:t>
            </w:r>
          </w:p>
        </w:tc>
      </w:tr>
      <w:tr w:rsidR="003F2560" w:rsidRPr="003F2560" w14:paraId="15FFC3FB" w14:textId="77777777" w:rsidTr="0085799C">
        <w:trPr>
          <w:trHeight w:val="227"/>
          <w:jc w:val="center"/>
        </w:trPr>
        <w:tc>
          <w:tcPr>
            <w:tcW w:w="2756" w:type="pct"/>
            <w:tcBorders>
              <w:top w:val="nil"/>
              <w:left w:val="nil"/>
              <w:bottom w:val="nil"/>
              <w:right w:val="nil"/>
            </w:tcBorders>
            <w:vAlign w:val="center"/>
            <w:hideMark/>
          </w:tcPr>
          <w:p w14:paraId="69A4D853" w14:textId="77777777" w:rsidR="003F2560" w:rsidRPr="003F2560" w:rsidRDefault="003F2560" w:rsidP="003F2560">
            <w:pPr>
              <w:spacing w:after="0" w:line="240" w:lineRule="auto"/>
              <w:rPr>
                <w:rFonts w:ascii="Times New Roman" w:hAnsi="Times New Roman"/>
                <w:color w:val="000000"/>
                <w:sz w:val="18"/>
                <w:szCs w:val="18"/>
                <w:lang w:eastAsia="sk-SK"/>
              </w:rPr>
            </w:pPr>
            <w:r w:rsidRPr="003F2560">
              <w:rPr>
                <w:rFonts w:ascii="Times New Roman" w:hAnsi="Times New Roman"/>
                <w:color w:val="000000"/>
                <w:sz w:val="18"/>
                <w:szCs w:val="18"/>
                <w:lang w:eastAsia="sk-SK"/>
              </w:rPr>
              <w:t>Zúčtovanie medzi subjektami verejnej správy</w:t>
            </w:r>
          </w:p>
        </w:tc>
        <w:tc>
          <w:tcPr>
            <w:tcW w:w="748" w:type="pct"/>
            <w:tcBorders>
              <w:top w:val="nil"/>
              <w:left w:val="nil"/>
              <w:bottom w:val="nil"/>
              <w:right w:val="nil"/>
            </w:tcBorders>
            <w:vAlign w:val="center"/>
            <w:hideMark/>
          </w:tcPr>
          <w:p w14:paraId="740BDF10"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621 881</w:t>
            </w:r>
          </w:p>
        </w:tc>
        <w:tc>
          <w:tcPr>
            <w:tcW w:w="748" w:type="pct"/>
            <w:tcBorders>
              <w:top w:val="nil"/>
              <w:left w:val="nil"/>
              <w:bottom w:val="nil"/>
              <w:right w:val="nil"/>
            </w:tcBorders>
            <w:vAlign w:val="center"/>
            <w:hideMark/>
          </w:tcPr>
          <w:p w14:paraId="06794CC5"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530 527</w:t>
            </w:r>
          </w:p>
        </w:tc>
        <w:tc>
          <w:tcPr>
            <w:tcW w:w="748" w:type="pct"/>
            <w:tcBorders>
              <w:top w:val="nil"/>
              <w:left w:val="nil"/>
              <w:bottom w:val="nil"/>
              <w:right w:val="nil"/>
            </w:tcBorders>
            <w:vAlign w:val="center"/>
            <w:hideMark/>
          </w:tcPr>
          <w:p w14:paraId="7682E107"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91 354</w:t>
            </w:r>
          </w:p>
        </w:tc>
      </w:tr>
      <w:tr w:rsidR="003F2560" w:rsidRPr="003F2560" w14:paraId="78A38DC5" w14:textId="77777777" w:rsidTr="0085799C">
        <w:trPr>
          <w:trHeight w:val="227"/>
          <w:jc w:val="center"/>
        </w:trPr>
        <w:tc>
          <w:tcPr>
            <w:tcW w:w="2756" w:type="pct"/>
            <w:tcBorders>
              <w:top w:val="nil"/>
              <w:left w:val="nil"/>
              <w:bottom w:val="nil"/>
              <w:right w:val="nil"/>
            </w:tcBorders>
            <w:vAlign w:val="center"/>
            <w:hideMark/>
          </w:tcPr>
          <w:p w14:paraId="100E202B" w14:textId="77777777" w:rsidR="003F2560" w:rsidRPr="003F2560" w:rsidRDefault="003F2560" w:rsidP="003F2560">
            <w:pPr>
              <w:spacing w:after="0" w:line="240" w:lineRule="auto"/>
              <w:rPr>
                <w:rFonts w:ascii="Times New Roman" w:hAnsi="Times New Roman"/>
                <w:color w:val="000000"/>
                <w:sz w:val="18"/>
                <w:szCs w:val="18"/>
                <w:lang w:eastAsia="sk-SK"/>
              </w:rPr>
            </w:pPr>
            <w:r w:rsidRPr="003F2560">
              <w:rPr>
                <w:rFonts w:ascii="Times New Roman" w:hAnsi="Times New Roman"/>
                <w:color w:val="000000"/>
                <w:sz w:val="18"/>
                <w:szCs w:val="18"/>
                <w:lang w:eastAsia="sk-SK"/>
              </w:rPr>
              <w:t>Vzťahy k účtom klientov ŠP</w:t>
            </w:r>
          </w:p>
        </w:tc>
        <w:tc>
          <w:tcPr>
            <w:tcW w:w="748" w:type="pct"/>
            <w:tcBorders>
              <w:top w:val="nil"/>
              <w:left w:val="nil"/>
              <w:bottom w:val="nil"/>
              <w:right w:val="nil"/>
            </w:tcBorders>
            <w:vAlign w:val="center"/>
            <w:hideMark/>
          </w:tcPr>
          <w:p w14:paraId="08F4DD01"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300 072</w:t>
            </w:r>
          </w:p>
        </w:tc>
        <w:tc>
          <w:tcPr>
            <w:tcW w:w="748" w:type="pct"/>
            <w:tcBorders>
              <w:top w:val="nil"/>
              <w:left w:val="nil"/>
              <w:bottom w:val="nil"/>
              <w:right w:val="nil"/>
            </w:tcBorders>
            <w:vAlign w:val="center"/>
            <w:hideMark/>
          </w:tcPr>
          <w:p w14:paraId="34CF1880"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341 979</w:t>
            </w:r>
          </w:p>
        </w:tc>
        <w:tc>
          <w:tcPr>
            <w:tcW w:w="748" w:type="pct"/>
            <w:tcBorders>
              <w:top w:val="nil"/>
              <w:left w:val="nil"/>
              <w:bottom w:val="nil"/>
              <w:right w:val="nil"/>
            </w:tcBorders>
            <w:vAlign w:val="center"/>
            <w:hideMark/>
          </w:tcPr>
          <w:p w14:paraId="07EBB5A1"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-41 907</w:t>
            </w:r>
          </w:p>
        </w:tc>
      </w:tr>
      <w:tr w:rsidR="003F2560" w:rsidRPr="003F2560" w14:paraId="05598ACE" w14:textId="77777777" w:rsidTr="0085799C">
        <w:trPr>
          <w:trHeight w:val="227"/>
          <w:jc w:val="center"/>
        </w:trPr>
        <w:tc>
          <w:tcPr>
            <w:tcW w:w="2756" w:type="pct"/>
            <w:tcBorders>
              <w:top w:val="nil"/>
              <w:left w:val="nil"/>
              <w:bottom w:val="nil"/>
              <w:right w:val="nil"/>
            </w:tcBorders>
            <w:vAlign w:val="center"/>
            <w:hideMark/>
          </w:tcPr>
          <w:p w14:paraId="3582A5D2" w14:textId="77777777" w:rsidR="003F2560" w:rsidRPr="003F2560" w:rsidRDefault="003F2560" w:rsidP="003F2560">
            <w:pPr>
              <w:spacing w:after="0" w:line="240" w:lineRule="auto"/>
              <w:rPr>
                <w:rFonts w:ascii="Times New Roman" w:hAnsi="Times New Roman"/>
                <w:color w:val="000000"/>
                <w:sz w:val="18"/>
                <w:szCs w:val="18"/>
                <w:lang w:eastAsia="sk-SK"/>
              </w:rPr>
            </w:pPr>
            <w:r w:rsidRPr="003F2560">
              <w:rPr>
                <w:rFonts w:ascii="Times New Roman" w:hAnsi="Times New Roman"/>
                <w:color w:val="000000"/>
                <w:sz w:val="18"/>
                <w:szCs w:val="18"/>
                <w:lang w:eastAsia="sk-SK"/>
              </w:rPr>
              <w:t>Zúčtovanie transferov mimo verejnej správy</w:t>
            </w:r>
          </w:p>
        </w:tc>
        <w:tc>
          <w:tcPr>
            <w:tcW w:w="748" w:type="pct"/>
            <w:tcBorders>
              <w:top w:val="nil"/>
              <w:left w:val="nil"/>
              <w:bottom w:val="nil"/>
              <w:right w:val="nil"/>
            </w:tcBorders>
            <w:vAlign w:val="center"/>
            <w:hideMark/>
          </w:tcPr>
          <w:p w14:paraId="70202873"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293 020</w:t>
            </w:r>
          </w:p>
        </w:tc>
        <w:tc>
          <w:tcPr>
            <w:tcW w:w="748" w:type="pct"/>
            <w:tcBorders>
              <w:top w:val="nil"/>
              <w:left w:val="nil"/>
              <w:bottom w:val="nil"/>
              <w:right w:val="nil"/>
            </w:tcBorders>
            <w:vAlign w:val="center"/>
            <w:hideMark/>
          </w:tcPr>
          <w:p w14:paraId="1CBCC8B4"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285 984</w:t>
            </w:r>
          </w:p>
        </w:tc>
        <w:tc>
          <w:tcPr>
            <w:tcW w:w="748" w:type="pct"/>
            <w:tcBorders>
              <w:top w:val="nil"/>
              <w:left w:val="nil"/>
              <w:bottom w:val="nil"/>
              <w:right w:val="nil"/>
            </w:tcBorders>
            <w:vAlign w:val="center"/>
            <w:hideMark/>
          </w:tcPr>
          <w:p w14:paraId="116C5DDC"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7 036</w:t>
            </w:r>
          </w:p>
        </w:tc>
      </w:tr>
      <w:tr w:rsidR="003F2560" w:rsidRPr="003F2560" w14:paraId="156BC477" w14:textId="77777777" w:rsidTr="0085799C">
        <w:trPr>
          <w:trHeight w:val="227"/>
          <w:jc w:val="center"/>
        </w:trPr>
        <w:tc>
          <w:tcPr>
            <w:tcW w:w="2756" w:type="pct"/>
            <w:tcBorders>
              <w:top w:val="nil"/>
              <w:left w:val="nil"/>
              <w:bottom w:val="nil"/>
              <w:right w:val="nil"/>
            </w:tcBorders>
            <w:vAlign w:val="center"/>
            <w:hideMark/>
          </w:tcPr>
          <w:p w14:paraId="572EB80F" w14:textId="77777777" w:rsidR="003F2560" w:rsidRPr="003F2560" w:rsidRDefault="003F2560" w:rsidP="003F2560">
            <w:pPr>
              <w:spacing w:after="0" w:line="240" w:lineRule="auto"/>
              <w:rPr>
                <w:rFonts w:ascii="Times New Roman" w:hAnsi="Times New Roman"/>
                <w:color w:val="000000"/>
                <w:sz w:val="18"/>
                <w:szCs w:val="18"/>
                <w:lang w:eastAsia="sk-SK"/>
              </w:rPr>
            </w:pPr>
            <w:r w:rsidRPr="003F2560">
              <w:rPr>
                <w:rFonts w:ascii="Times New Roman" w:hAnsi="Times New Roman"/>
                <w:color w:val="000000"/>
                <w:sz w:val="18"/>
                <w:szCs w:val="18"/>
                <w:lang w:eastAsia="sk-SK"/>
              </w:rPr>
              <w:t>Prijaté preddavky</w:t>
            </w:r>
          </w:p>
        </w:tc>
        <w:tc>
          <w:tcPr>
            <w:tcW w:w="748" w:type="pct"/>
            <w:tcBorders>
              <w:top w:val="nil"/>
              <w:left w:val="nil"/>
              <w:bottom w:val="nil"/>
              <w:right w:val="nil"/>
            </w:tcBorders>
            <w:vAlign w:val="center"/>
            <w:hideMark/>
          </w:tcPr>
          <w:p w14:paraId="3657EC45"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260 988</w:t>
            </w:r>
          </w:p>
        </w:tc>
        <w:tc>
          <w:tcPr>
            <w:tcW w:w="748" w:type="pct"/>
            <w:tcBorders>
              <w:top w:val="nil"/>
              <w:left w:val="nil"/>
              <w:bottom w:val="nil"/>
              <w:right w:val="nil"/>
            </w:tcBorders>
            <w:vAlign w:val="center"/>
            <w:hideMark/>
          </w:tcPr>
          <w:p w14:paraId="660FDE38"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203 416</w:t>
            </w:r>
          </w:p>
        </w:tc>
        <w:tc>
          <w:tcPr>
            <w:tcW w:w="748" w:type="pct"/>
            <w:tcBorders>
              <w:top w:val="nil"/>
              <w:left w:val="nil"/>
              <w:bottom w:val="nil"/>
              <w:right w:val="nil"/>
            </w:tcBorders>
            <w:vAlign w:val="center"/>
            <w:hideMark/>
          </w:tcPr>
          <w:p w14:paraId="09CCEB4E"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57 572</w:t>
            </w:r>
          </w:p>
        </w:tc>
      </w:tr>
      <w:tr w:rsidR="003F2560" w:rsidRPr="003F2560" w14:paraId="4759CF82" w14:textId="77777777" w:rsidTr="0085799C">
        <w:trPr>
          <w:trHeight w:val="227"/>
          <w:jc w:val="center"/>
        </w:trPr>
        <w:tc>
          <w:tcPr>
            <w:tcW w:w="2756" w:type="pct"/>
            <w:tcBorders>
              <w:top w:val="nil"/>
              <w:left w:val="nil"/>
              <w:bottom w:val="nil"/>
              <w:right w:val="nil"/>
            </w:tcBorders>
            <w:vAlign w:val="center"/>
            <w:hideMark/>
          </w:tcPr>
          <w:p w14:paraId="625CB463" w14:textId="77777777" w:rsidR="003F2560" w:rsidRPr="003F2560" w:rsidRDefault="003F2560" w:rsidP="003F2560">
            <w:pPr>
              <w:spacing w:after="0" w:line="240" w:lineRule="auto"/>
              <w:rPr>
                <w:rFonts w:ascii="Times New Roman" w:hAnsi="Times New Roman"/>
                <w:color w:val="000000"/>
                <w:sz w:val="18"/>
                <w:szCs w:val="18"/>
                <w:lang w:eastAsia="sk-SK"/>
              </w:rPr>
            </w:pPr>
            <w:r w:rsidRPr="003F2560">
              <w:rPr>
                <w:rFonts w:ascii="Times New Roman" w:hAnsi="Times New Roman"/>
                <w:color w:val="000000"/>
                <w:sz w:val="18"/>
                <w:szCs w:val="18"/>
                <w:lang w:eastAsia="sk-SK"/>
              </w:rPr>
              <w:t>Záväzky SZRB, a.s.</w:t>
            </w:r>
          </w:p>
        </w:tc>
        <w:tc>
          <w:tcPr>
            <w:tcW w:w="748" w:type="pct"/>
            <w:tcBorders>
              <w:top w:val="nil"/>
              <w:left w:val="nil"/>
              <w:bottom w:val="nil"/>
              <w:right w:val="nil"/>
            </w:tcBorders>
            <w:vAlign w:val="center"/>
            <w:hideMark/>
          </w:tcPr>
          <w:p w14:paraId="19812BC9"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173 645</w:t>
            </w:r>
          </w:p>
        </w:tc>
        <w:tc>
          <w:tcPr>
            <w:tcW w:w="748" w:type="pct"/>
            <w:tcBorders>
              <w:top w:val="nil"/>
              <w:left w:val="nil"/>
              <w:bottom w:val="nil"/>
              <w:right w:val="nil"/>
            </w:tcBorders>
            <w:vAlign w:val="center"/>
            <w:hideMark/>
          </w:tcPr>
          <w:p w14:paraId="0B796E21"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198 145</w:t>
            </w:r>
          </w:p>
        </w:tc>
        <w:tc>
          <w:tcPr>
            <w:tcW w:w="748" w:type="pct"/>
            <w:tcBorders>
              <w:top w:val="nil"/>
              <w:left w:val="nil"/>
              <w:bottom w:val="nil"/>
              <w:right w:val="nil"/>
            </w:tcBorders>
            <w:vAlign w:val="center"/>
            <w:hideMark/>
          </w:tcPr>
          <w:p w14:paraId="4C828CA1"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-24 500</w:t>
            </w:r>
          </w:p>
        </w:tc>
      </w:tr>
      <w:tr w:rsidR="003F2560" w:rsidRPr="003F2560" w14:paraId="29AB4849" w14:textId="77777777" w:rsidTr="0085799C">
        <w:trPr>
          <w:trHeight w:val="227"/>
          <w:jc w:val="center"/>
        </w:trPr>
        <w:tc>
          <w:tcPr>
            <w:tcW w:w="2756" w:type="pct"/>
            <w:tcBorders>
              <w:top w:val="nil"/>
              <w:left w:val="nil"/>
              <w:bottom w:val="nil"/>
              <w:right w:val="nil"/>
            </w:tcBorders>
            <w:vAlign w:val="center"/>
            <w:hideMark/>
          </w:tcPr>
          <w:p w14:paraId="5B7A91F4" w14:textId="77777777" w:rsidR="003F2560" w:rsidRPr="003F2560" w:rsidRDefault="003F2560" w:rsidP="003F2560">
            <w:pPr>
              <w:spacing w:after="0" w:line="240" w:lineRule="auto"/>
              <w:rPr>
                <w:rFonts w:ascii="Times New Roman" w:hAnsi="Times New Roman"/>
                <w:color w:val="000000"/>
                <w:sz w:val="18"/>
                <w:szCs w:val="18"/>
                <w:lang w:eastAsia="sk-SK"/>
              </w:rPr>
            </w:pPr>
            <w:r w:rsidRPr="003F2560">
              <w:rPr>
                <w:rFonts w:ascii="Times New Roman" w:hAnsi="Times New Roman"/>
                <w:color w:val="000000"/>
                <w:sz w:val="18"/>
                <w:szCs w:val="18"/>
                <w:lang w:eastAsia="sk-SK"/>
              </w:rPr>
              <w:t>Nevyfakturované dodávky</w:t>
            </w:r>
          </w:p>
        </w:tc>
        <w:tc>
          <w:tcPr>
            <w:tcW w:w="748" w:type="pct"/>
            <w:tcBorders>
              <w:top w:val="nil"/>
              <w:left w:val="nil"/>
              <w:bottom w:val="nil"/>
              <w:right w:val="nil"/>
            </w:tcBorders>
            <w:vAlign w:val="center"/>
            <w:hideMark/>
          </w:tcPr>
          <w:p w14:paraId="083E34C8"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73 217</w:t>
            </w:r>
          </w:p>
        </w:tc>
        <w:tc>
          <w:tcPr>
            <w:tcW w:w="748" w:type="pct"/>
            <w:tcBorders>
              <w:top w:val="nil"/>
              <w:left w:val="nil"/>
              <w:bottom w:val="nil"/>
              <w:right w:val="nil"/>
            </w:tcBorders>
            <w:vAlign w:val="center"/>
            <w:hideMark/>
          </w:tcPr>
          <w:p w14:paraId="557B88CA"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76 883</w:t>
            </w:r>
          </w:p>
        </w:tc>
        <w:tc>
          <w:tcPr>
            <w:tcW w:w="748" w:type="pct"/>
            <w:tcBorders>
              <w:top w:val="nil"/>
              <w:left w:val="nil"/>
              <w:bottom w:val="nil"/>
              <w:right w:val="nil"/>
            </w:tcBorders>
            <w:vAlign w:val="center"/>
            <w:hideMark/>
          </w:tcPr>
          <w:p w14:paraId="7F3B86B2"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-3 666</w:t>
            </w:r>
          </w:p>
        </w:tc>
      </w:tr>
      <w:tr w:rsidR="003F2560" w:rsidRPr="003F2560" w14:paraId="4C2E2319" w14:textId="77777777" w:rsidTr="0085799C">
        <w:trPr>
          <w:trHeight w:val="227"/>
          <w:jc w:val="center"/>
        </w:trPr>
        <w:tc>
          <w:tcPr>
            <w:tcW w:w="2756" w:type="pct"/>
            <w:tcBorders>
              <w:top w:val="nil"/>
              <w:left w:val="nil"/>
              <w:bottom w:val="nil"/>
              <w:right w:val="nil"/>
            </w:tcBorders>
            <w:vAlign w:val="center"/>
            <w:hideMark/>
          </w:tcPr>
          <w:p w14:paraId="2B00E878" w14:textId="77777777" w:rsidR="003F2560" w:rsidRPr="003F2560" w:rsidRDefault="003F2560" w:rsidP="003F2560">
            <w:pPr>
              <w:spacing w:after="0" w:line="240" w:lineRule="auto"/>
              <w:rPr>
                <w:rFonts w:ascii="Times New Roman" w:hAnsi="Times New Roman"/>
                <w:color w:val="000000"/>
                <w:sz w:val="18"/>
                <w:szCs w:val="18"/>
                <w:lang w:eastAsia="sk-SK"/>
              </w:rPr>
            </w:pPr>
            <w:r w:rsidRPr="003F2560">
              <w:rPr>
                <w:rFonts w:ascii="Times New Roman" w:hAnsi="Times New Roman"/>
                <w:color w:val="000000"/>
                <w:sz w:val="18"/>
                <w:szCs w:val="18"/>
                <w:lang w:eastAsia="sk-SK"/>
              </w:rPr>
              <w:t>Záväzky z daní a poplatkov</w:t>
            </w:r>
          </w:p>
        </w:tc>
        <w:tc>
          <w:tcPr>
            <w:tcW w:w="748" w:type="pct"/>
            <w:tcBorders>
              <w:top w:val="nil"/>
              <w:left w:val="nil"/>
              <w:bottom w:val="nil"/>
              <w:right w:val="nil"/>
            </w:tcBorders>
            <w:vAlign w:val="center"/>
            <w:hideMark/>
          </w:tcPr>
          <w:p w14:paraId="5CE3162A"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3 525</w:t>
            </w:r>
          </w:p>
        </w:tc>
        <w:tc>
          <w:tcPr>
            <w:tcW w:w="748" w:type="pct"/>
            <w:tcBorders>
              <w:top w:val="nil"/>
              <w:left w:val="nil"/>
              <w:bottom w:val="nil"/>
              <w:right w:val="nil"/>
            </w:tcBorders>
            <w:vAlign w:val="center"/>
            <w:hideMark/>
          </w:tcPr>
          <w:p w14:paraId="0ED6298B"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5 185</w:t>
            </w:r>
          </w:p>
        </w:tc>
        <w:tc>
          <w:tcPr>
            <w:tcW w:w="748" w:type="pct"/>
            <w:tcBorders>
              <w:top w:val="nil"/>
              <w:left w:val="nil"/>
              <w:bottom w:val="nil"/>
              <w:right w:val="nil"/>
            </w:tcBorders>
            <w:vAlign w:val="center"/>
            <w:hideMark/>
          </w:tcPr>
          <w:p w14:paraId="49047CA2"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-1 660</w:t>
            </w:r>
          </w:p>
        </w:tc>
      </w:tr>
      <w:tr w:rsidR="003F2560" w:rsidRPr="003F2560" w14:paraId="6B19DCD7" w14:textId="77777777" w:rsidTr="0085799C">
        <w:trPr>
          <w:trHeight w:val="227"/>
          <w:jc w:val="center"/>
        </w:trPr>
        <w:tc>
          <w:tcPr>
            <w:tcW w:w="2756" w:type="pct"/>
            <w:tcBorders>
              <w:top w:val="nil"/>
              <w:left w:val="nil"/>
              <w:bottom w:val="single" w:sz="8" w:space="0" w:color="auto"/>
              <w:right w:val="nil"/>
            </w:tcBorders>
            <w:vAlign w:val="center"/>
            <w:hideMark/>
          </w:tcPr>
          <w:p w14:paraId="21056487" w14:textId="77777777" w:rsidR="003F2560" w:rsidRPr="003F2560" w:rsidRDefault="003F2560" w:rsidP="003F2560">
            <w:pPr>
              <w:spacing w:after="0" w:line="240" w:lineRule="auto"/>
              <w:rPr>
                <w:rFonts w:ascii="Times New Roman" w:hAnsi="Times New Roman"/>
                <w:color w:val="000000"/>
                <w:sz w:val="18"/>
                <w:szCs w:val="18"/>
                <w:lang w:eastAsia="sk-SK"/>
              </w:rPr>
            </w:pPr>
            <w:r w:rsidRPr="003F2560">
              <w:rPr>
                <w:rFonts w:ascii="Times New Roman" w:hAnsi="Times New Roman"/>
                <w:color w:val="000000"/>
                <w:sz w:val="18"/>
                <w:szCs w:val="18"/>
                <w:lang w:eastAsia="sk-SK"/>
              </w:rPr>
              <w:t>Ostatné záväzky</w:t>
            </w:r>
          </w:p>
        </w:tc>
        <w:tc>
          <w:tcPr>
            <w:tcW w:w="748" w:type="pct"/>
            <w:tcBorders>
              <w:top w:val="nil"/>
              <w:left w:val="nil"/>
              <w:bottom w:val="single" w:sz="8" w:space="0" w:color="auto"/>
              <w:right w:val="nil"/>
            </w:tcBorders>
            <w:vAlign w:val="center"/>
            <w:hideMark/>
          </w:tcPr>
          <w:p w14:paraId="66EE5ED7"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1 116 032</w:t>
            </w:r>
          </w:p>
        </w:tc>
        <w:tc>
          <w:tcPr>
            <w:tcW w:w="748" w:type="pct"/>
            <w:tcBorders>
              <w:top w:val="nil"/>
              <w:left w:val="nil"/>
              <w:bottom w:val="single" w:sz="8" w:space="0" w:color="auto"/>
              <w:right w:val="nil"/>
            </w:tcBorders>
            <w:vAlign w:val="center"/>
            <w:hideMark/>
          </w:tcPr>
          <w:p w14:paraId="61B9491A"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1 289 622</w:t>
            </w:r>
          </w:p>
        </w:tc>
        <w:tc>
          <w:tcPr>
            <w:tcW w:w="748" w:type="pct"/>
            <w:tcBorders>
              <w:top w:val="nil"/>
              <w:left w:val="nil"/>
              <w:bottom w:val="nil"/>
              <w:right w:val="nil"/>
            </w:tcBorders>
            <w:vAlign w:val="center"/>
            <w:hideMark/>
          </w:tcPr>
          <w:p w14:paraId="1C3652F9" w14:textId="77777777" w:rsidR="003F2560" w:rsidRPr="003F2560" w:rsidRDefault="003F2560" w:rsidP="003F2560">
            <w:pPr>
              <w:spacing w:after="0" w:line="240" w:lineRule="auto"/>
              <w:jc w:val="right"/>
              <w:rPr>
                <w:rFonts w:ascii="Times New Roman" w:hAnsi="Times New Roman"/>
                <w:color w:val="000000"/>
                <w:sz w:val="18"/>
                <w:szCs w:val="18"/>
                <w:lang w:eastAsia="sk-SK"/>
              </w:rPr>
            </w:pPr>
            <w:r w:rsidRPr="003F2560">
              <w:rPr>
                <w:rFonts w:ascii="Times New Roman" w:hAnsi="Times New Roman"/>
                <w:color w:val="000000"/>
                <w:sz w:val="18"/>
                <w:szCs w:val="18"/>
                <w:lang w:eastAsia="sk-SK"/>
              </w:rPr>
              <w:t>-173 590</w:t>
            </w:r>
          </w:p>
        </w:tc>
      </w:tr>
      <w:tr w:rsidR="003F2560" w:rsidRPr="003F2560" w14:paraId="69B788DA" w14:textId="77777777" w:rsidTr="0085799C">
        <w:trPr>
          <w:trHeight w:val="227"/>
          <w:jc w:val="center"/>
        </w:trPr>
        <w:tc>
          <w:tcPr>
            <w:tcW w:w="2756" w:type="pct"/>
            <w:tcBorders>
              <w:top w:val="nil"/>
              <w:left w:val="nil"/>
              <w:bottom w:val="single" w:sz="8" w:space="0" w:color="auto"/>
              <w:right w:val="nil"/>
            </w:tcBorders>
            <w:vAlign w:val="center"/>
            <w:hideMark/>
          </w:tcPr>
          <w:p w14:paraId="5A3A21C2" w14:textId="77777777" w:rsidR="003F2560" w:rsidRPr="003F2560" w:rsidRDefault="003F2560" w:rsidP="003F2560">
            <w:pPr>
              <w:spacing w:after="0" w:line="240" w:lineRule="auto"/>
              <w:rPr>
                <w:rFonts w:ascii="Times New Roman" w:hAnsi="Times New Roman"/>
                <w:b/>
                <w:bCs/>
                <w:color w:val="000000"/>
                <w:sz w:val="18"/>
                <w:szCs w:val="18"/>
                <w:lang w:eastAsia="sk-SK"/>
              </w:rPr>
            </w:pPr>
            <w:r w:rsidRPr="003F2560">
              <w:rPr>
                <w:rFonts w:ascii="Times New Roman" w:hAnsi="Times New Roman"/>
                <w:b/>
                <w:bCs/>
                <w:color w:val="000000"/>
                <w:sz w:val="18"/>
                <w:szCs w:val="18"/>
                <w:lang w:eastAsia="sk-SK"/>
              </w:rPr>
              <w:t>Spolu</w:t>
            </w:r>
          </w:p>
        </w:tc>
        <w:tc>
          <w:tcPr>
            <w:tcW w:w="748" w:type="pct"/>
            <w:tcBorders>
              <w:top w:val="nil"/>
              <w:left w:val="nil"/>
              <w:bottom w:val="nil"/>
              <w:right w:val="nil"/>
            </w:tcBorders>
            <w:vAlign w:val="center"/>
            <w:hideMark/>
          </w:tcPr>
          <w:p w14:paraId="032E00D9" w14:textId="77777777" w:rsidR="003F2560" w:rsidRPr="003F2560" w:rsidRDefault="003F2560" w:rsidP="003F2560">
            <w:pPr>
              <w:spacing w:after="0" w:line="240" w:lineRule="auto"/>
              <w:jc w:val="right"/>
              <w:rPr>
                <w:rFonts w:ascii="Times New Roman" w:hAnsi="Times New Roman"/>
                <w:b/>
                <w:bCs/>
                <w:color w:val="000000"/>
                <w:sz w:val="18"/>
                <w:szCs w:val="18"/>
                <w:lang w:eastAsia="sk-SK"/>
              </w:rPr>
            </w:pPr>
            <w:r w:rsidRPr="003F2560">
              <w:rPr>
                <w:rFonts w:ascii="Times New Roman" w:hAnsi="Times New Roman"/>
                <w:b/>
                <w:bCs/>
                <w:color w:val="000000"/>
                <w:sz w:val="18"/>
                <w:szCs w:val="18"/>
                <w:lang w:eastAsia="sk-SK"/>
              </w:rPr>
              <w:t>19 572 468</w:t>
            </w:r>
          </w:p>
        </w:tc>
        <w:tc>
          <w:tcPr>
            <w:tcW w:w="748" w:type="pct"/>
            <w:tcBorders>
              <w:top w:val="nil"/>
              <w:left w:val="nil"/>
              <w:bottom w:val="nil"/>
              <w:right w:val="nil"/>
            </w:tcBorders>
            <w:vAlign w:val="center"/>
            <w:hideMark/>
          </w:tcPr>
          <w:p w14:paraId="16E3317E" w14:textId="77777777" w:rsidR="003F2560" w:rsidRPr="003F2560" w:rsidRDefault="003F2560" w:rsidP="003F2560">
            <w:pPr>
              <w:spacing w:after="0" w:line="240" w:lineRule="auto"/>
              <w:jc w:val="right"/>
              <w:rPr>
                <w:rFonts w:ascii="Times New Roman" w:hAnsi="Times New Roman"/>
                <w:b/>
                <w:bCs/>
                <w:color w:val="000000"/>
                <w:sz w:val="18"/>
                <w:szCs w:val="18"/>
                <w:lang w:eastAsia="sk-SK"/>
              </w:rPr>
            </w:pPr>
            <w:r w:rsidRPr="003F2560">
              <w:rPr>
                <w:rFonts w:ascii="Times New Roman" w:hAnsi="Times New Roman"/>
                <w:b/>
                <w:bCs/>
                <w:color w:val="000000"/>
                <w:sz w:val="18"/>
                <w:szCs w:val="18"/>
                <w:lang w:eastAsia="sk-SK"/>
              </w:rPr>
              <w:t>18 495 368</w:t>
            </w:r>
          </w:p>
        </w:tc>
        <w:tc>
          <w:tcPr>
            <w:tcW w:w="748" w:type="pct"/>
            <w:tcBorders>
              <w:top w:val="single" w:sz="8" w:space="0" w:color="auto"/>
              <w:left w:val="nil"/>
              <w:bottom w:val="single" w:sz="8" w:space="0" w:color="auto"/>
              <w:right w:val="nil"/>
            </w:tcBorders>
            <w:vAlign w:val="center"/>
            <w:hideMark/>
          </w:tcPr>
          <w:p w14:paraId="24EE6C25" w14:textId="77777777" w:rsidR="003F2560" w:rsidRPr="003F2560" w:rsidRDefault="003F2560" w:rsidP="003F2560">
            <w:pPr>
              <w:spacing w:after="0" w:line="240" w:lineRule="auto"/>
              <w:jc w:val="right"/>
              <w:rPr>
                <w:rFonts w:ascii="Times New Roman" w:hAnsi="Times New Roman"/>
                <w:b/>
                <w:bCs/>
                <w:color w:val="000000"/>
                <w:sz w:val="18"/>
                <w:szCs w:val="18"/>
                <w:lang w:eastAsia="sk-SK"/>
              </w:rPr>
            </w:pPr>
            <w:r w:rsidRPr="003F2560">
              <w:rPr>
                <w:rFonts w:ascii="Times New Roman" w:hAnsi="Times New Roman"/>
                <w:b/>
                <w:bCs/>
                <w:color w:val="000000"/>
                <w:sz w:val="18"/>
                <w:szCs w:val="18"/>
                <w:lang w:eastAsia="sk-SK"/>
              </w:rPr>
              <w:t>1 077 100</w:t>
            </w:r>
          </w:p>
        </w:tc>
      </w:tr>
      <w:tr w:rsidR="003F2560" w:rsidRPr="003F2560" w14:paraId="38217E0D" w14:textId="77777777" w:rsidTr="0085799C">
        <w:trPr>
          <w:trHeight w:val="227"/>
          <w:jc w:val="center"/>
        </w:trPr>
        <w:tc>
          <w:tcPr>
            <w:tcW w:w="5000" w:type="pct"/>
            <w:gridSpan w:val="4"/>
            <w:tcBorders>
              <w:top w:val="single" w:sz="8" w:space="0" w:color="auto"/>
              <w:left w:val="nil"/>
              <w:bottom w:val="nil"/>
              <w:right w:val="nil"/>
            </w:tcBorders>
            <w:vAlign w:val="center"/>
            <w:hideMark/>
          </w:tcPr>
          <w:p w14:paraId="410A02FD" w14:textId="77777777" w:rsidR="003F2560" w:rsidRPr="003F2560" w:rsidRDefault="003F2560" w:rsidP="003F2560">
            <w:pPr>
              <w:spacing w:after="0" w:line="240" w:lineRule="auto"/>
              <w:jc w:val="right"/>
              <w:rPr>
                <w:rFonts w:ascii="Times New Roman" w:hAnsi="Times New Roman"/>
                <w:color w:val="000000"/>
                <w:sz w:val="16"/>
                <w:szCs w:val="16"/>
                <w:lang w:eastAsia="sk-SK"/>
              </w:rPr>
            </w:pPr>
            <w:r w:rsidRPr="003F2560">
              <w:rPr>
                <w:rFonts w:ascii="Times New Roman" w:hAnsi="Times New Roman"/>
                <w:color w:val="000000"/>
                <w:sz w:val="16"/>
                <w:szCs w:val="16"/>
                <w:lang w:eastAsia="sk-SK"/>
              </w:rPr>
              <w:t>Zdroj: MF SR, Centrálny konsolidačný systém</w:t>
            </w:r>
          </w:p>
        </w:tc>
      </w:tr>
    </w:tbl>
    <w:p w14:paraId="2736D503" w14:textId="3593812D" w:rsidR="00313DEB" w:rsidRDefault="00313DEB" w:rsidP="0085799C">
      <w:pPr>
        <w:pStyle w:val="Nadpis4"/>
        <w:numPr>
          <w:ilvl w:val="0"/>
          <w:numId w:val="54"/>
        </w:numPr>
        <w:ind w:left="426" w:hanging="426"/>
      </w:pPr>
      <w:bookmarkStart w:id="45" w:name="_Štátne_dlhopisy_a"/>
      <w:bookmarkStart w:id="46" w:name="_Ref86092194"/>
      <w:bookmarkEnd w:id="45"/>
      <w:r>
        <w:lastRenderedPageBreak/>
        <w:t xml:space="preserve">Štátne dlhopisy </w:t>
      </w:r>
    </w:p>
    <w:p w14:paraId="20CE8F64" w14:textId="0E3D1638" w:rsidR="00313DEB" w:rsidRDefault="00647542" w:rsidP="009E3C89">
      <w:pPr>
        <w:spacing w:after="120" w:line="240" w:lineRule="auto"/>
        <w:jc w:val="both"/>
        <w:rPr>
          <w:rFonts w:ascii="Times New Roman" w:hAnsi="Times New Roman"/>
          <w:szCs w:val="22"/>
        </w:rPr>
      </w:pPr>
      <w:r w:rsidRPr="00907622">
        <w:rPr>
          <w:rFonts w:ascii="Times New Roman" w:hAnsi="Times New Roman"/>
          <w:szCs w:val="22"/>
        </w:rPr>
        <w:t>Hodnota krátkodobých štátnych dlhopisov k 31.</w:t>
      </w:r>
      <w:r w:rsidR="00867606">
        <w:rPr>
          <w:rFonts w:ascii="Times New Roman" w:hAnsi="Times New Roman"/>
          <w:szCs w:val="22"/>
        </w:rPr>
        <w:t xml:space="preserve"> </w:t>
      </w:r>
      <w:r w:rsidRPr="00907622">
        <w:rPr>
          <w:rFonts w:ascii="Times New Roman" w:hAnsi="Times New Roman"/>
          <w:szCs w:val="22"/>
        </w:rPr>
        <w:t>12.</w:t>
      </w:r>
      <w:r w:rsidR="00867606">
        <w:rPr>
          <w:rFonts w:ascii="Times New Roman" w:hAnsi="Times New Roman"/>
          <w:szCs w:val="22"/>
        </w:rPr>
        <w:t xml:space="preserve"> </w:t>
      </w:r>
      <w:r w:rsidRPr="00954712">
        <w:rPr>
          <w:rFonts w:ascii="Times New Roman" w:hAnsi="Times New Roman"/>
          <w:szCs w:val="22"/>
        </w:rPr>
        <w:t>202</w:t>
      </w:r>
      <w:r w:rsidR="00591B51">
        <w:rPr>
          <w:rFonts w:ascii="Times New Roman" w:hAnsi="Times New Roman"/>
          <w:szCs w:val="22"/>
        </w:rPr>
        <w:t>4</w:t>
      </w:r>
      <w:r w:rsidRPr="00907622">
        <w:rPr>
          <w:rFonts w:ascii="Times New Roman" w:hAnsi="Times New Roman"/>
          <w:szCs w:val="22"/>
        </w:rPr>
        <w:t xml:space="preserve"> bola </w:t>
      </w:r>
      <w:r w:rsidR="00093787">
        <w:rPr>
          <w:rFonts w:ascii="Times New Roman" w:hAnsi="Times New Roman"/>
          <w:szCs w:val="22"/>
        </w:rPr>
        <w:t>6</w:t>
      </w:r>
      <w:r w:rsidR="009E550E">
        <w:rPr>
          <w:rFonts w:ascii="Times New Roman" w:hAnsi="Times New Roman"/>
          <w:szCs w:val="22"/>
        </w:rPr>
        <w:t> </w:t>
      </w:r>
      <w:r w:rsidR="00093787">
        <w:rPr>
          <w:rFonts w:ascii="Times New Roman" w:hAnsi="Times New Roman"/>
          <w:szCs w:val="22"/>
        </w:rPr>
        <w:t>800</w:t>
      </w:r>
      <w:r w:rsidR="009E550E">
        <w:rPr>
          <w:rFonts w:ascii="Times New Roman" w:hAnsi="Times New Roman"/>
          <w:szCs w:val="22"/>
        </w:rPr>
        <w:t> </w:t>
      </w:r>
      <w:r w:rsidR="00093787">
        <w:rPr>
          <w:rFonts w:ascii="Times New Roman" w:hAnsi="Times New Roman"/>
          <w:szCs w:val="22"/>
        </w:rPr>
        <w:t>716</w:t>
      </w:r>
      <w:r w:rsidRPr="00907622">
        <w:rPr>
          <w:rFonts w:ascii="Times New Roman" w:hAnsi="Times New Roman"/>
          <w:szCs w:val="22"/>
        </w:rPr>
        <w:t xml:space="preserve"> tis. eur, z toho istina </w:t>
      </w:r>
      <w:r w:rsidR="00BF35C8">
        <w:rPr>
          <w:rFonts w:ascii="Times New Roman" w:hAnsi="Times New Roman"/>
          <w:szCs w:val="22"/>
        </w:rPr>
        <w:t>5</w:t>
      </w:r>
      <w:r w:rsidR="0021751D">
        <w:rPr>
          <w:rFonts w:ascii="Times New Roman" w:hAnsi="Times New Roman"/>
          <w:szCs w:val="22"/>
        </w:rPr>
        <w:t> </w:t>
      </w:r>
      <w:r w:rsidR="00BF35C8">
        <w:rPr>
          <w:rFonts w:ascii="Times New Roman" w:hAnsi="Times New Roman"/>
          <w:szCs w:val="22"/>
        </w:rPr>
        <w:t>836</w:t>
      </w:r>
      <w:r w:rsidR="0021751D">
        <w:rPr>
          <w:rFonts w:ascii="Times New Roman" w:hAnsi="Times New Roman"/>
          <w:szCs w:val="22"/>
        </w:rPr>
        <w:t> </w:t>
      </w:r>
      <w:r w:rsidR="00BF35C8">
        <w:rPr>
          <w:rFonts w:ascii="Times New Roman" w:hAnsi="Times New Roman"/>
          <w:szCs w:val="22"/>
        </w:rPr>
        <w:t>754</w:t>
      </w:r>
      <w:r w:rsidRPr="00907622">
        <w:rPr>
          <w:rFonts w:ascii="Times New Roman" w:hAnsi="Times New Roman"/>
          <w:szCs w:val="22"/>
        </w:rPr>
        <w:t xml:space="preserve"> tis. eur a úroky </w:t>
      </w:r>
      <w:r w:rsidR="00C00EF2">
        <w:rPr>
          <w:rFonts w:ascii="Times New Roman" w:hAnsi="Times New Roman"/>
          <w:szCs w:val="22"/>
        </w:rPr>
        <w:t>963</w:t>
      </w:r>
      <w:r w:rsidR="0021751D">
        <w:rPr>
          <w:rFonts w:ascii="Times New Roman" w:hAnsi="Times New Roman"/>
          <w:szCs w:val="22"/>
        </w:rPr>
        <w:t> </w:t>
      </w:r>
      <w:r w:rsidR="00C00EF2">
        <w:rPr>
          <w:rFonts w:ascii="Times New Roman" w:hAnsi="Times New Roman"/>
          <w:szCs w:val="22"/>
        </w:rPr>
        <w:t>961</w:t>
      </w:r>
      <w:r w:rsidRPr="00907622">
        <w:rPr>
          <w:rFonts w:ascii="Times New Roman" w:hAnsi="Times New Roman"/>
          <w:szCs w:val="22"/>
        </w:rPr>
        <w:t> tis. eur. Medziročne sa účtovná hodnota štátnych dlhových nástrojov</w:t>
      </w:r>
      <w:r w:rsidR="00EA0AD9">
        <w:rPr>
          <w:rFonts w:ascii="Times New Roman" w:hAnsi="Times New Roman"/>
          <w:szCs w:val="22"/>
        </w:rPr>
        <w:t> </w:t>
      </w:r>
      <w:r w:rsidR="003D6FC9">
        <w:rPr>
          <w:rFonts w:ascii="Times New Roman" w:hAnsi="Times New Roman"/>
          <w:szCs w:val="22"/>
        </w:rPr>
        <w:t>zvýšila o 1</w:t>
      </w:r>
      <w:r w:rsidR="0021751D">
        <w:rPr>
          <w:rFonts w:ascii="Times New Roman" w:hAnsi="Times New Roman"/>
          <w:szCs w:val="22"/>
        </w:rPr>
        <w:t> </w:t>
      </w:r>
      <w:r w:rsidR="003D6FC9">
        <w:rPr>
          <w:rFonts w:ascii="Times New Roman" w:hAnsi="Times New Roman"/>
          <w:szCs w:val="22"/>
        </w:rPr>
        <w:t>499</w:t>
      </w:r>
      <w:r w:rsidR="0021751D">
        <w:rPr>
          <w:rFonts w:ascii="Times New Roman" w:hAnsi="Times New Roman"/>
          <w:szCs w:val="22"/>
        </w:rPr>
        <w:t> </w:t>
      </w:r>
      <w:r w:rsidR="003D6FC9">
        <w:rPr>
          <w:rFonts w:ascii="Times New Roman" w:hAnsi="Times New Roman"/>
          <w:szCs w:val="22"/>
        </w:rPr>
        <w:t>419</w:t>
      </w:r>
      <w:r w:rsidRPr="00954712">
        <w:rPr>
          <w:rFonts w:ascii="Times New Roman" w:hAnsi="Times New Roman"/>
          <w:szCs w:val="22"/>
        </w:rPr>
        <w:t> tis. </w:t>
      </w:r>
      <w:r w:rsidRPr="00907622">
        <w:rPr>
          <w:rFonts w:ascii="Times New Roman" w:hAnsi="Times New Roman"/>
          <w:szCs w:val="22"/>
        </w:rPr>
        <w:t>eur.</w:t>
      </w:r>
    </w:p>
    <w:p w14:paraId="02D5EBEF" w14:textId="77777777" w:rsidR="00313DEB" w:rsidRDefault="00313DEB" w:rsidP="009E3C89">
      <w:pPr>
        <w:spacing w:after="120" w:line="240" w:lineRule="auto"/>
        <w:jc w:val="both"/>
        <w:rPr>
          <w:rFonts w:ascii="Times New Roman" w:hAnsi="Times New Roman"/>
          <w:szCs w:val="22"/>
        </w:rPr>
      </w:pPr>
    </w:p>
    <w:p w14:paraId="2DBEE766" w14:textId="3730E968" w:rsidR="00313DEB" w:rsidRDefault="009A05A6" w:rsidP="009F2AF6">
      <w:pPr>
        <w:pStyle w:val="Nadpis4"/>
        <w:numPr>
          <w:ilvl w:val="0"/>
          <w:numId w:val="54"/>
        </w:numPr>
        <w:ind w:left="426" w:hanging="426"/>
      </w:pPr>
      <w:bookmarkStart w:id="47" w:name="_Dodávatelia"/>
      <w:bookmarkEnd w:id="47"/>
      <w:r>
        <w:t>Dodávatelia</w:t>
      </w:r>
    </w:p>
    <w:bookmarkEnd w:id="46"/>
    <w:p w14:paraId="73BCA54B" w14:textId="1BA9723D" w:rsidR="00647542" w:rsidRPr="0085799C" w:rsidRDefault="00647542" w:rsidP="009E3C89">
      <w:pPr>
        <w:spacing w:after="120" w:line="240" w:lineRule="auto"/>
        <w:jc w:val="both"/>
        <w:rPr>
          <w:rFonts w:ascii="Times New Roman" w:hAnsi="Times New Roman"/>
          <w:sz w:val="16"/>
          <w:szCs w:val="16"/>
          <w:lang w:eastAsia="sk-SK"/>
        </w:rPr>
      </w:pPr>
      <w:r w:rsidRPr="009E3C89">
        <w:rPr>
          <w:rFonts w:ascii="Times New Roman" w:hAnsi="Times New Roman"/>
          <w:szCs w:val="22"/>
        </w:rPr>
        <w:t>Záväzky voči dodávateľom dosiahli 1</w:t>
      </w:r>
      <w:r w:rsidR="0021751D">
        <w:rPr>
          <w:rFonts w:ascii="Times New Roman" w:hAnsi="Times New Roman"/>
          <w:szCs w:val="22"/>
        </w:rPr>
        <w:t> </w:t>
      </w:r>
      <w:r w:rsidR="00857BD9" w:rsidRPr="00BB21FD">
        <w:rPr>
          <w:rFonts w:ascii="Times New Roman" w:hAnsi="Times New Roman"/>
          <w:szCs w:val="22"/>
        </w:rPr>
        <w:t>955</w:t>
      </w:r>
      <w:r w:rsidR="0021751D">
        <w:rPr>
          <w:rFonts w:ascii="Times New Roman" w:hAnsi="Times New Roman"/>
          <w:szCs w:val="22"/>
        </w:rPr>
        <w:t> </w:t>
      </w:r>
      <w:r w:rsidR="00857BD9" w:rsidRPr="00BB21FD">
        <w:rPr>
          <w:rFonts w:ascii="Times New Roman" w:hAnsi="Times New Roman"/>
          <w:szCs w:val="22"/>
        </w:rPr>
        <w:t>710</w:t>
      </w:r>
      <w:r w:rsidRPr="0085799C">
        <w:rPr>
          <w:rFonts w:ascii="Times New Roman" w:hAnsi="Times New Roman"/>
          <w:sz w:val="18"/>
          <w:szCs w:val="18"/>
          <w:lang w:eastAsia="sk-SK"/>
        </w:rPr>
        <w:t> </w:t>
      </w:r>
      <w:r w:rsidRPr="009E3C89">
        <w:rPr>
          <w:rFonts w:ascii="Times New Roman" w:hAnsi="Times New Roman"/>
          <w:szCs w:val="22"/>
        </w:rPr>
        <w:t xml:space="preserve">tis. eur a medziročne sú </w:t>
      </w:r>
      <w:r w:rsidR="00301906" w:rsidRPr="00BB21FD">
        <w:rPr>
          <w:rFonts w:ascii="Times New Roman" w:hAnsi="Times New Roman"/>
          <w:szCs w:val="22"/>
        </w:rPr>
        <w:t>vyš</w:t>
      </w:r>
      <w:r w:rsidRPr="009E3C89">
        <w:rPr>
          <w:rFonts w:ascii="Times New Roman" w:hAnsi="Times New Roman"/>
          <w:szCs w:val="22"/>
        </w:rPr>
        <w:t>šie o</w:t>
      </w:r>
      <w:r w:rsidR="0021751D">
        <w:rPr>
          <w:rFonts w:ascii="Times New Roman" w:hAnsi="Times New Roman"/>
          <w:szCs w:val="22"/>
        </w:rPr>
        <w:t xml:space="preserve"> </w:t>
      </w:r>
      <w:r w:rsidR="00301906" w:rsidRPr="00BB21FD">
        <w:rPr>
          <w:rFonts w:ascii="Times New Roman" w:hAnsi="Times New Roman"/>
          <w:szCs w:val="22"/>
        </w:rPr>
        <w:t>488</w:t>
      </w:r>
      <w:r w:rsidR="0021751D">
        <w:rPr>
          <w:rFonts w:ascii="Times New Roman" w:hAnsi="Times New Roman"/>
          <w:szCs w:val="22"/>
        </w:rPr>
        <w:t> </w:t>
      </w:r>
      <w:r w:rsidR="00301906" w:rsidRPr="00BB21FD">
        <w:rPr>
          <w:rFonts w:ascii="Times New Roman" w:hAnsi="Times New Roman"/>
          <w:szCs w:val="22"/>
        </w:rPr>
        <w:t>699</w:t>
      </w:r>
      <w:r w:rsidRPr="009E3C89">
        <w:rPr>
          <w:rFonts w:ascii="Times New Roman" w:hAnsi="Times New Roman"/>
          <w:szCs w:val="22"/>
        </w:rPr>
        <w:t xml:space="preserve"> tis. eur. Subjekty ústrednej správy vykázali </w:t>
      </w:r>
      <w:r w:rsidR="00700CBC" w:rsidRPr="00BB21FD">
        <w:rPr>
          <w:rFonts w:ascii="Times New Roman" w:hAnsi="Times New Roman"/>
          <w:szCs w:val="22"/>
        </w:rPr>
        <w:t>1</w:t>
      </w:r>
      <w:r w:rsidR="0021751D">
        <w:rPr>
          <w:rFonts w:ascii="Times New Roman" w:hAnsi="Times New Roman"/>
          <w:szCs w:val="22"/>
        </w:rPr>
        <w:t> </w:t>
      </w:r>
      <w:r w:rsidR="00700CBC" w:rsidRPr="009E3C89">
        <w:rPr>
          <w:rFonts w:ascii="Times New Roman" w:hAnsi="Times New Roman"/>
          <w:szCs w:val="22"/>
        </w:rPr>
        <w:t>544</w:t>
      </w:r>
      <w:r w:rsidR="0021751D">
        <w:rPr>
          <w:rFonts w:ascii="Times New Roman" w:hAnsi="Times New Roman"/>
          <w:szCs w:val="22"/>
        </w:rPr>
        <w:t> </w:t>
      </w:r>
      <w:r w:rsidR="00700CBC" w:rsidRPr="00BB21FD">
        <w:rPr>
          <w:rFonts w:ascii="Times New Roman" w:hAnsi="Times New Roman"/>
          <w:szCs w:val="22"/>
        </w:rPr>
        <w:t>269</w:t>
      </w:r>
      <w:r w:rsidRPr="009E3C89">
        <w:rPr>
          <w:rFonts w:ascii="Times New Roman" w:hAnsi="Times New Roman"/>
          <w:szCs w:val="22"/>
        </w:rPr>
        <w:t xml:space="preserve"> tis. eur, subjekty územnej samosprávy </w:t>
      </w:r>
      <w:r w:rsidR="00763604" w:rsidRPr="00BB21FD">
        <w:rPr>
          <w:rFonts w:ascii="Times New Roman" w:hAnsi="Times New Roman"/>
          <w:szCs w:val="22"/>
        </w:rPr>
        <w:t>339</w:t>
      </w:r>
      <w:r w:rsidR="0021751D">
        <w:rPr>
          <w:rFonts w:ascii="Times New Roman" w:hAnsi="Times New Roman"/>
          <w:szCs w:val="22"/>
        </w:rPr>
        <w:t> </w:t>
      </w:r>
      <w:r w:rsidR="00763604" w:rsidRPr="00BB21FD">
        <w:rPr>
          <w:rFonts w:ascii="Times New Roman" w:hAnsi="Times New Roman"/>
          <w:szCs w:val="22"/>
        </w:rPr>
        <w:t>143</w:t>
      </w:r>
      <w:r w:rsidRPr="009E3C89">
        <w:rPr>
          <w:rFonts w:ascii="Times New Roman" w:hAnsi="Times New Roman"/>
          <w:szCs w:val="22"/>
        </w:rPr>
        <w:t xml:space="preserve"> tis. eur a ostatné subjekty </w:t>
      </w:r>
      <w:r w:rsidR="00763604" w:rsidRPr="00BB21FD">
        <w:rPr>
          <w:rFonts w:ascii="Times New Roman" w:hAnsi="Times New Roman"/>
          <w:szCs w:val="22"/>
        </w:rPr>
        <w:t>72</w:t>
      </w:r>
      <w:r w:rsidR="0021751D">
        <w:rPr>
          <w:rFonts w:ascii="Times New Roman" w:hAnsi="Times New Roman"/>
          <w:szCs w:val="22"/>
        </w:rPr>
        <w:t> </w:t>
      </w:r>
      <w:r w:rsidR="00763604" w:rsidRPr="009E3C89">
        <w:rPr>
          <w:rFonts w:ascii="Times New Roman" w:hAnsi="Times New Roman"/>
          <w:szCs w:val="22"/>
        </w:rPr>
        <w:t>298</w:t>
      </w:r>
      <w:r w:rsidRPr="009E3C89">
        <w:rPr>
          <w:rFonts w:ascii="Times New Roman" w:hAnsi="Times New Roman"/>
          <w:szCs w:val="22"/>
        </w:rPr>
        <w:t> tis. eur.</w:t>
      </w:r>
    </w:p>
    <w:p w14:paraId="5BACACB0" w14:textId="11650379" w:rsidR="00537BA9" w:rsidRPr="0085799C" w:rsidRDefault="00647542" w:rsidP="0085799C">
      <w:pPr>
        <w:spacing w:after="120" w:line="240" w:lineRule="auto"/>
        <w:jc w:val="both"/>
        <w:rPr>
          <w:rFonts w:ascii="Times New Roman" w:hAnsi="Times New Roman"/>
        </w:rPr>
      </w:pPr>
      <w:r w:rsidRPr="009E3C89">
        <w:rPr>
          <w:rFonts w:ascii="Times New Roman" w:hAnsi="Times New Roman"/>
        </w:rPr>
        <w:t>V rámci ústrednej správy vykazujú</w:t>
      </w:r>
      <w:r w:rsidRPr="00BB21FD">
        <w:rPr>
          <w:rFonts w:ascii="Times New Roman" w:hAnsi="Times New Roman"/>
        </w:rPr>
        <w:t xml:space="preserve"> </w:t>
      </w:r>
      <w:r w:rsidR="00537BA9" w:rsidRPr="00BB21FD">
        <w:rPr>
          <w:rFonts w:ascii="Times New Roman" w:hAnsi="Times New Roman"/>
        </w:rPr>
        <w:t xml:space="preserve">významné hodnoty </w:t>
      </w:r>
      <w:r w:rsidR="00537BA9" w:rsidRPr="0085799C">
        <w:rPr>
          <w:rFonts w:ascii="Times New Roman" w:hAnsi="Times New Roman"/>
        </w:rPr>
        <w:t>najmä obchodné spoločnosti v</w:t>
      </w:r>
      <w:r w:rsidR="003B2A69">
        <w:rPr>
          <w:rFonts w:ascii="Times New Roman" w:hAnsi="Times New Roman"/>
        </w:rPr>
        <w:t xml:space="preserve"> </w:t>
      </w:r>
      <w:r w:rsidR="00537BA9" w:rsidRPr="0085799C">
        <w:rPr>
          <w:rFonts w:ascii="Times New Roman" w:hAnsi="Times New Roman"/>
        </w:rPr>
        <w:t>sume 921</w:t>
      </w:r>
      <w:r w:rsidR="0021751D">
        <w:rPr>
          <w:rFonts w:ascii="Times New Roman" w:hAnsi="Times New Roman"/>
        </w:rPr>
        <w:t> </w:t>
      </w:r>
      <w:r w:rsidR="00537BA9" w:rsidRPr="0085799C">
        <w:rPr>
          <w:rFonts w:ascii="Times New Roman" w:hAnsi="Times New Roman"/>
        </w:rPr>
        <w:t>57</w:t>
      </w:r>
      <w:r w:rsidR="00537BA9" w:rsidRPr="009E3C89">
        <w:rPr>
          <w:rFonts w:ascii="Times New Roman" w:hAnsi="Times New Roman"/>
        </w:rPr>
        <w:t>3</w:t>
      </w:r>
      <w:r w:rsidR="0021751D">
        <w:rPr>
          <w:rFonts w:ascii="Times New Roman" w:hAnsi="Times New Roman"/>
        </w:rPr>
        <w:t> </w:t>
      </w:r>
      <w:r w:rsidR="00537BA9" w:rsidRPr="00BB21FD">
        <w:rPr>
          <w:rFonts w:ascii="Times New Roman" w:hAnsi="Times New Roman"/>
        </w:rPr>
        <w:t>tis.</w:t>
      </w:r>
      <w:r w:rsidR="0021751D">
        <w:rPr>
          <w:rFonts w:ascii="Times New Roman" w:hAnsi="Times New Roman"/>
        </w:rPr>
        <w:t> </w:t>
      </w:r>
      <w:r w:rsidR="00537BA9" w:rsidRPr="0085799C">
        <w:rPr>
          <w:rFonts w:ascii="Times New Roman" w:hAnsi="Times New Roman"/>
        </w:rPr>
        <w:t>eur, ktoré boli medziročne vyššie o</w:t>
      </w:r>
      <w:r w:rsidR="003B2A69">
        <w:rPr>
          <w:rFonts w:ascii="Times New Roman" w:hAnsi="Times New Roman"/>
        </w:rPr>
        <w:t xml:space="preserve"> </w:t>
      </w:r>
      <w:r w:rsidR="00537BA9" w:rsidRPr="0085799C">
        <w:rPr>
          <w:rFonts w:ascii="Times New Roman" w:hAnsi="Times New Roman"/>
        </w:rPr>
        <w:t>312 501 </w:t>
      </w:r>
      <w:r w:rsidR="00537BA9" w:rsidRPr="009E3C89">
        <w:rPr>
          <w:rFonts w:ascii="Times New Roman" w:hAnsi="Times New Roman"/>
        </w:rPr>
        <w:t>tis.</w:t>
      </w:r>
      <w:r w:rsidR="00537BA9" w:rsidRPr="0085799C">
        <w:rPr>
          <w:rFonts w:ascii="Times New Roman" w:hAnsi="Times New Roman"/>
        </w:rPr>
        <w:t xml:space="preserve"> eur. Najvyššiu hodnotu týchto záväzkov vykazujú </w:t>
      </w:r>
      <w:r w:rsidR="00537BA9" w:rsidRPr="0085799C">
        <w:rPr>
          <w:rFonts w:ascii="Times New Roman" w:hAnsi="Times New Roman"/>
          <w:u w:val="single"/>
        </w:rPr>
        <w:t>Slovenský plynárenský priemysel, a.s.</w:t>
      </w:r>
      <w:r w:rsidR="00537BA9" w:rsidRPr="0085799C">
        <w:rPr>
          <w:rFonts w:ascii="Times New Roman" w:hAnsi="Times New Roman"/>
        </w:rPr>
        <w:t xml:space="preserve"> (</w:t>
      </w:r>
      <w:r w:rsidR="00537BA9" w:rsidRPr="0085799C">
        <w:rPr>
          <w:rFonts w:ascii="Times New Roman" w:hAnsi="Times New Roman"/>
          <w:noProof/>
        </w:rPr>
        <w:t>471 197 </w:t>
      </w:r>
      <w:r w:rsidR="00537BA9" w:rsidRPr="009E3C89">
        <w:rPr>
          <w:rFonts w:ascii="Times New Roman" w:hAnsi="Times New Roman"/>
          <w:noProof/>
        </w:rPr>
        <w:t>tis.</w:t>
      </w:r>
      <w:r w:rsidR="0021751D">
        <w:rPr>
          <w:rFonts w:ascii="Times New Roman" w:hAnsi="Times New Roman"/>
          <w:noProof/>
        </w:rPr>
        <w:t> </w:t>
      </w:r>
      <w:r w:rsidR="00537BA9" w:rsidRPr="0085799C">
        <w:rPr>
          <w:rFonts w:ascii="Times New Roman" w:hAnsi="Times New Roman"/>
        </w:rPr>
        <w:t xml:space="preserve">eur), </w:t>
      </w:r>
      <w:r w:rsidR="00537BA9" w:rsidRPr="0085799C">
        <w:rPr>
          <w:rFonts w:ascii="Times New Roman" w:hAnsi="Times New Roman"/>
          <w:u w:val="single"/>
        </w:rPr>
        <w:t xml:space="preserve">Slovenská elektrizačná prenosová sústava, a.s. </w:t>
      </w:r>
      <w:r w:rsidR="00537BA9" w:rsidRPr="0085799C">
        <w:rPr>
          <w:rFonts w:ascii="Times New Roman" w:hAnsi="Times New Roman"/>
        </w:rPr>
        <w:t>(182 6</w:t>
      </w:r>
      <w:r w:rsidR="00537BA9" w:rsidRPr="009E3C89">
        <w:rPr>
          <w:rFonts w:ascii="Times New Roman" w:hAnsi="Times New Roman"/>
        </w:rPr>
        <w:t>40</w:t>
      </w:r>
      <w:r w:rsidR="00537BA9" w:rsidRPr="0085799C">
        <w:rPr>
          <w:rFonts w:ascii="Times New Roman" w:hAnsi="Times New Roman"/>
        </w:rPr>
        <w:t> </w:t>
      </w:r>
      <w:r w:rsidR="00537BA9" w:rsidRPr="009E3C89">
        <w:rPr>
          <w:rFonts w:ascii="Times New Roman" w:hAnsi="Times New Roman"/>
        </w:rPr>
        <w:t xml:space="preserve">tis. </w:t>
      </w:r>
      <w:r w:rsidR="00537BA9" w:rsidRPr="0085799C">
        <w:rPr>
          <w:rFonts w:ascii="Times New Roman" w:hAnsi="Times New Roman"/>
        </w:rPr>
        <w:t xml:space="preserve">eur), </w:t>
      </w:r>
      <w:r w:rsidR="00537BA9" w:rsidRPr="0085799C">
        <w:rPr>
          <w:rFonts w:ascii="Times New Roman" w:hAnsi="Times New Roman"/>
          <w:u w:val="single"/>
        </w:rPr>
        <w:t>Národná diaľničná spoločnosť, a.s.</w:t>
      </w:r>
      <w:r w:rsidR="00537BA9" w:rsidRPr="0085799C">
        <w:rPr>
          <w:rFonts w:ascii="Times New Roman" w:hAnsi="Times New Roman"/>
        </w:rPr>
        <w:t xml:space="preserve"> (73</w:t>
      </w:r>
      <w:r w:rsidR="0021751D">
        <w:rPr>
          <w:rFonts w:ascii="Times New Roman" w:hAnsi="Times New Roman"/>
        </w:rPr>
        <w:t> </w:t>
      </w:r>
      <w:r w:rsidR="00537BA9" w:rsidRPr="0085799C">
        <w:rPr>
          <w:rFonts w:ascii="Times New Roman" w:hAnsi="Times New Roman"/>
        </w:rPr>
        <w:t>82</w:t>
      </w:r>
      <w:r w:rsidR="00C50B26" w:rsidRPr="009E3C89">
        <w:rPr>
          <w:rFonts w:ascii="Times New Roman" w:hAnsi="Times New Roman"/>
        </w:rPr>
        <w:t>9</w:t>
      </w:r>
      <w:r w:rsidR="0021751D">
        <w:rPr>
          <w:rFonts w:ascii="Times New Roman" w:hAnsi="Times New Roman"/>
        </w:rPr>
        <w:t> </w:t>
      </w:r>
      <w:r w:rsidR="00C50B26" w:rsidRPr="00BB21FD">
        <w:rPr>
          <w:rFonts w:ascii="Times New Roman" w:hAnsi="Times New Roman"/>
        </w:rPr>
        <w:t>tis.</w:t>
      </w:r>
      <w:r w:rsidR="0021751D">
        <w:rPr>
          <w:rFonts w:ascii="Times New Roman" w:hAnsi="Times New Roman"/>
        </w:rPr>
        <w:t> </w:t>
      </w:r>
      <w:r w:rsidR="00537BA9" w:rsidRPr="0085799C">
        <w:rPr>
          <w:rFonts w:ascii="Times New Roman" w:hAnsi="Times New Roman"/>
        </w:rPr>
        <w:t>eur) a</w:t>
      </w:r>
      <w:r w:rsidR="0021751D">
        <w:rPr>
          <w:rFonts w:ascii="Times New Roman" w:hAnsi="Times New Roman"/>
        </w:rPr>
        <w:t xml:space="preserve"> </w:t>
      </w:r>
      <w:r w:rsidR="00537BA9" w:rsidRPr="0085799C">
        <w:rPr>
          <w:rFonts w:ascii="Times New Roman" w:hAnsi="Times New Roman"/>
        </w:rPr>
        <w:t xml:space="preserve">ďalej </w:t>
      </w:r>
      <w:r w:rsidR="00537BA9" w:rsidRPr="0085799C">
        <w:rPr>
          <w:rFonts w:ascii="Times New Roman" w:hAnsi="Times New Roman"/>
          <w:u w:val="single"/>
        </w:rPr>
        <w:t>Železničná spoločnosť Cargo Slovakia,</w:t>
      </w:r>
      <w:r w:rsidR="003B2A69">
        <w:rPr>
          <w:rFonts w:ascii="Times New Roman" w:hAnsi="Times New Roman"/>
          <w:u w:val="single"/>
        </w:rPr>
        <w:t xml:space="preserve"> </w:t>
      </w:r>
      <w:r w:rsidR="00537BA9" w:rsidRPr="0085799C">
        <w:rPr>
          <w:rFonts w:ascii="Times New Roman" w:hAnsi="Times New Roman"/>
          <w:u w:val="single"/>
        </w:rPr>
        <w:t>a.s.</w:t>
      </w:r>
      <w:r w:rsidR="00537BA9" w:rsidRPr="0085799C">
        <w:rPr>
          <w:rFonts w:ascii="Times New Roman" w:hAnsi="Times New Roman"/>
        </w:rPr>
        <w:t xml:space="preserve"> (23 295</w:t>
      </w:r>
      <w:r w:rsidR="003B2A69">
        <w:rPr>
          <w:rFonts w:ascii="Times New Roman" w:hAnsi="Times New Roman"/>
        </w:rPr>
        <w:t> </w:t>
      </w:r>
      <w:r w:rsidR="00C50B26" w:rsidRPr="009E3C89">
        <w:rPr>
          <w:rFonts w:ascii="Times New Roman" w:hAnsi="Times New Roman"/>
        </w:rPr>
        <w:t>tis.</w:t>
      </w:r>
      <w:r w:rsidR="003B2A69">
        <w:rPr>
          <w:rFonts w:ascii="Times New Roman" w:hAnsi="Times New Roman"/>
        </w:rPr>
        <w:t> </w:t>
      </w:r>
      <w:r w:rsidR="00537BA9" w:rsidRPr="0085799C">
        <w:rPr>
          <w:rFonts w:ascii="Times New Roman" w:hAnsi="Times New Roman"/>
        </w:rPr>
        <w:t>eur),</w:t>
      </w:r>
      <w:r w:rsidR="003B2A69">
        <w:rPr>
          <w:rFonts w:ascii="Times New Roman" w:hAnsi="Times New Roman"/>
        </w:rPr>
        <w:t xml:space="preserve"> </w:t>
      </w:r>
      <w:r w:rsidR="00537BA9" w:rsidRPr="0085799C">
        <w:rPr>
          <w:rFonts w:ascii="Times New Roman" w:hAnsi="Times New Roman"/>
          <w:u w:val="single"/>
        </w:rPr>
        <w:t>Železničná spoločnosť Slovensko, a.s.</w:t>
      </w:r>
      <w:r w:rsidR="00C50B26" w:rsidRPr="009E3C89">
        <w:rPr>
          <w:rFonts w:ascii="Times New Roman" w:hAnsi="Times New Roman"/>
          <w:b/>
          <w:i/>
        </w:rPr>
        <w:t xml:space="preserve"> </w:t>
      </w:r>
      <w:r w:rsidR="00537BA9" w:rsidRPr="0085799C">
        <w:rPr>
          <w:rFonts w:ascii="Times New Roman" w:hAnsi="Times New Roman"/>
        </w:rPr>
        <w:t>(22 93</w:t>
      </w:r>
      <w:r w:rsidR="00C50B26" w:rsidRPr="009E3C89">
        <w:rPr>
          <w:rFonts w:ascii="Times New Roman" w:hAnsi="Times New Roman"/>
        </w:rPr>
        <w:t>7</w:t>
      </w:r>
      <w:r w:rsidR="00537BA9" w:rsidRPr="0085799C">
        <w:rPr>
          <w:rFonts w:ascii="Times New Roman" w:hAnsi="Times New Roman"/>
        </w:rPr>
        <w:t> </w:t>
      </w:r>
      <w:r w:rsidR="00C50B26" w:rsidRPr="009E3C89">
        <w:rPr>
          <w:rFonts w:ascii="Times New Roman" w:hAnsi="Times New Roman"/>
        </w:rPr>
        <w:t>tis.</w:t>
      </w:r>
      <w:r w:rsidR="00537BA9" w:rsidRPr="0085799C">
        <w:rPr>
          <w:rFonts w:ascii="Times New Roman" w:hAnsi="Times New Roman"/>
        </w:rPr>
        <w:t xml:space="preserve"> eur). Ďalej sú ešte významné záväzky </w:t>
      </w:r>
      <w:r w:rsidR="00537BA9" w:rsidRPr="0085799C">
        <w:rPr>
          <w:rFonts w:ascii="Times New Roman" w:hAnsi="Times New Roman"/>
          <w:u w:val="single"/>
        </w:rPr>
        <w:t>Národného ústavu srdcových a</w:t>
      </w:r>
      <w:r w:rsidR="003B2A69">
        <w:rPr>
          <w:rFonts w:ascii="Times New Roman" w:hAnsi="Times New Roman"/>
          <w:u w:val="single"/>
        </w:rPr>
        <w:t xml:space="preserve"> </w:t>
      </w:r>
      <w:r w:rsidR="00537BA9" w:rsidRPr="0085799C">
        <w:rPr>
          <w:rFonts w:ascii="Times New Roman" w:hAnsi="Times New Roman"/>
          <w:u w:val="single"/>
        </w:rPr>
        <w:t>cievnych chorôb,</w:t>
      </w:r>
      <w:r w:rsidR="003B2A69">
        <w:rPr>
          <w:rFonts w:ascii="Times New Roman" w:hAnsi="Times New Roman"/>
          <w:u w:val="single"/>
        </w:rPr>
        <w:t xml:space="preserve"> </w:t>
      </w:r>
      <w:r w:rsidR="00537BA9" w:rsidRPr="0085799C">
        <w:rPr>
          <w:rFonts w:ascii="Times New Roman" w:hAnsi="Times New Roman"/>
          <w:u w:val="single"/>
        </w:rPr>
        <w:t>a.s.</w:t>
      </w:r>
      <w:r w:rsidR="00537BA9" w:rsidRPr="0085799C">
        <w:rPr>
          <w:rFonts w:ascii="Times New Roman" w:hAnsi="Times New Roman"/>
        </w:rPr>
        <w:t xml:space="preserve"> (21 89</w:t>
      </w:r>
      <w:r w:rsidR="00C50B26" w:rsidRPr="009E3C89">
        <w:rPr>
          <w:rFonts w:ascii="Times New Roman" w:hAnsi="Times New Roman"/>
        </w:rPr>
        <w:t>9</w:t>
      </w:r>
      <w:r w:rsidR="00537BA9" w:rsidRPr="0085799C">
        <w:rPr>
          <w:rFonts w:ascii="Times New Roman" w:hAnsi="Times New Roman"/>
        </w:rPr>
        <w:t> </w:t>
      </w:r>
      <w:r w:rsidR="00C50B26" w:rsidRPr="009E3C89">
        <w:rPr>
          <w:rFonts w:ascii="Times New Roman" w:hAnsi="Times New Roman"/>
        </w:rPr>
        <w:t>tis.</w:t>
      </w:r>
      <w:r w:rsidR="003B2A69">
        <w:rPr>
          <w:rFonts w:ascii="Times New Roman" w:hAnsi="Times New Roman"/>
        </w:rPr>
        <w:t> </w:t>
      </w:r>
      <w:r w:rsidR="00537BA9" w:rsidRPr="0085799C">
        <w:rPr>
          <w:rFonts w:ascii="Times New Roman" w:hAnsi="Times New Roman"/>
        </w:rPr>
        <w:t xml:space="preserve">eur), </w:t>
      </w:r>
      <w:r w:rsidR="00537BA9" w:rsidRPr="0085799C">
        <w:rPr>
          <w:rFonts w:ascii="Times New Roman" w:hAnsi="Times New Roman"/>
          <w:u w:val="single"/>
        </w:rPr>
        <w:t xml:space="preserve">Valaliky Industrial Park, </w:t>
      </w:r>
      <w:proofErr w:type="spellStart"/>
      <w:r w:rsidR="00537BA9" w:rsidRPr="0085799C">
        <w:rPr>
          <w:rFonts w:ascii="Times New Roman" w:hAnsi="Times New Roman"/>
          <w:u w:val="single"/>
        </w:rPr>
        <w:t>s.r.o</w:t>
      </w:r>
      <w:proofErr w:type="spellEnd"/>
      <w:r w:rsidR="00537BA9" w:rsidRPr="0085799C">
        <w:rPr>
          <w:rFonts w:ascii="Times New Roman" w:hAnsi="Times New Roman"/>
          <w:u w:val="single"/>
        </w:rPr>
        <w:t>.</w:t>
      </w:r>
      <w:r w:rsidR="00537BA9" w:rsidRPr="0085799C">
        <w:rPr>
          <w:rFonts w:ascii="Times New Roman" w:hAnsi="Times New Roman"/>
        </w:rPr>
        <w:t xml:space="preserve"> (20 26</w:t>
      </w:r>
      <w:r w:rsidR="00C50B26" w:rsidRPr="009E3C89">
        <w:rPr>
          <w:rFonts w:ascii="Times New Roman" w:hAnsi="Times New Roman"/>
        </w:rPr>
        <w:t>3</w:t>
      </w:r>
      <w:r w:rsidR="00537BA9" w:rsidRPr="0085799C">
        <w:rPr>
          <w:rFonts w:ascii="Times New Roman" w:hAnsi="Times New Roman"/>
        </w:rPr>
        <w:t> </w:t>
      </w:r>
      <w:r w:rsidR="00C50B26" w:rsidRPr="009E3C89">
        <w:rPr>
          <w:rFonts w:ascii="Times New Roman" w:hAnsi="Times New Roman"/>
        </w:rPr>
        <w:t>tis.</w:t>
      </w:r>
      <w:r w:rsidR="00537BA9" w:rsidRPr="0085799C">
        <w:rPr>
          <w:rFonts w:ascii="Times New Roman" w:hAnsi="Times New Roman"/>
        </w:rPr>
        <w:t> eur) a </w:t>
      </w:r>
      <w:r w:rsidR="00537BA9" w:rsidRPr="0085799C">
        <w:rPr>
          <w:rFonts w:ascii="Times New Roman" w:hAnsi="Times New Roman"/>
          <w:u w:val="single"/>
        </w:rPr>
        <w:t>Slovenská pošta, a.s.</w:t>
      </w:r>
      <w:r w:rsidR="00537BA9" w:rsidRPr="0085799C">
        <w:rPr>
          <w:rFonts w:ascii="Times New Roman" w:hAnsi="Times New Roman"/>
        </w:rPr>
        <w:t xml:space="preserve"> (17 129 </w:t>
      </w:r>
      <w:r w:rsidR="00C50B26" w:rsidRPr="009E3C89">
        <w:rPr>
          <w:rFonts w:ascii="Times New Roman" w:hAnsi="Times New Roman"/>
        </w:rPr>
        <w:t>tis.</w:t>
      </w:r>
      <w:r w:rsidR="003B2A69">
        <w:rPr>
          <w:rFonts w:ascii="Times New Roman" w:hAnsi="Times New Roman"/>
        </w:rPr>
        <w:t> </w:t>
      </w:r>
      <w:r w:rsidR="00537BA9" w:rsidRPr="0085799C">
        <w:rPr>
          <w:rFonts w:ascii="Times New Roman" w:hAnsi="Times New Roman"/>
        </w:rPr>
        <w:t xml:space="preserve">eur). </w:t>
      </w:r>
    </w:p>
    <w:p w14:paraId="0A69B57B" w14:textId="7587CC2D" w:rsidR="00537BA9" w:rsidRPr="0085799C" w:rsidRDefault="00537BA9" w:rsidP="0085799C">
      <w:pPr>
        <w:spacing w:after="120" w:line="240" w:lineRule="auto"/>
        <w:jc w:val="both"/>
        <w:rPr>
          <w:rFonts w:ascii="Times New Roman" w:hAnsi="Times New Roman"/>
          <w:color w:val="C00000"/>
        </w:rPr>
      </w:pPr>
      <w:r w:rsidRPr="0085799C">
        <w:rPr>
          <w:rFonts w:ascii="Times New Roman" w:eastAsia="Calibri" w:hAnsi="Times New Roman"/>
        </w:rPr>
        <w:t xml:space="preserve">Najväčší medziročný nárast záväzkov voči dodávateľom dosiahla v rámci obchodných spoločností </w:t>
      </w:r>
      <w:r w:rsidRPr="0085799C">
        <w:rPr>
          <w:rFonts w:ascii="Times New Roman" w:hAnsi="Times New Roman"/>
          <w:u w:val="single"/>
        </w:rPr>
        <w:t>Slovenský plynárenský priemysel, a.s.</w:t>
      </w:r>
      <w:r w:rsidRPr="0085799C">
        <w:rPr>
          <w:rFonts w:ascii="Times New Roman" w:hAnsi="Times New Roman"/>
        </w:rPr>
        <w:t xml:space="preserve"> </w:t>
      </w:r>
      <w:r w:rsidRPr="0085799C">
        <w:rPr>
          <w:rFonts w:ascii="Times New Roman" w:eastAsia="Calibri" w:hAnsi="Times New Roman"/>
        </w:rPr>
        <w:t>(o 190 878 </w:t>
      </w:r>
      <w:r w:rsidR="00C50B26" w:rsidRPr="009E3C89">
        <w:rPr>
          <w:rFonts w:ascii="Times New Roman" w:eastAsia="Calibri" w:hAnsi="Times New Roman"/>
        </w:rPr>
        <w:t>tis.</w:t>
      </w:r>
      <w:r w:rsidRPr="0085799C">
        <w:rPr>
          <w:rFonts w:ascii="Times New Roman" w:eastAsia="Calibri" w:hAnsi="Times New Roman"/>
        </w:rPr>
        <w:t> eur) z dôvodu nárastu záväzkov za nákup zemného</w:t>
      </w:r>
      <w:r w:rsidR="00C50B26" w:rsidRPr="009E3C89">
        <w:rPr>
          <w:rFonts w:ascii="Times New Roman" w:eastAsia="Calibri" w:hAnsi="Times New Roman"/>
        </w:rPr>
        <w:t xml:space="preserve"> </w:t>
      </w:r>
      <w:r w:rsidRPr="0085799C">
        <w:rPr>
          <w:rFonts w:ascii="Times New Roman" w:eastAsia="Calibri" w:hAnsi="Times New Roman"/>
        </w:rPr>
        <w:t>plynu</w:t>
      </w:r>
      <w:r w:rsidR="00C50B26" w:rsidRPr="009E3C89">
        <w:rPr>
          <w:rFonts w:ascii="Times New Roman" w:eastAsia="Calibri" w:hAnsi="Times New Roman"/>
        </w:rPr>
        <w:t xml:space="preserve"> </w:t>
      </w:r>
      <w:r w:rsidRPr="0085799C">
        <w:rPr>
          <w:rFonts w:ascii="Times New Roman" w:eastAsia="Calibri" w:hAnsi="Times New Roman"/>
        </w:rPr>
        <w:t>za mesiac december 2024.</w:t>
      </w:r>
    </w:p>
    <w:p w14:paraId="1463E57C" w14:textId="57F6B5BB" w:rsidR="00537BA9" w:rsidRPr="009E3C89" w:rsidRDefault="00537BA9" w:rsidP="009E3C89">
      <w:pPr>
        <w:spacing w:after="120" w:line="240" w:lineRule="auto"/>
        <w:jc w:val="both"/>
        <w:rPr>
          <w:rFonts w:ascii="Times New Roman" w:hAnsi="Times New Roman"/>
        </w:rPr>
      </w:pPr>
      <w:r w:rsidRPr="0085799C">
        <w:rPr>
          <w:rFonts w:ascii="Times New Roman" w:hAnsi="Times New Roman"/>
        </w:rPr>
        <w:t xml:space="preserve">Významný medziročný pokles záväzkov voči dodávateľom vykázala najmä </w:t>
      </w:r>
      <w:r w:rsidRPr="0085799C">
        <w:rPr>
          <w:rFonts w:ascii="Times New Roman" w:hAnsi="Times New Roman"/>
          <w:u w:val="single"/>
        </w:rPr>
        <w:t>Národná diaľničná spoločnosť, a.s.</w:t>
      </w:r>
      <w:r w:rsidRPr="0085799C">
        <w:rPr>
          <w:rFonts w:ascii="Times New Roman" w:hAnsi="Times New Roman"/>
        </w:rPr>
        <w:t xml:space="preserve"> (o 12 654 </w:t>
      </w:r>
      <w:r w:rsidR="00C50B26" w:rsidRPr="009E3C89">
        <w:rPr>
          <w:rFonts w:ascii="Times New Roman" w:hAnsi="Times New Roman"/>
        </w:rPr>
        <w:t>tis.</w:t>
      </w:r>
      <w:r w:rsidRPr="0085799C">
        <w:rPr>
          <w:rFonts w:ascii="Times New Roman" w:hAnsi="Times New Roman"/>
        </w:rPr>
        <w:t xml:space="preserve"> eur). Zníženie záväzkov z obchodného styku vzniklo z dôvodu úhrady faktúr do konca roka 2024. </w:t>
      </w:r>
    </w:p>
    <w:p w14:paraId="1414BE1A" w14:textId="77777777" w:rsidR="009A05A6" w:rsidRPr="00BB21FD" w:rsidRDefault="009A05A6" w:rsidP="00BB21FD">
      <w:pPr>
        <w:spacing w:after="120" w:line="240" w:lineRule="auto"/>
        <w:jc w:val="both"/>
        <w:rPr>
          <w:rFonts w:ascii="Times New Roman" w:hAnsi="Times New Roman"/>
        </w:rPr>
      </w:pPr>
    </w:p>
    <w:p w14:paraId="3BFDA4ED" w14:textId="45B6BD65" w:rsidR="009A05A6" w:rsidRPr="0085799C" w:rsidRDefault="002852B4" w:rsidP="0085799C">
      <w:pPr>
        <w:pStyle w:val="Nadpis4"/>
        <w:numPr>
          <w:ilvl w:val="0"/>
          <w:numId w:val="54"/>
        </w:numPr>
        <w:ind w:left="426" w:hanging="426"/>
      </w:pPr>
      <w:bookmarkStart w:id="48" w:name="_Záväzky_zo_zúčtovania"/>
      <w:bookmarkEnd w:id="48"/>
      <w:r>
        <w:t>Záväzky zo zúčtovania s EÚ</w:t>
      </w:r>
    </w:p>
    <w:p w14:paraId="3B220D1B" w14:textId="5C8A510F" w:rsidR="00647542" w:rsidRPr="009E3C89" w:rsidRDefault="00647542" w:rsidP="009E3C89">
      <w:pPr>
        <w:spacing w:after="120" w:line="240" w:lineRule="auto"/>
        <w:jc w:val="both"/>
        <w:rPr>
          <w:rFonts w:ascii="Times New Roman" w:hAnsi="Times New Roman"/>
        </w:rPr>
      </w:pPr>
      <w:r w:rsidRPr="009E3C89">
        <w:rPr>
          <w:rFonts w:ascii="Times New Roman" w:hAnsi="Times New Roman"/>
        </w:rPr>
        <w:t xml:space="preserve">Záväzky zo zúčtovania s EÚ dosiahli úhrnom </w:t>
      </w:r>
      <w:r w:rsidR="0025065F" w:rsidRPr="00BB21FD">
        <w:rPr>
          <w:rFonts w:ascii="Times New Roman" w:hAnsi="Times New Roman"/>
        </w:rPr>
        <w:t>3 317 473</w:t>
      </w:r>
      <w:r w:rsidRPr="009E3C89">
        <w:rPr>
          <w:rFonts w:ascii="Times New Roman" w:hAnsi="Times New Roman"/>
        </w:rPr>
        <w:t xml:space="preserve"> tis. eur, z toho ústredná správa vykazuje </w:t>
      </w:r>
      <w:r w:rsidR="0025065F" w:rsidRPr="00BB21FD">
        <w:rPr>
          <w:rFonts w:ascii="Times New Roman" w:hAnsi="Times New Roman"/>
        </w:rPr>
        <w:t>3</w:t>
      </w:r>
      <w:r w:rsidR="003B2A69">
        <w:rPr>
          <w:rFonts w:ascii="Times New Roman" w:hAnsi="Times New Roman"/>
        </w:rPr>
        <w:t> </w:t>
      </w:r>
      <w:r w:rsidR="0025065F" w:rsidRPr="00BB21FD">
        <w:rPr>
          <w:rFonts w:ascii="Times New Roman" w:hAnsi="Times New Roman"/>
        </w:rPr>
        <w:t>309</w:t>
      </w:r>
      <w:r w:rsidR="003B2A69">
        <w:rPr>
          <w:rFonts w:ascii="Times New Roman" w:hAnsi="Times New Roman"/>
        </w:rPr>
        <w:t> </w:t>
      </w:r>
      <w:r w:rsidR="0025065F" w:rsidRPr="009E3C89">
        <w:rPr>
          <w:rFonts w:ascii="Times New Roman" w:hAnsi="Times New Roman"/>
        </w:rPr>
        <w:t>668</w:t>
      </w:r>
      <w:r w:rsidRPr="0085799C">
        <w:rPr>
          <w:rFonts w:ascii="Times New Roman" w:hAnsi="Times New Roman"/>
        </w:rPr>
        <w:t> </w:t>
      </w:r>
      <w:r w:rsidRPr="009E3C89">
        <w:rPr>
          <w:rFonts w:ascii="Times New Roman" w:hAnsi="Times New Roman"/>
        </w:rPr>
        <w:t xml:space="preserve">tis. eur a subjekty územnej samosprávy </w:t>
      </w:r>
      <w:r w:rsidR="00A56E2A" w:rsidRPr="00BB21FD">
        <w:rPr>
          <w:rFonts w:ascii="Times New Roman" w:hAnsi="Times New Roman"/>
        </w:rPr>
        <w:t>7</w:t>
      </w:r>
      <w:r w:rsidR="003B2A69">
        <w:rPr>
          <w:rFonts w:ascii="Times New Roman" w:hAnsi="Times New Roman"/>
        </w:rPr>
        <w:t> </w:t>
      </w:r>
      <w:r w:rsidR="00A56E2A" w:rsidRPr="009E3C89">
        <w:rPr>
          <w:rFonts w:ascii="Times New Roman" w:hAnsi="Times New Roman"/>
        </w:rPr>
        <w:t>805</w:t>
      </w:r>
      <w:r w:rsidR="003B2A69">
        <w:rPr>
          <w:rFonts w:ascii="Times New Roman" w:hAnsi="Times New Roman"/>
        </w:rPr>
        <w:t> </w:t>
      </w:r>
      <w:r w:rsidR="00A56E2A" w:rsidRPr="00BB21FD">
        <w:rPr>
          <w:rFonts w:ascii="Times New Roman" w:hAnsi="Times New Roman"/>
        </w:rPr>
        <w:t>tis</w:t>
      </w:r>
      <w:r w:rsidRPr="009E3C89">
        <w:rPr>
          <w:rFonts w:ascii="Times New Roman" w:hAnsi="Times New Roman"/>
        </w:rPr>
        <w:t>.</w:t>
      </w:r>
      <w:r w:rsidR="003B2A69">
        <w:rPr>
          <w:rFonts w:ascii="Times New Roman" w:hAnsi="Times New Roman"/>
        </w:rPr>
        <w:t> </w:t>
      </w:r>
      <w:r w:rsidRPr="009E3C89">
        <w:rPr>
          <w:rFonts w:ascii="Times New Roman" w:hAnsi="Times New Roman"/>
        </w:rPr>
        <w:t xml:space="preserve">eur. Najväčšiu časť záväzku vykazuje </w:t>
      </w:r>
      <w:r w:rsidRPr="0085799C">
        <w:rPr>
          <w:rFonts w:ascii="Times New Roman" w:hAnsi="Times New Roman"/>
          <w:u w:val="single"/>
        </w:rPr>
        <w:t>Úrad vlády SR</w:t>
      </w:r>
      <w:r w:rsidRPr="009E3C89">
        <w:rPr>
          <w:rFonts w:ascii="Times New Roman" w:hAnsi="Times New Roman"/>
        </w:rPr>
        <w:t xml:space="preserve"> (</w:t>
      </w:r>
      <w:r w:rsidR="00161495" w:rsidRPr="00BB21FD">
        <w:rPr>
          <w:rFonts w:ascii="Times New Roman" w:hAnsi="Times New Roman"/>
        </w:rPr>
        <w:t>2</w:t>
      </w:r>
      <w:r w:rsidR="003B2A69">
        <w:rPr>
          <w:rFonts w:ascii="Times New Roman" w:hAnsi="Times New Roman"/>
        </w:rPr>
        <w:t> </w:t>
      </w:r>
      <w:r w:rsidR="00161495" w:rsidRPr="00BB21FD">
        <w:rPr>
          <w:rFonts w:ascii="Times New Roman" w:hAnsi="Times New Roman"/>
        </w:rPr>
        <w:t>153</w:t>
      </w:r>
      <w:r w:rsidR="003B2A69">
        <w:rPr>
          <w:rFonts w:ascii="Times New Roman" w:hAnsi="Times New Roman"/>
        </w:rPr>
        <w:t> </w:t>
      </w:r>
      <w:r w:rsidR="00161495" w:rsidRPr="009E3C89">
        <w:rPr>
          <w:rFonts w:ascii="Times New Roman" w:hAnsi="Times New Roman"/>
        </w:rPr>
        <w:t>397</w:t>
      </w:r>
      <w:r w:rsidRPr="009E3C89">
        <w:rPr>
          <w:rFonts w:ascii="Times New Roman" w:hAnsi="Times New Roman"/>
        </w:rPr>
        <w:t xml:space="preserve"> tis. eur) a </w:t>
      </w:r>
      <w:r w:rsidRPr="0085799C">
        <w:rPr>
          <w:rFonts w:ascii="Times New Roman" w:hAnsi="Times New Roman"/>
          <w:u w:val="single"/>
        </w:rPr>
        <w:t>Ministerstv</w:t>
      </w:r>
      <w:r w:rsidR="0099168D">
        <w:rPr>
          <w:rFonts w:ascii="Times New Roman" w:hAnsi="Times New Roman"/>
          <w:u w:val="single"/>
        </w:rPr>
        <w:t>o</w:t>
      </w:r>
      <w:r w:rsidRPr="0085799C">
        <w:rPr>
          <w:rFonts w:ascii="Times New Roman" w:hAnsi="Times New Roman"/>
          <w:u w:val="single"/>
        </w:rPr>
        <w:t xml:space="preserve"> </w:t>
      </w:r>
      <w:r w:rsidR="00161495" w:rsidRPr="0085799C">
        <w:rPr>
          <w:rFonts w:ascii="Times New Roman" w:hAnsi="Times New Roman"/>
          <w:u w:val="single"/>
        </w:rPr>
        <w:t>životného prostredia SR</w:t>
      </w:r>
      <w:r w:rsidR="00161495" w:rsidRPr="009E3C89">
        <w:rPr>
          <w:rFonts w:ascii="Times New Roman" w:hAnsi="Times New Roman"/>
        </w:rPr>
        <w:t xml:space="preserve"> </w:t>
      </w:r>
      <w:r w:rsidRPr="009E3C89">
        <w:rPr>
          <w:rFonts w:ascii="Times New Roman" w:hAnsi="Times New Roman"/>
        </w:rPr>
        <w:t>(</w:t>
      </w:r>
      <w:r w:rsidR="00161495" w:rsidRPr="00BB21FD">
        <w:rPr>
          <w:rFonts w:ascii="Times New Roman" w:hAnsi="Times New Roman"/>
        </w:rPr>
        <w:t>691</w:t>
      </w:r>
      <w:r w:rsidR="003B2A69">
        <w:rPr>
          <w:rFonts w:ascii="Times New Roman" w:hAnsi="Times New Roman"/>
        </w:rPr>
        <w:t> </w:t>
      </w:r>
      <w:r w:rsidR="00161495" w:rsidRPr="00BB21FD">
        <w:rPr>
          <w:rFonts w:ascii="Times New Roman" w:hAnsi="Times New Roman"/>
        </w:rPr>
        <w:t>326</w:t>
      </w:r>
      <w:r w:rsidRPr="009E3C89">
        <w:rPr>
          <w:rFonts w:ascii="Times New Roman" w:hAnsi="Times New Roman"/>
        </w:rPr>
        <w:t xml:space="preserve"> tis. eur). </w:t>
      </w:r>
    </w:p>
    <w:p w14:paraId="316E6660" w14:textId="2FDE1219" w:rsidR="007E562E" w:rsidRPr="0085799C" w:rsidRDefault="007E562E" w:rsidP="0085799C">
      <w:pPr>
        <w:spacing w:after="120" w:line="240" w:lineRule="auto"/>
        <w:jc w:val="both"/>
        <w:rPr>
          <w:rFonts w:ascii="Times New Roman" w:hAnsi="Times New Roman"/>
        </w:rPr>
      </w:pPr>
      <w:bookmarkStart w:id="49" w:name="_Hlk210204272"/>
      <w:r w:rsidRPr="0085799C">
        <w:rPr>
          <w:rFonts w:ascii="Times New Roman" w:hAnsi="Times New Roman"/>
          <w:u w:val="single"/>
        </w:rPr>
        <w:t>Úrad vlády SR</w:t>
      </w:r>
      <w:r w:rsidRPr="0085799C">
        <w:rPr>
          <w:rFonts w:ascii="Times New Roman" w:hAnsi="Times New Roman"/>
        </w:rPr>
        <w:t xml:space="preserve"> vykazuje sumu 2 153 39</w:t>
      </w:r>
      <w:r w:rsidR="000D68A0" w:rsidRPr="009E3C89">
        <w:rPr>
          <w:rFonts w:ascii="Times New Roman" w:hAnsi="Times New Roman"/>
        </w:rPr>
        <w:t>7</w:t>
      </w:r>
      <w:r w:rsidRPr="0085799C">
        <w:rPr>
          <w:rFonts w:ascii="Times New Roman" w:hAnsi="Times New Roman"/>
        </w:rPr>
        <w:t> </w:t>
      </w:r>
      <w:r w:rsidR="000D68A0" w:rsidRPr="009E3C89">
        <w:rPr>
          <w:rFonts w:ascii="Times New Roman" w:hAnsi="Times New Roman"/>
        </w:rPr>
        <w:t>tis.</w:t>
      </w:r>
      <w:r w:rsidRPr="0085799C">
        <w:rPr>
          <w:rFonts w:ascii="Times New Roman" w:hAnsi="Times New Roman"/>
        </w:rPr>
        <w:t> eur</w:t>
      </w:r>
      <w:r w:rsidR="00D6641A">
        <w:rPr>
          <w:rFonts w:ascii="Times New Roman" w:hAnsi="Times New Roman"/>
        </w:rPr>
        <w:t>, pričom i</w:t>
      </w:r>
      <w:r w:rsidRPr="0085799C">
        <w:rPr>
          <w:rFonts w:ascii="Times New Roman" w:hAnsi="Times New Roman"/>
        </w:rPr>
        <w:t>de o prostriedky, ktoré boli Slovensku poskytnuté v rámci Mechanizmu na podporu obnovy a odolnosti</w:t>
      </w:r>
      <w:r w:rsidR="00F45116">
        <w:rPr>
          <w:rFonts w:ascii="Times New Roman" w:hAnsi="Times New Roman"/>
        </w:rPr>
        <w:t xml:space="preserve"> (Plán obnovy a odolnosti)</w:t>
      </w:r>
      <w:r w:rsidRPr="0085799C">
        <w:rPr>
          <w:rStyle w:val="Odkaznapoznmkupodiarou"/>
          <w:rFonts w:ascii="Times New Roman" w:hAnsi="Times New Roman"/>
        </w:rPr>
        <w:footnoteReference w:id="5"/>
      </w:r>
      <w:r w:rsidRPr="0085799C">
        <w:rPr>
          <w:rFonts w:ascii="Times New Roman" w:hAnsi="Times New Roman"/>
        </w:rPr>
        <w:t xml:space="preserve">. </w:t>
      </w:r>
      <w:r w:rsidRPr="0085799C">
        <w:rPr>
          <w:rFonts w:ascii="Times New Roman" w:hAnsi="Times New Roman"/>
          <w:color w:val="000000" w:themeColor="text1"/>
        </w:rPr>
        <w:t>V rámci plánu obnovy boli prijaté platby z </w:t>
      </w:r>
      <w:proofErr w:type="spellStart"/>
      <w:r w:rsidRPr="0085799C">
        <w:rPr>
          <w:rFonts w:ascii="Times New Roman" w:hAnsi="Times New Roman"/>
          <w:color w:val="000000" w:themeColor="text1"/>
        </w:rPr>
        <w:t>predfinancovania</w:t>
      </w:r>
      <w:proofErr w:type="spellEnd"/>
      <w:r w:rsidRPr="0085799C">
        <w:rPr>
          <w:rFonts w:ascii="Times New Roman" w:hAnsi="Times New Roman"/>
          <w:color w:val="000000" w:themeColor="text1"/>
        </w:rPr>
        <w:t xml:space="preserve"> v sume 903 2</w:t>
      </w:r>
      <w:r w:rsidR="000D68A0" w:rsidRPr="009E3C89">
        <w:rPr>
          <w:rFonts w:ascii="Times New Roman" w:hAnsi="Times New Roman"/>
          <w:color w:val="000000" w:themeColor="text1"/>
        </w:rPr>
        <w:t>60</w:t>
      </w:r>
      <w:r w:rsidRPr="0085799C">
        <w:rPr>
          <w:rFonts w:ascii="Times New Roman" w:hAnsi="Times New Roman"/>
          <w:color w:val="000000" w:themeColor="text1"/>
        </w:rPr>
        <w:t> </w:t>
      </w:r>
      <w:r w:rsidR="000D68A0" w:rsidRPr="009E3C89">
        <w:rPr>
          <w:rFonts w:ascii="Times New Roman" w:hAnsi="Times New Roman"/>
          <w:color w:val="000000" w:themeColor="text1"/>
        </w:rPr>
        <w:t>tis.</w:t>
      </w:r>
      <w:r w:rsidRPr="0085799C">
        <w:rPr>
          <w:rFonts w:ascii="Times New Roman" w:hAnsi="Times New Roman"/>
          <w:color w:val="000000" w:themeColor="text1"/>
        </w:rPr>
        <w:t xml:space="preserve"> eur a platby za I. až IV. </w:t>
      </w:r>
      <w:r w:rsidR="00F45116">
        <w:rPr>
          <w:rFonts w:ascii="Times New Roman" w:hAnsi="Times New Roman"/>
          <w:color w:val="000000" w:themeColor="text1"/>
        </w:rPr>
        <w:t>žiadosť o platbu (</w:t>
      </w:r>
      <w:r w:rsidRPr="0085799C">
        <w:rPr>
          <w:rFonts w:ascii="Times New Roman" w:hAnsi="Times New Roman"/>
          <w:color w:val="000000" w:themeColor="text1"/>
        </w:rPr>
        <w:t xml:space="preserve">po započítaní </w:t>
      </w:r>
      <w:proofErr w:type="spellStart"/>
      <w:r w:rsidRPr="0085799C">
        <w:rPr>
          <w:rFonts w:ascii="Times New Roman" w:hAnsi="Times New Roman"/>
          <w:color w:val="000000" w:themeColor="text1"/>
        </w:rPr>
        <w:t>predfinancovania</w:t>
      </w:r>
      <w:proofErr w:type="spellEnd"/>
      <w:r w:rsidR="00F45116">
        <w:rPr>
          <w:rFonts w:ascii="Times New Roman" w:hAnsi="Times New Roman"/>
          <w:color w:val="000000" w:themeColor="text1"/>
        </w:rPr>
        <w:t>)</w:t>
      </w:r>
      <w:r w:rsidRPr="0085799C">
        <w:rPr>
          <w:rFonts w:ascii="Times New Roman" w:hAnsi="Times New Roman"/>
          <w:color w:val="000000" w:themeColor="text1"/>
        </w:rPr>
        <w:t xml:space="preserve"> v celkovej sume 2 568 523 </w:t>
      </w:r>
      <w:r w:rsidR="000D68A0" w:rsidRPr="009E3C89">
        <w:rPr>
          <w:rFonts w:ascii="Times New Roman" w:hAnsi="Times New Roman"/>
          <w:color w:val="000000" w:themeColor="text1"/>
        </w:rPr>
        <w:t>tis.</w:t>
      </w:r>
      <w:r w:rsidRPr="0085799C">
        <w:rPr>
          <w:rFonts w:ascii="Times New Roman" w:hAnsi="Times New Roman"/>
          <w:color w:val="000000" w:themeColor="text1"/>
        </w:rPr>
        <w:t> eur</w:t>
      </w:r>
      <w:r w:rsidRPr="0085799C">
        <w:rPr>
          <w:rFonts w:ascii="Times New Roman" w:hAnsi="Times New Roman"/>
          <w:color w:val="C00000"/>
        </w:rPr>
        <w:t>.</w:t>
      </w:r>
      <w:r w:rsidRPr="0085799C">
        <w:rPr>
          <w:rFonts w:ascii="Times New Roman" w:hAnsi="Times New Roman"/>
        </w:rPr>
        <w:t xml:space="preserve"> Prostriedky sa </w:t>
      </w:r>
      <w:r w:rsidR="00F45116">
        <w:rPr>
          <w:rFonts w:ascii="Times New Roman" w:hAnsi="Times New Roman"/>
        </w:rPr>
        <w:t xml:space="preserve">zapájajú do štátneho rozpočtu dvakrát ročne, vo výške odsúhlasených výdavkov realizovaných zo strany sprostredkovateľov alebo vykonávateľov Plánu obnovy. </w:t>
      </w:r>
    </w:p>
    <w:bookmarkEnd w:id="49"/>
    <w:p w14:paraId="735A3F66" w14:textId="2B867B5D" w:rsidR="007E562E" w:rsidRPr="0085799C" w:rsidRDefault="007E562E" w:rsidP="0085799C">
      <w:pPr>
        <w:spacing w:after="120" w:line="240" w:lineRule="auto"/>
        <w:jc w:val="both"/>
        <w:rPr>
          <w:rFonts w:ascii="Times New Roman" w:hAnsi="Times New Roman"/>
        </w:rPr>
      </w:pPr>
      <w:r w:rsidRPr="0085799C">
        <w:rPr>
          <w:rFonts w:ascii="Times New Roman" w:hAnsi="Times New Roman"/>
          <w:u w:val="single"/>
        </w:rPr>
        <w:t>Ministerstvo financií SR</w:t>
      </w:r>
      <w:r w:rsidRPr="0085799C">
        <w:rPr>
          <w:rFonts w:ascii="Times New Roman" w:hAnsi="Times New Roman"/>
        </w:rPr>
        <w:t xml:space="preserve"> vykazuje okrem záväzkov z titulu vlastných zdrojov EÚ, aj zúčtovacie vzťahy voči donorom Finančného mechanizmu EHP, Nórskeho finančného mechanizmu. Celková hodnota tohto záväzku bola v roku 2024 znížená a vznikla pohľadávka.</w:t>
      </w:r>
    </w:p>
    <w:p w14:paraId="683F13AE" w14:textId="61376B36" w:rsidR="007E562E" w:rsidRPr="0085799C" w:rsidRDefault="007E562E" w:rsidP="0085799C">
      <w:pPr>
        <w:spacing w:after="120" w:line="240" w:lineRule="auto"/>
        <w:jc w:val="both"/>
        <w:rPr>
          <w:rFonts w:ascii="Times New Roman" w:hAnsi="Times New Roman"/>
        </w:rPr>
      </w:pPr>
      <w:r w:rsidRPr="0085799C">
        <w:rPr>
          <w:rFonts w:ascii="Times New Roman" w:hAnsi="Times New Roman"/>
          <w:u w:val="single"/>
        </w:rPr>
        <w:t>Ministerstvo životného prostredia SR</w:t>
      </w:r>
      <w:r w:rsidRPr="0085799C">
        <w:rPr>
          <w:rFonts w:ascii="Times New Roman" w:hAnsi="Times New Roman"/>
          <w:b/>
          <w:i/>
        </w:rPr>
        <w:t xml:space="preserve"> </w:t>
      </w:r>
      <w:r w:rsidRPr="0085799C">
        <w:rPr>
          <w:rFonts w:ascii="Times New Roman" w:hAnsi="Times New Roman"/>
        </w:rPr>
        <w:t>vykazuje 691 326 </w:t>
      </w:r>
      <w:r w:rsidR="00391B5B" w:rsidRPr="009E3C89">
        <w:rPr>
          <w:rFonts w:ascii="Times New Roman" w:hAnsi="Times New Roman"/>
        </w:rPr>
        <w:t>tis.</w:t>
      </w:r>
      <w:r w:rsidRPr="0085799C">
        <w:rPr>
          <w:rFonts w:ascii="Times New Roman" w:hAnsi="Times New Roman"/>
        </w:rPr>
        <w:t xml:space="preserve"> eur, </w:t>
      </w:r>
      <w:r w:rsidRPr="0085799C">
        <w:rPr>
          <w:rFonts w:ascii="Times New Roman" w:hAnsi="Times New Roman"/>
          <w:color w:val="000000" w:themeColor="text1"/>
        </w:rPr>
        <w:t>čo predstavuje medziročný nárast vo výške 104</w:t>
      </w:r>
      <w:r w:rsidR="00391B5B" w:rsidRPr="009E3C89">
        <w:rPr>
          <w:rFonts w:ascii="Times New Roman" w:hAnsi="Times New Roman"/>
          <w:color w:val="000000" w:themeColor="text1"/>
        </w:rPr>
        <w:t> </w:t>
      </w:r>
      <w:r w:rsidRPr="0085799C">
        <w:rPr>
          <w:rFonts w:ascii="Times New Roman" w:hAnsi="Times New Roman"/>
          <w:color w:val="000000" w:themeColor="text1"/>
        </w:rPr>
        <w:t>89</w:t>
      </w:r>
      <w:r w:rsidR="00391B5B" w:rsidRPr="009E3C89">
        <w:rPr>
          <w:rFonts w:ascii="Times New Roman" w:hAnsi="Times New Roman"/>
          <w:color w:val="000000" w:themeColor="text1"/>
        </w:rPr>
        <w:t>5</w:t>
      </w:r>
      <w:r w:rsidR="003B2A69">
        <w:rPr>
          <w:rFonts w:ascii="Times New Roman" w:hAnsi="Times New Roman"/>
          <w:color w:val="000000" w:themeColor="text1"/>
        </w:rPr>
        <w:t> </w:t>
      </w:r>
      <w:r w:rsidR="00391B5B" w:rsidRPr="009E3C89">
        <w:rPr>
          <w:rFonts w:ascii="Times New Roman" w:hAnsi="Times New Roman"/>
          <w:color w:val="000000" w:themeColor="text1"/>
        </w:rPr>
        <w:t>tis.</w:t>
      </w:r>
      <w:r w:rsidR="003B2A69">
        <w:rPr>
          <w:rFonts w:ascii="Times New Roman" w:hAnsi="Times New Roman"/>
          <w:color w:val="000000" w:themeColor="text1"/>
        </w:rPr>
        <w:t> </w:t>
      </w:r>
      <w:r w:rsidRPr="0085799C">
        <w:rPr>
          <w:rFonts w:ascii="Times New Roman" w:hAnsi="Times New Roman"/>
          <w:color w:val="000000" w:themeColor="text1"/>
        </w:rPr>
        <w:t>eur v súvislosti s</w:t>
      </w:r>
      <w:r w:rsidR="003B2A69">
        <w:rPr>
          <w:rFonts w:ascii="Times New Roman" w:hAnsi="Times New Roman"/>
          <w:color w:val="000000" w:themeColor="text1"/>
        </w:rPr>
        <w:t xml:space="preserve"> </w:t>
      </w:r>
      <w:r w:rsidRPr="0085799C">
        <w:rPr>
          <w:rFonts w:ascii="Times New Roman" w:hAnsi="Times New Roman"/>
          <w:color w:val="000000" w:themeColor="text1"/>
        </w:rPr>
        <w:t xml:space="preserve">prijatím prostriedkov </w:t>
      </w:r>
      <w:r w:rsidR="00B02DC9">
        <w:rPr>
          <w:rFonts w:ascii="Times New Roman" w:hAnsi="Times New Roman"/>
          <w:color w:val="000000" w:themeColor="text1"/>
        </w:rPr>
        <w:t>z Modernizačného fondu</w:t>
      </w:r>
      <w:r w:rsidRPr="0085799C">
        <w:rPr>
          <w:rFonts w:ascii="Times New Roman" w:hAnsi="Times New Roman"/>
          <w:color w:val="000000" w:themeColor="text1"/>
        </w:rPr>
        <w:t xml:space="preserve">. Tieto prostriedky sú určené na prioritnú investíciu a štátnu pomoc zacielenú na podporu opatrení na dekarbonizáciu a energetickú efektívnosť pri výrobných procesoch v priemyselných zariadeniach na zlepšenie energetickej činnosti priemyselných podnikov, ktoré sú súčasťou európskeho systému obchodovania s emisnými kvótami. </w:t>
      </w:r>
    </w:p>
    <w:p w14:paraId="56E2DC24" w14:textId="2618DAF3" w:rsidR="007E562E" w:rsidRPr="009E3C89" w:rsidRDefault="007E562E" w:rsidP="009E3C89">
      <w:pPr>
        <w:spacing w:after="120" w:line="240" w:lineRule="auto"/>
        <w:jc w:val="both"/>
        <w:rPr>
          <w:rFonts w:ascii="Times New Roman" w:hAnsi="Times New Roman"/>
        </w:rPr>
      </w:pPr>
      <w:r w:rsidRPr="0085799C">
        <w:rPr>
          <w:rFonts w:ascii="Times New Roman" w:hAnsi="Times New Roman"/>
          <w:u w:val="single"/>
        </w:rPr>
        <w:t>Ministerstvo pôdohospodárstva a rozvoja vidieka SR</w:t>
      </w:r>
      <w:r w:rsidRPr="0085799C">
        <w:rPr>
          <w:rFonts w:ascii="Times New Roman" w:hAnsi="Times New Roman"/>
          <w:b/>
          <w:i/>
        </w:rPr>
        <w:t xml:space="preserve"> </w:t>
      </w:r>
      <w:r w:rsidRPr="0085799C">
        <w:rPr>
          <w:rFonts w:ascii="Times New Roman" w:hAnsi="Times New Roman"/>
        </w:rPr>
        <w:t>vykazuje prostriedky vo výške</w:t>
      </w:r>
      <w:r w:rsidRPr="0085799C">
        <w:rPr>
          <w:rFonts w:ascii="Times New Roman" w:hAnsi="Times New Roman"/>
          <w:b/>
          <w:i/>
        </w:rPr>
        <w:t xml:space="preserve"> </w:t>
      </w:r>
      <w:r w:rsidRPr="0085799C">
        <w:rPr>
          <w:rFonts w:ascii="Times New Roman" w:hAnsi="Times New Roman"/>
        </w:rPr>
        <w:t>125 72</w:t>
      </w:r>
      <w:r w:rsidR="00AC39B4" w:rsidRPr="009E3C89">
        <w:rPr>
          <w:rFonts w:ascii="Times New Roman" w:hAnsi="Times New Roman"/>
        </w:rPr>
        <w:t>2</w:t>
      </w:r>
      <w:r w:rsidRPr="0085799C">
        <w:rPr>
          <w:rFonts w:ascii="Times New Roman" w:hAnsi="Times New Roman"/>
        </w:rPr>
        <w:t> </w:t>
      </w:r>
      <w:r w:rsidR="00AC39B4" w:rsidRPr="009E3C89">
        <w:rPr>
          <w:rFonts w:ascii="Times New Roman" w:hAnsi="Times New Roman"/>
        </w:rPr>
        <w:t>tis.</w:t>
      </w:r>
      <w:r w:rsidRPr="0085799C">
        <w:rPr>
          <w:rFonts w:ascii="Times New Roman" w:hAnsi="Times New Roman"/>
        </w:rPr>
        <w:t> eur, ktorými financuje programy v oblasti poľnohospodárstva, čo je oproti roku 2023 pokles o 290 822 </w:t>
      </w:r>
      <w:r w:rsidR="007363D4" w:rsidRPr="009E3C89">
        <w:rPr>
          <w:rFonts w:ascii="Times New Roman" w:hAnsi="Times New Roman"/>
        </w:rPr>
        <w:t>tis.</w:t>
      </w:r>
      <w:r w:rsidRPr="0085799C">
        <w:rPr>
          <w:rFonts w:ascii="Times New Roman" w:hAnsi="Times New Roman"/>
        </w:rPr>
        <w:t xml:space="preserve"> eur. Medziročný pokles súvisí predovšetkým z dôvodu nižšie poskytnutých finančných prostriedkov </w:t>
      </w:r>
      <w:r w:rsidR="00D967A7">
        <w:rPr>
          <w:rFonts w:ascii="Times New Roman" w:hAnsi="Times New Roman"/>
        </w:rPr>
        <w:t>EÚ</w:t>
      </w:r>
      <w:r w:rsidRPr="0085799C">
        <w:rPr>
          <w:rFonts w:ascii="Times New Roman" w:hAnsi="Times New Roman"/>
        </w:rPr>
        <w:t>.</w:t>
      </w:r>
    </w:p>
    <w:p w14:paraId="765F66E3" w14:textId="74A89E39" w:rsidR="002852B4" w:rsidRDefault="002852B4" w:rsidP="009F2AF6">
      <w:pPr>
        <w:pStyle w:val="Nadpis4"/>
        <w:numPr>
          <w:ilvl w:val="0"/>
          <w:numId w:val="54"/>
        </w:numPr>
        <w:ind w:left="426" w:hanging="426"/>
      </w:pPr>
      <w:bookmarkStart w:id="50" w:name="_Zúčtovanie_medzi_subjektmi"/>
      <w:bookmarkEnd w:id="50"/>
      <w:r>
        <w:lastRenderedPageBreak/>
        <w:t>Zúčtovanie medzi subjek</w:t>
      </w:r>
      <w:r w:rsidR="00142042">
        <w:t>tmi verejnej správy</w:t>
      </w:r>
    </w:p>
    <w:p w14:paraId="0E818E4C" w14:textId="2DB3B8E6" w:rsidR="00BF4484" w:rsidRDefault="00647542" w:rsidP="009E3C89">
      <w:pPr>
        <w:pStyle w:val="Pismenka"/>
        <w:tabs>
          <w:tab w:val="clear" w:pos="426"/>
        </w:tabs>
        <w:spacing w:after="120"/>
        <w:ind w:left="0" w:firstLine="0"/>
        <w:rPr>
          <w:b w:val="0"/>
          <w:bCs w:val="0"/>
          <w:sz w:val="22"/>
          <w:szCs w:val="22"/>
        </w:rPr>
      </w:pPr>
      <w:r w:rsidRPr="0085799C">
        <w:rPr>
          <w:b w:val="0"/>
          <w:sz w:val="22"/>
          <w:szCs w:val="22"/>
        </w:rPr>
        <w:t>Zúčtovacie vzťahy sa používajú najmä na zaznamenávanie prijatých bežných a kapitálových transferov medzi subjektmi verejnej správy. Z pohľadu účtovníctva ide o časovo rozlíšené prostriedky štátneho rozpočtu, rozpočtu obce alebo vyššieho územného celku, ktoré sú poskytované ostatným organizáciám. V rámci tejto skupiny záväzkov sa vykazujú aj transfery v územnej samospráve, ktoré neboli predmetom eliminácie a vzťah štátneho rozpočtu voči územnej samospráve z podielových daní.</w:t>
      </w:r>
      <w:r w:rsidR="00BF4484">
        <w:rPr>
          <w:b w:val="0"/>
          <w:bCs w:val="0"/>
          <w:sz w:val="22"/>
          <w:szCs w:val="22"/>
        </w:rPr>
        <w:t xml:space="preserve"> </w:t>
      </w:r>
    </w:p>
    <w:p w14:paraId="77AFDAC1" w14:textId="2564BC08" w:rsidR="005511D5" w:rsidRDefault="00647542" w:rsidP="009E3C89">
      <w:pPr>
        <w:pStyle w:val="Pismenka"/>
        <w:tabs>
          <w:tab w:val="clear" w:pos="426"/>
        </w:tabs>
        <w:spacing w:after="120"/>
        <w:ind w:left="0" w:firstLine="0"/>
        <w:rPr>
          <w:b w:val="0"/>
          <w:sz w:val="22"/>
          <w:szCs w:val="22"/>
        </w:rPr>
      </w:pPr>
      <w:r w:rsidRPr="0085799C">
        <w:rPr>
          <w:b w:val="0"/>
          <w:sz w:val="22"/>
          <w:szCs w:val="22"/>
        </w:rPr>
        <w:t>Hodnota transferov</w:t>
      </w:r>
      <w:r w:rsidR="00BF4484">
        <w:rPr>
          <w:b w:val="0"/>
          <w:bCs w:val="0"/>
          <w:sz w:val="22"/>
          <w:szCs w:val="22"/>
        </w:rPr>
        <w:t xml:space="preserve"> </w:t>
      </w:r>
      <w:r w:rsidRPr="0085799C">
        <w:rPr>
          <w:b w:val="0"/>
          <w:sz w:val="22"/>
          <w:szCs w:val="22"/>
        </w:rPr>
        <w:t>k 31.</w:t>
      </w:r>
      <w:r w:rsidR="00867606">
        <w:rPr>
          <w:b w:val="0"/>
          <w:sz w:val="22"/>
          <w:szCs w:val="22"/>
        </w:rPr>
        <w:t xml:space="preserve"> </w:t>
      </w:r>
      <w:r w:rsidRPr="0085799C">
        <w:rPr>
          <w:b w:val="0"/>
          <w:sz w:val="22"/>
          <w:szCs w:val="22"/>
        </w:rPr>
        <w:t>12.</w:t>
      </w:r>
      <w:r w:rsidR="00867606">
        <w:rPr>
          <w:b w:val="0"/>
          <w:sz w:val="22"/>
          <w:szCs w:val="22"/>
        </w:rPr>
        <w:t xml:space="preserve"> </w:t>
      </w:r>
      <w:r w:rsidRPr="0085799C">
        <w:rPr>
          <w:b w:val="0"/>
          <w:sz w:val="22"/>
          <w:szCs w:val="22"/>
        </w:rPr>
        <w:t>202</w:t>
      </w:r>
      <w:r w:rsidR="00E54A1A" w:rsidRPr="0085799C">
        <w:rPr>
          <w:b w:val="0"/>
          <w:sz w:val="22"/>
          <w:szCs w:val="22"/>
        </w:rPr>
        <w:t>4</w:t>
      </w:r>
      <w:r w:rsidRPr="0085799C">
        <w:rPr>
          <w:b w:val="0"/>
          <w:sz w:val="22"/>
          <w:szCs w:val="22"/>
        </w:rPr>
        <w:t xml:space="preserve"> bola </w:t>
      </w:r>
      <w:r w:rsidR="00A70E28" w:rsidRPr="0085799C">
        <w:rPr>
          <w:b w:val="0"/>
          <w:sz w:val="22"/>
          <w:szCs w:val="22"/>
        </w:rPr>
        <w:t>621 881</w:t>
      </w:r>
      <w:r w:rsidRPr="0085799C">
        <w:rPr>
          <w:b w:val="0"/>
          <w:sz w:val="22"/>
          <w:szCs w:val="22"/>
        </w:rPr>
        <w:t xml:space="preserve"> tis. eur a medziročne boli </w:t>
      </w:r>
      <w:r w:rsidR="00A70E28" w:rsidRPr="0085799C">
        <w:rPr>
          <w:b w:val="0"/>
          <w:sz w:val="22"/>
          <w:szCs w:val="22"/>
        </w:rPr>
        <w:t>vyšš</w:t>
      </w:r>
      <w:r w:rsidRPr="0085799C">
        <w:rPr>
          <w:b w:val="0"/>
          <w:sz w:val="22"/>
          <w:szCs w:val="22"/>
        </w:rPr>
        <w:t>ie o</w:t>
      </w:r>
      <w:r w:rsidR="006B0CC2">
        <w:rPr>
          <w:b w:val="0"/>
          <w:sz w:val="22"/>
          <w:szCs w:val="22"/>
        </w:rPr>
        <w:t> 91 354</w:t>
      </w:r>
      <w:r w:rsidRPr="0085799C">
        <w:rPr>
          <w:b w:val="0"/>
          <w:sz w:val="22"/>
          <w:szCs w:val="22"/>
        </w:rPr>
        <w:t> tis. eur.</w:t>
      </w:r>
      <w:r>
        <w:br/>
      </w:r>
      <w:r w:rsidRPr="0085799C">
        <w:rPr>
          <w:b w:val="0"/>
          <w:sz w:val="22"/>
          <w:szCs w:val="22"/>
        </w:rPr>
        <w:t xml:space="preserve">Obce vykázali </w:t>
      </w:r>
      <w:r w:rsidR="00D74928" w:rsidRPr="0085799C">
        <w:rPr>
          <w:b w:val="0"/>
          <w:sz w:val="22"/>
          <w:szCs w:val="22"/>
        </w:rPr>
        <w:t>474 441</w:t>
      </w:r>
      <w:r w:rsidRPr="0085799C">
        <w:rPr>
          <w:b w:val="0"/>
          <w:sz w:val="22"/>
          <w:szCs w:val="22"/>
        </w:rPr>
        <w:t xml:space="preserve"> tis. eur, vyššie územné celky </w:t>
      </w:r>
      <w:r w:rsidR="00D74928" w:rsidRPr="0085799C">
        <w:rPr>
          <w:b w:val="0"/>
          <w:sz w:val="22"/>
          <w:szCs w:val="22"/>
        </w:rPr>
        <w:t>36 205</w:t>
      </w:r>
      <w:r w:rsidRPr="0085799C">
        <w:rPr>
          <w:b w:val="0"/>
          <w:sz w:val="22"/>
          <w:szCs w:val="22"/>
        </w:rPr>
        <w:t xml:space="preserve"> tis. eur a ostatné subjekty verejnej správy vykázali </w:t>
      </w:r>
      <w:r w:rsidR="00D74928" w:rsidRPr="0085799C">
        <w:rPr>
          <w:b w:val="0"/>
          <w:sz w:val="22"/>
          <w:szCs w:val="22"/>
        </w:rPr>
        <w:t>11</w:t>
      </w:r>
      <w:r w:rsidR="00C5315B">
        <w:rPr>
          <w:b w:val="0"/>
          <w:sz w:val="22"/>
          <w:szCs w:val="22"/>
        </w:rPr>
        <w:t>9</w:t>
      </w:r>
      <w:r w:rsidR="00D74928" w:rsidRPr="0085799C">
        <w:rPr>
          <w:b w:val="0"/>
          <w:sz w:val="22"/>
          <w:szCs w:val="22"/>
        </w:rPr>
        <w:t xml:space="preserve"> 991</w:t>
      </w:r>
      <w:r w:rsidRPr="0085799C">
        <w:rPr>
          <w:b w:val="0"/>
          <w:sz w:val="22"/>
          <w:szCs w:val="22"/>
        </w:rPr>
        <w:t> tis. eur. V rámci zostavenia súhrnnej účtovnej závierky došlo k zníženiu transferov ústrednej správy o </w:t>
      </w:r>
      <w:r w:rsidR="007F49BC" w:rsidRPr="0085799C">
        <w:rPr>
          <w:b w:val="0"/>
          <w:sz w:val="22"/>
          <w:szCs w:val="22"/>
        </w:rPr>
        <w:t>392 860</w:t>
      </w:r>
      <w:r w:rsidRPr="0085799C">
        <w:rPr>
          <w:b w:val="0"/>
          <w:sz w:val="22"/>
          <w:szCs w:val="22"/>
        </w:rPr>
        <w:t xml:space="preserve"> tis. eur, ktoré vecne predstavujú nezrealizovaný prevod podielových daní zo štátu do rozpočtu samospráv za mesiac december (hotovostne sa realizuje v januári nasledujúceho roka). Na úrovni súhrnného celku ide teda o výnosy bežného roka.</w:t>
      </w:r>
    </w:p>
    <w:p w14:paraId="7D0DDD4C" w14:textId="77777777" w:rsidR="00CC7A3E" w:rsidRDefault="00CC7A3E" w:rsidP="009E3C89">
      <w:pPr>
        <w:pStyle w:val="Pismenka"/>
        <w:tabs>
          <w:tab w:val="clear" w:pos="426"/>
        </w:tabs>
        <w:spacing w:after="120"/>
        <w:ind w:left="0" w:firstLine="0"/>
        <w:rPr>
          <w:b w:val="0"/>
          <w:bCs w:val="0"/>
          <w:sz w:val="22"/>
          <w:szCs w:val="22"/>
        </w:rPr>
      </w:pPr>
    </w:p>
    <w:p w14:paraId="222E1676" w14:textId="4E9327FF" w:rsidR="005511D5" w:rsidRPr="0085799C" w:rsidRDefault="00142042" w:rsidP="0085799C">
      <w:pPr>
        <w:pStyle w:val="Nadpis4"/>
        <w:numPr>
          <w:ilvl w:val="0"/>
          <w:numId w:val="54"/>
        </w:numPr>
        <w:ind w:left="426" w:hanging="426"/>
        <w:rPr>
          <w:bCs/>
        </w:rPr>
      </w:pPr>
      <w:r w:rsidRPr="00BB21FD">
        <w:t>Bankové úvery</w:t>
      </w:r>
    </w:p>
    <w:p w14:paraId="187D8107" w14:textId="65C0894B" w:rsidR="005511D5" w:rsidRPr="006E4304" w:rsidRDefault="00647542" w:rsidP="009E3C89">
      <w:pPr>
        <w:spacing w:after="120" w:line="240" w:lineRule="auto"/>
        <w:jc w:val="both"/>
        <w:rPr>
          <w:rFonts w:ascii="Times New Roman" w:hAnsi="Times New Roman"/>
          <w:bCs/>
          <w:szCs w:val="22"/>
        </w:rPr>
      </w:pPr>
      <w:r w:rsidRPr="00A7107D">
        <w:rPr>
          <w:rFonts w:ascii="Times New Roman" w:hAnsi="Times New Roman"/>
          <w:szCs w:val="22"/>
        </w:rPr>
        <w:t>Bežné bankové úvery</w:t>
      </w:r>
      <w:r w:rsidRPr="00A7107D">
        <w:rPr>
          <w:rFonts w:ascii="Times New Roman" w:hAnsi="Times New Roman"/>
          <w:i/>
          <w:szCs w:val="22"/>
        </w:rPr>
        <w:t xml:space="preserve"> </w:t>
      </w:r>
      <w:r w:rsidRPr="00A7107D">
        <w:rPr>
          <w:rFonts w:ascii="Times New Roman" w:hAnsi="Times New Roman"/>
          <w:szCs w:val="22"/>
        </w:rPr>
        <w:t>sú vykazované najmä ústrednou správou (</w:t>
      </w:r>
      <w:r w:rsidR="00791328" w:rsidRPr="00A7107D">
        <w:rPr>
          <w:rFonts w:ascii="Times New Roman" w:hAnsi="Times New Roman"/>
          <w:szCs w:val="22"/>
        </w:rPr>
        <w:t>1</w:t>
      </w:r>
      <w:r w:rsidR="00CC7A3E" w:rsidRPr="00A7107D">
        <w:rPr>
          <w:rFonts w:ascii="Times New Roman" w:hAnsi="Times New Roman"/>
          <w:szCs w:val="22"/>
        </w:rPr>
        <w:t> </w:t>
      </w:r>
      <w:r w:rsidR="00D31BD5" w:rsidRPr="00A7107D">
        <w:rPr>
          <w:rFonts w:ascii="Times New Roman" w:hAnsi="Times New Roman"/>
          <w:szCs w:val="22"/>
        </w:rPr>
        <w:t>033</w:t>
      </w:r>
      <w:r w:rsidR="00CC7A3E" w:rsidRPr="00A7107D">
        <w:rPr>
          <w:rFonts w:ascii="Times New Roman" w:hAnsi="Times New Roman"/>
          <w:szCs w:val="22"/>
        </w:rPr>
        <w:t> </w:t>
      </w:r>
      <w:r w:rsidR="00D31BD5" w:rsidRPr="00A7107D">
        <w:rPr>
          <w:rFonts w:ascii="Times New Roman" w:hAnsi="Times New Roman"/>
          <w:szCs w:val="22"/>
        </w:rPr>
        <w:t>472</w:t>
      </w:r>
      <w:r w:rsidRPr="00A7107D">
        <w:rPr>
          <w:rFonts w:ascii="Times New Roman" w:hAnsi="Times New Roman"/>
          <w:szCs w:val="22"/>
        </w:rPr>
        <w:t> tis. eur) a</w:t>
      </w:r>
      <w:r w:rsidR="00CC7A3E" w:rsidRPr="00A7107D">
        <w:rPr>
          <w:rFonts w:ascii="Times New Roman" w:hAnsi="Times New Roman"/>
          <w:szCs w:val="22"/>
        </w:rPr>
        <w:t xml:space="preserve"> </w:t>
      </w:r>
      <w:r w:rsidRPr="00A7107D">
        <w:rPr>
          <w:rFonts w:ascii="Times New Roman" w:hAnsi="Times New Roman"/>
          <w:szCs w:val="22"/>
        </w:rPr>
        <w:t>územnou samosprávou (</w:t>
      </w:r>
      <w:r w:rsidR="00C15112" w:rsidRPr="00A7107D">
        <w:rPr>
          <w:rFonts w:ascii="Times New Roman" w:hAnsi="Times New Roman"/>
          <w:szCs w:val="22"/>
        </w:rPr>
        <w:t>264</w:t>
      </w:r>
      <w:r w:rsidR="00CC7A3E" w:rsidRPr="00A7107D">
        <w:rPr>
          <w:rFonts w:ascii="Times New Roman" w:hAnsi="Times New Roman"/>
          <w:szCs w:val="22"/>
        </w:rPr>
        <w:t> </w:t>
      </w:r>
      <w:r w:rsidR="00C15112" w:rsidRPr="00A7107D">
        <w:rPr>
          <w:rFonts w:ascii="Times New Roman" w:hAnsi="Times New Roman"/>
          <w:szCs w:val="22"/>
        </w:rPr>
        <w:t>330</w:t>
      </w:r>
      <w:r w:rsidRPr="00A7107D">
        <w:rPr>
          <w:rFonts w:ascii="Times New Roman" w:hAnsi="Times New Roman"/>
          <w:szCs w:val="22"/>
        </w:rPr>
        <w:t> tis. eur). V rámci ústrednej štátnej správy</w:t>
      </w:r>
      <w:r w:rsidR="006E4304">
        <w:rPr>
          <w:rFonts w:ascii="Times New Roman" w:hAnsi="Times New Roman"/>
          <w:szCs w:val="22"/>
        </w:rPr>
        <w:t xml:space="preserve"> (</w:t>
      </w:r>
      <w:r w:rsidR="006E4304" w:rsidRPr="009874B6">
        <w:rPr>
          <w:rFonts w:ascii="Times New Roman" w:hAnsi="Times New Roman"/>
          <w:szCs w:val="22"/>
        </w:rPr>
        <w:t>najmä u obchodných spoločností štátu</w:t>
      </w:r>
      <w:r w:rsidR="006E4304">
        <w:rPr>
          <w:rFonts w:ascii="Times New Roman" w:hAnsi="Times New Roman"/>
          <w:szCs w:val="22"/>
        </w:rPr>
        <w:t>)</w:t>
      </w:r>
      <w:r w:rsidRPr="00A7107D">
        <w:rPr>
          <w:rFonts w:ascii="Times New Roman" w:hAnsi="Times New Roman"/>
          <w:szCs w:val="22"/>
        </w:rPr>
        <w:t xml:space="preserve"> predstavujú časť bankových úverov, ktorých splatnosť je do jedného roka, krátkodob</w:t>
      </w:r>
      <w:r w:rsidR="006E4304">
        <w:rPr>
          <w:rFonts w:ascii="Times New Roman" w:hAnsi="Times New Roman"/>
          <w:szCs w:val="22"/>
        </w:rPr>
        <w:t>ú</w:t>
      </w:r>
      <w:r w:rsidRPr="00A7107D">
        <w:rPr>
          <w:rFonts w:ascii="Times New Roman" w:hAnsi="Times New Roman"/>
          <w:szCs w:val="22"/>
        </w:rPr>
        <w:t xml:space="preserve"> čas</w:t>
      </w:r>
      <w:r w:rsidR="006E4304">
        <w:rPr>
          <w:rFonts w:ascii="Times New Roman" w:hAnsi="Times New Roman"/>
          <w:szCs w:val="22"/>
        </w:rPr>
        <w:t>ť</w:t>
      </w:r>
      <w:r w:rsidRPr="00A7107D">
        <w:rPr>
          <w:rFonts w:ascii="Times New Roman" w:hAnsi="Times New Roman"/>
          <w:szCs w:val="22"/>
        </w:rPr>
        <w:t xml:space="preserve"> investičných úverov resp. úverov na financovanie prevádzkových potrieb obchodných spoločností.</w:t>
      </w:r>
      <w:bookmarkStart w:id="51" w:name="_Bankové_úvery_1"/>
      <w:bookmarkEnd w:id="51"/>
    </w:p>
    <w:p w14:paraId="785F91D7" w14:textId="633C86AF" w:rsidR="00647542" w:rsidRPr="009E3C89" w:rsidRDefault="00647542" w:rsidP="009E3C89">
      <w:pPr>
        <w:pStyle w:val="Pismenka"/>
        <w:tabs>
          <w:tab w:val="clear" w:pos="426"/>
        </w:tabs>
        <w:spacing w:after="120"/>
        <w:ind w:left="0" w:firstLine="0"/>
        <w:rPr>
          <w:b w:val="0"/>
          <w:sz w:val="22"/>
          <w:szCs w:val="22"/>
        </w:rPr>
      </w:pPr>
      <w:r w:rsidRPr="009E3C89">
        <w:rPr>
          <w:b w:val="0"/>
          <w:sz w:val="22"/>
          <w:szCs w:val="22"/>
        </w:rPr>
        <w:t xml:space="preserve">Medzi krátkodobými bankovými úvermi vykazuje </w:t>
      </w:r>
      <w:r w:rsidRPr="0085799C">
        <w:rPr>
          <w:b w:val="0"/>
          <w:sz w:val="22"/>
          <w:szCs w:val="22"/>
          <w:u w:val="single"/>
        </w:rPr>
        <w:t>Ministerstvo financií SR</w:t>
      </w:r>
      <w:r w:rsidRPr="009E3C89">
        <w:rPr>
          <w:b w:val="0"/>
          <w:sz w:val="22"/>
          <w:szCs w:val="22"/>
        </w:rPr>
        <w:t xml:space="preserve"> krátkodobú časť </w:t>
      </w:r>
      <w:r w:rsidR="006E4304">
        <w:rPr>
          <w:b w:val="0"/>
          <w:sz w:val="22"/>
          <w:szCs w:val="22"/>
        </w:rPr>
        <w:t xml:space="preserve">dlhodobých </w:t>
      </w:r>
      <w:r w:rsidRPr="009E3C89">
        <w:rPr>
          <w:b w:val="0"/>
          <w:sz w:val="22"/>
          <w:szCs w:val="22"/>
        </w:rPr>
        <w:t xml:space="preserve">úverov prijatých od medzinárodných </w:t>
      </w:r>
      <w:r w:rsidR="006E4304">
        <w:rPr>
          <w:b w:val="0"/>
          <w:sz w:val="22"/>
          <w:szCs w:val="22"/>
        </w:rPr>
        <w:t xml:space="preserve">finančných </w:t>
      </w:r>
      <w:r w:rsidRPr="009E3C89">
        <w:rPr>
          <w:b w:val="0"/>
          <w:sz w:val="22"/>
          <w:szCs w:val="22"/>
        </w:rPr>
        <w:t>inštitúcií na</w:t>
      </w:r>
      <w:r w:rsidR="00CC7A3E">
        <w:rPr>
          <w:b w:val="0"/>
          <w:sz w:val="22"/>
          <w:szCs w:val="22"/>
        </w:rPr>
        <w:t xml:space="preserve"> </w:t>
      </w:r>
      <w:r w:rsidRPr="009E3C89">
        <w:rPr>
          <w:b w:val="0"/>
          <w:sz w:val="22"/>
          <w:szCs w:val="22"/>
        </w:rPr>
        <w:t>podporu infraštruktúry a</w:t>
      </w:r>
      <w:r w:rsidR="00CC7A3E">
        <w:rPr>
          <w:b w:val="0"/>
          <w:sz w:val="22"/>
          <w:szCs w:val="22"/>
        </w:rPr>
        <w:t xml:space="preserve"> </w:t>
      </w:r>
      <w:r w:rsidRPr="009E3C89">
        <w:rPr>
          <w:b w:val="0"/>
          <w:sz w:val="22"/>
          <w:szCs w:val="22"/>
        </w:rPr>
        <w:t>na podporu významných rozvojových projektov v</w:t>
      </w:r>
      <w:r w:rsidR="00CC7A3E">
        <w:rPr>
          <w:b w:val="0"/>
          <w:sz w:val="22"/>
          <w:szCs w:val="22"/>
        </w:rPr>
        <w:t xml:space="preserve"> </w:t>
      </w:r>
      <w:r w:rsidRPr="009E3C89">
        <w:rPr>
          <w:b w:val="0"/>
          <w:sz w:val="22"/>
          <w:szCs w:val="22"/>
        </w:rPr>
        <w:t xml:space="preserve">oblasti dopravy, životného prostredia, informatizácie spoločnosti v celkovej hodnote </w:t>
      </w:r>
      <w:r w:rsidR="002A1C80" w:rsidRPr="009E3C89">
        <w:rPr>
          <w:b w:val="0"/>
          <w:sz w:val="22"/>
          <w:szCs w:val="22"/>
        </w:rPr>
        <w:t>588</w:t>
      </w:r>
      <w:r w:rsidR="00CC7A3E">
        <w:rPr>
          <w:b w:val="0"/>
          <w:sz w:val="22"/>
          <w:szCs w:val="22"/>
        </w:rPr>
        <w:t> </w:t>
      </w:r>
      <w:r w:rsidR="002A1C80" w:rsidRPr="00BB21FD">
        <w:rPr>
          <w:b w:val="0"/>
          <w:sz w:val="22"/>
          <w:szCs w:val="22"/>
        </w:rPr>
        <w:t>141</w:t>
      </w:r>
      <w:r w:rsidRPr="009E3C89">
        <w:rPr>
          <w:b w:val="0"/>
          <w:sz w:val="22"/>
          <w:szCs w:val="22"/>
        </w:rPr>
        <w:t> tis. eur.</w:t>
      </w:r>
      <w:r w:rsidR="005C4D31">
        <w:rPr>
          <w:b w:val="0"/>
          <w:sz w:val="22"/>
          <w:szCs w:val="22"/>
        </w:rPr>
        <w:t xml:space="preserve"> Z dôvodu očakávanej splatnosti časti úverov SR došlo k významnej medziročnej zmene – presunu medzi krátkodobými a dlhodobými úvermi. </w:t>
      </w:r>
      <w:r w:rsidRPr="009E3C89">
        <w:rPr>
          <w:b w:val="0"/>
          <w:sz w:val="22"/>
          <w:szCs w:val="22"/>
        </w:rPr>
        <w:t xml:space="preserve"> </w:t>
      </w:r>
    </w:p>
    <w:p w14:paraId="056AD427" w14:textId="4906B36E" w:rsidR="00647542" w:rsidRPr="00907622" w:rsidRDefault="00647542" w:rsidP="00647542">
      <w:pPr>
        <w:pStyle w:val="Popis"/>
        <w:keepNext/>
      </w:pPr>
      <w:r w:rsidRPr="00907622">
        <w:t xml:space="preserve">Tabuľka </w:t>
      </w:r>
      <w:r w:rsidRPr="00907622">
        <w:fldChar w:fldCharType="begin"/>
      </w:r>
      <w:r w:rsidRPr="00907622">
        <w:instrText xml:space="preserve"> SEQ Tabuľka \* ARABIC </w:instrText>
      </w:r>
      <w:r w:rsidRPr="00907622">
        <w:fldChar w:fldCharType="separate"/>
      </w:r>
      <w:r w:rsidRPr="00907622">
        <w:rPr>
          <w:noProof/>
        </w:rPr>
        <w:t>17</w:t>
      </w:r>
      <w:r w:rsidRPr="00907622">
        <w:rPr>
          <w:noProof/>
        </w:rPr>
        <w:fldChar w:fldCharType="end"/>
      </w:r>
    </w:p>
    <w:tbl>
      <w:tblPr>
        <w:tblW w:w="5000" w:type="pct"/>
        <w:jc w:val="center"/>
        <w:tblCellMar>
          <w:left w:w="70" w:type="dxa"/>
          <w:right w:w="70" w:type="dxa"/>
        </w:tblCellMar>
        <w:tblLook w:val="04A0" w:firstRow="1" w:lastRow="0" w:firstColumn="1" w:lastColumn="0" w:noHBand="0" w:noVBand="1"/>
      </w:tblPr>
      <w:tblGrid>
        <w:gridCol w:w="5025"/>
        <w:gridCol w:w="1348"/>
        <w:gridCol w:w="1348"/>
        <w:gridCol w:w="1350"/>
      </w:tblGrid>
      <w:tr w:rsidR="003026B2" w:rsidRPr="003026B2" w14:paraId="7AF58394" w14:textId="77777777" w:rsidTr="0085799C">
        <w:trPr>
          <w:trHeight w:val="227"/>
          <w:jc w:val="center"/>
        </w:trPr>
        <w:tc>
          <w:tcPr>
            <w:tcW w:w="2770" w:type="pct"/>
            <w:tcBorders>
              <w:top w:val="single" w:sz="8" w:space="0" w:color="auto"/>
              <w:left w:val="nil"/>
              <w:bottom w:val="single" w:sz="8" w:space="0" w:color="auto"/>
              <w:right w:val="nil"/>
            </w:tcBorders>
            <w:shd w:val="clear" w:color="000000" w:fill="F4B084"/>
            <w:vAlign w:val="center"/>
            <w:hideMark/>
          </w:tcPr>
          <w:p w14:paraId="6DE9C2B4" w14:textId="77777777" w:rsidR="003026B2" w:rsidRPr="003026B2" w:rsidRDefault="003026B2" w:rsidP="003026B2">
            <w:pPr>
              <w:spacing w:after="0" w:line="240" w:lineRule="auto"/>
              <w:rPr>
                <w:rFonts w:ascii="Times New Roman" w:hAnsi="Times New Roman"/>
                <w:b/>
                <w:bCs/>
                <w:color w:val="000000"/>
                <w:sz w:val="18"/>
                <w:szCs w:val="18"/>
                <w:lang w:eastAsia="sk-SK"/>
              </w:rPr>
            </w:pPr>
            <w:r w:rsidRPr="003026B2">
              <w:rPr>
                <w:rFonts w:ascii="Times New Roman" w:hAnsi="Times New Roman"/>
                <w:b/>
                <w:bCs/>
                <w:color w:val="000000"/>
                <w:sz w:val="18"/>
                <w:szCs w:val="18"/>
                <w:lang w:eastAsia="sk-SK"/>
              </w:rPr>
              <w:t>Krátkodobé úvery SR voči zahraničným inštitúciám v správe Ministerstva financií SR</w:t>
            </w:r>
          </w:p>
        </w:tc>
        <w:tc>
          <w:tcPr>
            <w:tcW w:w="743" w:type="pct"/>
            <w:tcBorders>
              <w:top w:val="single" w:sz="8" w:space="0" w:color="auto"/>
              <w:left w:val="nil"/>
              <w:bottom w:val="single" w:sz="8" w:space="0" w:color="auto"/>
              <w:right w:val="nil"/>
            </w:tcBorders>
            <w:shd w:val="clear" w:color="000000" w:fill="F4B084"/>
            <w:vAlign w:val="center"/>
            <w:hideMark/>
          </w:tcPr>
          <w:p w14:paraId="3BDF746B" w14:textId="77777777" w:rsidR="003026B2" w:rsidRPr="003026B2" w:rsidRDefault="003026B2" w:rsidP="003026B2">
            <w:pPr>
              <w:spacing w:after="0" w:line="240" w:lineRule="auto"/>
              <w:jc w:val="center"/>
              <w:rPr>
                <w:rFonts w:ascii="Times New Roman" w:hAnsi="Times New Roman"/>
                <w:b/>
                <w:bCs/>
                <w:color w:val="000000"/>
                <w:sz w:val="18"/>
                <w:szCs w:val="18"/>
                <w:lang w:eastAsia="sk-SK"/>
              </w:rPr>
            </w:pPr>
            <w:r w:rsidRPr="003026B2">
              <w:rPr>
                <w:rFonts w:ascii="Times New Roman" w:hAnsi="Times New Roman"/>
                <w:b/>
                <w:bCs/>
                <w:color w:val="000000"/>
                <w:sz w:val="18"/>
                <w:szCs w:val="18"/>
                <w:lang w:eastAsia="sk-SK"/>
              </w:rPr>
              <w:t> </w:t>
            </w:r>
          </w:p>
        </w:tc>
        <w:tc>
          <w:tcPr>
            <w:tcW w:w="743" w:type="pct"/>
            <w:tcBorders>
              <w:top w:val="single" w:sz="8" w:space="0" w:color="auto"/>
              <w:left w:val="nil"/>
              <w:bottom w:val="single" w:sz="8" w:space="0" w:color="auto"/>
              <w:right w:val="nil"/>
            </w:tcBorders>
            <w:shd w:val="clear" w:color="000000" w:fill="F4B084"/>
            <w:vAlign w:val="center"/>
            <w:hideMark/>
          </w:tcPr>
          <w:p w14:paraId="0681FE9F" w14:textId="77777777" w:rsidR="003026B2" w:rsidRPr="003026B2" w:rsidRDefault="003026B2" w:rsidP="003026B2">
            <w:pPr>
              <w:spacing w:after="0" w:line="240" w:lineRule="auto"/>
              <w:jc w:val="center"/>
              <w:rPr>
                <w:rFonts w:ascii="Times New Roman" w:hAnsi="Times New Roman"/>
                <w:b/>
                <w:bCs/>
                <w:color w:val="000000"/>
                <w:sz w:val="18"/>
                <w:szCs w:val="18"/>
                <w:lang w:eastAsia="sk-SK"/>
              </w:rPr>
            </w:pPr>
            <w:r w:rsidRPr="003026B2">
              <w:rPr>
                <w:rFonts w:ascii="Times New Roman" w:hAnsi="Times New Roman"/>
                <w:b/>
                <w:bCs/>
                <w:color w:val="000000"/>
                <w:sz w:val="18"/>
                <w:szCs w:val="18"/>
                <w:lang w:eastAsia="sk-SK"/>
              </w:rPr>
              <w:t>(v tis. eur)</w:t>
            </w:r>
          </w:p>
        </w:tc>
        <w:tc>
          <w:tcPr>
            <w:tcW w:w="743" w:type="pct"/>
            <w:tcBorders>
              <w:top w:val="single" w:sz="8" w:space="0" w:color="auto"/>
              <w:left w:val="nil"/>
              <w:bottom w:val="single" w:sz="8" w:space="0" w:color="auto"/>
              <w:right w:val="nil"/>
            </w:tcBorders>
            <w:shd w:val="clear" w:color="000000" w:fill="F4B084"/>
            <w:vAlign w:val="center"/>
            <w:hideMark/>
          </w:tcPr>
          <w:p w14:paraId="4411D3C2" w14:textId="77777777" w:rsidR="003026B2" w:rsidRPr="003026B2" w:rsidRDefault="003026B2" w:rsidP="003026B2">
            <w:pPr>
              <w:spacing w:after="0" w:line="240" w:lineRule="auto"/>
              <w:jc w:val="center"/>
              <w:rPr>
                <w:rFonts w:ascii="Times New Roman" w:hAnsi="Times New Roman"/>
                <w:b/>
                <w:bCs/>
                <w:color w:val="000000"/>
                <w:sz w:val="18"/>
                <w:szCs w:val="18"/>
                <w:lang w:eastAsia="sk-SK"/>
              </w:rPr>
            </w:pPr>
            <w:r w:rsidRPr="003026B2">
              <w:rPr>
                <w:rFonts w:ascii="Times New Roman" w:hAnsi="Times New Roman"/>
                <w:b/>
                <w:bCs/>
                <w:color w:val="000000"/>
                <w:sz w:val="18"/>
                <w:szCs w:val="18"/>
                <w:lang w:eastAsia="sk-SK"/>
              </w:rPr>
              <w:t> </w:t>
            </w:r>
          </w:p>
        </w:tc>
      </w:tr>
      <w:tr w:rsidR="003026B2" w:rsidRPr="003026B2" w14:paraId="590FF0A4" w14:textId="77777777" w:rsidTr="0085799C">
        <w:trPr>
          <w:trHeight w:val="227"/>
          <w:jc w:val="center"/>
        </w:trPr>
        <w:tc>
          <w:tcPr>
            <w:tcW w:w="2770" w:type="pct"/>
            <w:tcBorders>
              <w:top w:val="nil"/>
              <w:left w:val="nil"/>
              <w:bottom w:val="single" w:sz="8" w:space="0" w:color="auto"/>
              <w:right w:val="nil"/>
            </w:tcBorders>
            <w:shd w:val="clear" w:color="000000" w:fill="BDD7EE"/>
            <w:noWrap/>
            <w:vAlign w:val="center"/>
            <w:hideMark/>
          </w:tcPr>
          <w:p w14:paraId="37C5B742" w14:textId="77777777" w:rsidR="003026B2" w:rsidRPr="003026B2" w:rsidRDefault="003026B2" w:rsidP="003026B2">
            <w:pPr>
              <w:spacing w:after="0" w:line="240" w:lineRule="auto"/>
              <w:rPr>
                <w:rFonts w:ascii="Times New Roman" w:hAnsi="Times New Roman"/>
                <w:b/>
                <w:bCs/>
                <w:color w:val="000000"/>
                <w:sz w:val="18"/>
                <w:szCs w:val="18"/>
                <w:lang w:eastAsia="sk-SK"/>
              </w:rPr>
            </w:pPr>
            <w:r w:rsidRPr="003026B2">
              <w:rPr>
                <w:rFonts w:ascii="Times New Roman" w:hAnsi="Times New Roman"/>
                <w:b/>
                <w:bCs/>
                <w:color w:val="000000"/>
                <w:sz w:val="18"/>
                <w:szCs w:val="18"/>
                <w:lang w:eastAsia="sk-SK"/>
              </w:rPr>
              <w:t>Finančná inštitúcia</w:t>
            </w:r>
          </w:p>
        </w:tc>
        <w:tc>
          <w:tcPr>
            <w:tcW w:w="743" w:type="pct"/>
            <w:tcBorders>
              <w:top w:val="nil"/>
              <w:left w:val="nil"/>
              <w:bottom w:val="single" w:sz="8" w:space="0" w:color="auto"/>
              <w:right w:val="nil"/>
            </w:tcBorders>
            <w:shd w:val="clear" w:color="000000" w:fill="BDD7EE"/>
            <w:noWrap/>
            <w:vAlign w:val="center"/>
            <w:hideMark/>
          </w:tcPr>
          <w:p w14:paraId="3714276F" w14:textId="77777777" w:rsidR="003026B2" w:rsidRPr="003026B2" w:rsidRDefault="003026B2" w:rsidP="003026B2">
            <w:pPr>
              <w:spacing w:after="0" w:line="240" w:lineRule="auto"/>
              <w:jc w:val="center"/>
              <w:rPr>
                <w:rFonts w:ascii="Times New Roman" w:hAnsi="Times New Roman"/>
                <w:b/>
                <w:bCs/>
                <w:color w:val="000000"/>
                <w:sz w:val="18"/>
                <w:szCs w:val="18"/>
                <w:lang w:eastAsia="sk-SK"/>
              </w:rPr>
            </w:pPr>
            <w:r w:rsidRPr="003026B2">
              <w:rPr>
                <w:rFonts w:ascii="Times New Roman" w:hAnsi="Times New Roman"/>
                <w:b/>
                <w:bCs/>
                <w:color w:val="000000"/>
                <w:sz w:val="18"/>
                <w:szCs w:val="18"/>
                <w:lang w:eastAsia="sk-SK"/>
              </w:rPr>
              <w:t>2024</w:t>
            </w:r>
          </w:p>
        </w:tc>
        <w:tc>
          <w:tcPr>
            <w:tcW w:w="743" w:type="pct"/>
            <w:tcBorders>
              <w:top w:val="nil"/>
              <w:left w:val="nil"/>
              <w:bottom w:val="single" w:sz="8" w:space="0" w:color="auto"/>
              <w:right w:val="nil"/>
            </w:tcBorders>
            <w:shd w:val="clear" w:color="000000" w:fill="BDD7EE"/>
            <w:noWrap/>
            <w:vAlign w:val="center"/>
            <w:hideMark/>
          </w:tcPr>
          <w:p w14:paraId="1B39999B" w14:textId="77777777" w:rsidR="003026B2" w:rsidRPr="003026B2" w:rsidRDefault="003026B2" w:rsidP="003026B2">
            <w:pPr>
              <w:spacing w:after="0" w:line="240" w:lineRule="auto"/>
              <w:jc w:val="center"/>
              <w:rPr>
                <w:rFonts w:ascii="Times New Roman" w:hAnsi="Times New Roman"/>
                <w:b/>
                <w:bCs/>
                <w:color w:val="000000"/>
                <w:sz w:val="18"/>
                <w:szCs w:val="18"/>
                <w:lang w:eastAsia="sk-SK"/>
              </w:rPr>
            </w:pPr>
            <w:r w:rsidRPr="003026B2">
              <w:rPr>
                <w:rFonts w:ascii="Times New Roman" w:hAnsi="Times New Roman"/>
                <w:b/>
                <w:bCs/>
                <w:color w:val="000000"/>
                <w:sz w:val="18"/>
                <w:szCs w:val="18"/>
                <w:lang w:eastAsia="sk-SK"/>
              </w:rPr>
              <w:t>2023</w:t>
            </w:r>
          </w:p>
        </w:tc>
        <w:tc>
          <w:tcPr>
            <w:tcW w:w="743" w:type="pct"/>
            <w:tcBorders>
              <w:top w:val="nil"/>
              <w:left w:val="nil"/>
              <w:bottom w:val="single" w:sz="8" w:space="0" w:color="auto"/>
              <w:right w:val="nil"/>
            </w:tcBorders>
            <w:shd w:val="clear" w:color="000000" w:fill="BDD7EE"/>
            <w:noWrap/>
            <w:vAlign w:val="center"/>
            <w:hideMark/>
          </w:tcPr>
          <w:p w14:paraId="0BC67F57" w14:textId="77777777" w:rsidR="003026B2" w:rsidRPr="003026B2" w:rsidRDefault="003026B2" w:rsidP="003026B2">
            <w:pPr>
              <w:spacing w:after="0" w:line="240" w:lineRule="auto"/>
              <w:jc w:val="center"/>
              <w:rPr>
                <w:rFonts w:ascii="Times New Roman" w:hAnsi="Times New Roman"/>
                <w:b/>
                <w:bCs/>
                <w:color w:val="000000"/>
                <w:sz w:val="18"/>
                <w:szCs w:val="18"/>
                <w:lang w:eastAsia="sk-SK"/>
              </w:rPr>
            </w:pPr>
            <w:r w:rsidRPr="003026B2">
              <w:rPr>
                <w:rFonts w:ascii="Times New Roman" w:hAnsi="Times New Roman"/>
                <w:b/>
                <w:bCs/>
                <w:color w:val="000000"/>
                <w:sz w:val="18"/>
                <w:szCs w:val="18"/>
                <w:lang w:eastAsia="sk-SK"/>
              </w:rPr>
              <w:t>Δ 2024-2023</w:t>
            </w:r>
          </w:p>
        </w:tc>
      </w:tr>
      <w:tr w:rsidR="003026B2" w:rsidRPr="003026B2" w14:paraId="1D2B96C6" w14:textId="77777777" w:rsidTr="0085799C">
        <w:trPr>
          <w:trHeight w:val="227"/>
          <w:jc w:val="center"/>
        </w:trPr>
        <w:tc>
          <w:tcPr>
            <w:tcW w:w="2770" w:type="pct"/>
            <w:tcBorders>
              <w:top w:val="nil"/>
              <w:left w:val="nil"/>
              <w:bottom w:val="nil"/>
              <w:right w:val="nil"/>
            </w:tcBorders>
            <w:noWrap/>
            <w:vAlign w:val="center"/>
            <w:hideMark/>
          </w:tcPr>
          <w:p w14:paraId="538F9AB8" w14:textId="77777777" w:rsidR="003026B2" w:rsidRPr="003026B2" w:rsidRDefault="003026B2" w:rsidP="003026B2">
            <w:pPr>
              <w:spacing w:after="0" w:line="240" w:lineRule="auto"/>
              <w:rPr>
                <w:rFonts w:ascii="Times New Roman" w:hAnsi="Times New Roman"/>
                <w:color w:val="000000"/>
                <w:sz w:val="18"/>
                <w:szCs w:val="18"/>
                <w:lang w:eastAsia="sk-SK"/>
              </w:rPr>
            </w:pPr>
            <w:r w:rsidRPr="003026B2">
              <w:rPr>
                <w:rFonts w:ascii="Times New Roman" w:hAnsi="Times New Roman"/>
                <w:color w:val="000000"/>
                <w:sz w:val="18"/>
                <w:szCs w:val="18"/>
                <w:lang w:eastAsia="sk-SK"/>
              </w:rPr>
              <w:t>Rozvojová banka Rady Európy (CEB)</w:t>
            </w:r>
          </w:p>
        </w:tc>
        <w:tc>
          <w:tcPr>
            <w:tcW w:w="743" w:type="pct"/>
            <w:tcBorders>
              <w:top w:val="nil"/>
              <w:left w:val="nil"/>
              <w:bottom w:val="nil"/>
              <w:right w:val="nil"/>
            </w:tcBorders>
            <w:noWrap/>
            <w:vAlign w:val="center"/>
            <w:hideMark/>
          </w:tcPr>
          <w:p w14:paraId="472F6833" w14:textId="77777777" w:rsidR="003026B2" w:rsidRPr="003026B2" w:rsidRDefault="003026B2" w:rsidP="003026B2">
            <w:pPr>
              <w:spacing w:after="0" w:line="240" w:lineRule="auto"/>
              <w:jc w:val="right"/>
              <w:rPr>
                <w:rFonts w:ascii="Times New Roman" w:hAnsi="Times New Roman"/>
                <w:color w:val="000000"/>
                <w:sz w:val="18"/>
                <w:szCs w:val="18"/>
                <w:lang w:eastAsia="sk-SK"/>
              </w:rPr>
            </w:pPr>
            <w:r w:rsidRPr="003026B2">
              <w:rPr>
                <w:rFonts w:ascii="Times New Roman" w:hAnsi="Times New Roman"/>
                <w:color w:val="000000"/>
                <w:sz w:val="18"/>
                <w:szCs w:val="18"/>
                <w:lang w:eastAsia="sk-SK"/>
              </w:rPr>
              <w:t>357 930</w:t>
            </w:r>
          </w:p>
        </w:tc>
        <w:tc>
          <w:tcPr>
            <w:tcW w:w="743" w:type="pct"/>
            <w:tcBorders>
              <w:top w:val="nil"/>
              <w:left w:val="nil"/>
              <w:bottom w:val="nil"/>
              <w:right w:val="nil"/>
            </w:tcBorders>
            <w:noWrap/>
            <w:vAlign w:val="center"/>
            <w:hideMark/>
          </w:tcPr>
          <w:p w14:paraId="00BD40D3" w14:textId="77777777" w:rsidR="003026B2" w:rsidRPr="003026B2" w:rsidRDefault="003026B2" w:rsidP="003026B2">
            <w:pPr>
              <w:spacing w:after="0" w:line="240" w:lineRule="auto"/>
              <w:jc w:val="right"/>
              <w:rPr>
                <w:rFonts w:ascii="Times New Roman" w:hAnsi="Times New Roman"/>
                <w:color w:val="000000"/>
                <w:sz w:val="18"/>
                <w:szCs w:val="18"/>
                <w:lang w:eastAsia="sk-SK"/>
              </w:rPr>
            </w:pPr>
            <w:r w:rsidRPr="003026B2">
              <w:rPr>
                <w:rFonts w:ascii="Times New Roman" w:hAnsi="Times New Roman"/>
                <w:color w:val="000000"/>
                <w:sz w:val="18"/>
                <w:szCs w:val="18"/>
                <w:lang w:eastAsia="sk-SK"/>
              </w:rPr>
              <w:t>2 930</w:t>
            </w:r>
          </w:p>
        </w:tc>
        <w:tc>
          <w:tcPr>
            <w:tcW w:w="743" w:type="pct"/>
            <w:tcBorders>
              <w:top w:val="nil"/>
              <w:left w:val="nil"/>
              <w:bottom w:val="nil"/>
              <w:right w:val="nil"/>
            </w:tcBorders>
            <w:noWrap/>
            <w:vAlign w:val="center"/>
            <w:hideMark/>
          </w:tcPr>
          <w:p w14:paraId="776C9F63" w14:textId="77777777" w:rsidR="003026B2" w:rsidRPr="003026B2" w:rsidRDefault="003026B2" w:rsidP="003026B2">
            <w:pPr>
              <w:spacing w:after="0" w:line="240" w:lineRule="auto"/>
              <w:jc w:val="right"/>
              <w:rPr>
                <w:rFonts w:ascii="Times New Roman" w:hAnsi="Times New Roman"/>
                <w:color w:val="000000"/>
                <w:sz w:val="18"/>
                <w:szCs w:val="18"/>
                <w:lang w:eastAsia="sk-SK"/>
              </w:rPr>
            </w:pPr>
            <w:r w:rsidRPr="003026B2">
              <w:rPr>
                <w:rFonts w:ascii="Times New Roman" w:hAnsi="Times New Roman"/>
                <w:color w:val="000000"/>
                <w:sz w:val="18"/>
                <w:szCs w:val="18"/>
                <w:lang w:eastAsia="sk-SK"/>
              </w:rPr>
              <w:t>355 000</w:t>
            </w:r>
          </w:p>
        </w:tc>
      </w:tr>
      <w:tr w:rsidR="003026B2" w:rsidRPr="003026B2" w14:paraId="60085F00" w14:textId="77777777" w:rsidTr="0085799C">
        <w:trPr>
          <w:trHeight w:val="227"/>
          <w:jc w:val="center"/>
        </w:trPr>
        <w:tc>
          <w:tcPr>
            <w:tcW w:w="2770" w:type="pct"/>
            <w:tcBorders>
              <w:top w:val="nil"/>
              <w:left w:val="nil"/>
              <w:bottom w:val="nil"/>
              <w:right w:val="nil"/>
            </w:tcBorders>
            <w:noWrap/>
            <w:vAlign w:val="center"/>
            <w:hideMark/>
          </w:tcPr>
          <w:p w14:paraId="2C43E80C" w14:textId="77777777" w:rsidR="003026B2" w:rsidRPr="003026B2" w:rsidRDefault="003026B2" w:rsidP="003026B2">
            <w:pPr>
              <w:spacing w:after="0" w:line="240" w:lineRule="auto"/>
              <w:rPr>
                <w:rFonts w:ascii="Times New Roman" w:hAnsi="Times New Roman"/>
                <w:color w:val="000000"/>
                <w:sz w:val="18"/>
                <w:szCs w:val="18"/>
                <w:lang w:eastAsia="sk-SK"/>
              </w:rPr>
            </w:pPr>
            <w:r w:rsidRPr="003026B2">
              <w:rPr>
                <w:rFonts w:ascii="Times New Roman" w:hAnsi="Times New Roman"/>
                <w:color w:val="000000"/>
                <w:sz w:val="18"/>
                <w:szCs w:val="18"/>
                <w:lang w:eastAsia="sk-SK"/>
              </w:rPr>
              <w:t>Európska investičná banka (EIB)</w:t>
            </w:r>
          </w:p>
        </w:tc>
        <w:tc>
          <w:tcPr>
            <w:tcW w:w="743" w:type="pct"/>
            <w:tcBorders>
              <w:top w:val="nil"/>
              <w:left w:val="nil"/>
              <w:bottom w:val="nil"/>
              <w:right w:val="nil"/>
            </w:tcBorders>
            <w:noWrap/>
            <w:vAlign w:val="center"/>
            <w:hideMark/>
          </w:tcPr>
          <w:p w14:paraId="4429DE17" w14:textId="77777777" w:rsidR="003026B2" w:rsidRPr="003026B2" w:rsidRDefault="003026B2" w:rsidP="003026B2">
            <w:pPr>
              <w:spacing w:after="0" w:line="240" w:lineRule="auto"/>
              <w:jc w:val="right"/>
              <w:rPr>
                <w:rFonts w:ascii="Times New Roman" w:hAnsi="Times New Roman"/>
                <w:color w:val="000000"/>
                <w:sz w:val="18"/>
                <w:szCs w:val="18"/>
                <w:lang w:eastAsia="sk-SK"/>
              </w:rPr>
            </w:pPr>
            <w:r w:rsidRPr="003026B2">
              <w:rPr>
                <w:rFonts w:ascii="Times New Roman" w:hAnsi="Times New Roman"/>
                <w:color w:val="000000"/>
                <w:sz w:val="18"/>
                <w:szCs w:val="18"/>
                <w:lang w:eastAsia="sk-SK"/>
              </w:rPr>
              <w:t>229 757</w:t>
            </w:r>
          </w:p>
        </w:tc>
        <w:tc>
          <w:tcPr>
            <w:tcW w:w="743" w:type="pct"/>
            <w:tcBorders>
              <w:top w:val="nil"/>
              <w:left w:val="nil"/>
              <w:bottom w:val="nil"/>
              <w:right w:val="nil"/>
            </w:tcBorders>
            <w:noWrap/>
            <w:vAlign w:val="center"/>
            <w:hideMark/>
          </w:tcPr>
          <w:p w14:paraId="1539E802" w14:textId="77777777" w:rsidR="003026B2" w:rsidRPr="003026B2" w:rsidRDefault="003026B2" w:rsidP="003026B2">
            <w:pPr>
              <w:spacing w:after="0" w:line="240" w:lineRule="auto"/>
              <w:jc w:val="right"/>
              <w:rPr>
                <w:rFonts w:ascii="Times New Roman" w:hAnsi="Times New Roman"/>
                <w:color w:val="000000"/>
                <w:sz w:val="18"/>
                <w:szCs w:val="18"/>
                <w:lang w:eastAsia="sk-SK"/>
              </w:rPr>
            </w:pPr>
            <w:r w:rsidRPr="003026B2">
              <w:rPr>
                <w:rFonts w:ascii="Times New Roman" w:hAnsi="Times New Roman"/>
                <w:color w:val="000000"/>
                <w:sz w:val="18"/>
                <w:szCs w:val="18"/>
                <w:lang w:eastAsia="sk-SK"/>
              </w:rPr>
              <w:t>33 027</w:t>
            </w:r>
          </w:p>
        </w:tc>
        <w:tc>
          <w:tcPr>
            <w:tcW w:w="743" w:type="pct"/>
            <w:tcBorders>
              <w:top w:val="nil"/>
              <w:left w:val="nil"/>
              <w:bottom w:val="nil"/>
              <w:right w:val="nil"/>
            </w:tcBorders>
            <w:noWrap/>
            <w:vAlign w:val="center"/>
            <w:hideMark/>
          </w:tcPr>
          <w:p w14:paraId="69864B6C" w14:textId="77777777" w:rsidR="003026B2" w:rsidRPr="003026B2" w:rsidRDefault="003026B2" w:rsidP="003026B2">
            <w:pPr>
              <w:spacing w:after="0" w:line="240" w:lineRule="auto"/>
              <w:jc w:val="right"/>
              <w:rPr>
                <w:rFonts w:ascii="Times New Roman" w:hAnsi="Times New Roman"/>
                <w:color w:val="000000"/>
                <w:sz w:val="18"/>
                <w:szCs w:val="18"/>
                <w:lang w:eastAsia="sk-SK"/>
              </w:rPr>
            </w:pPr>
            <w:r w:rsidRPr="003026B2">
              <w:rPr>
                <w:rFonts w:ascii="Times New Roman" w:hAnsi="Times New Roman"/>
                <w:color w:val="000000"/>
                <w:sz w:val="18"/>
                <w:szCs w:val="18"/>
                <w:lang w:eastAsia="sk-SK"/>
              </w:rPr>
              <w:t>196 730</w:t>
            </w:r>
          </w:p>
        </w:tc>
      </w:tr>
      <w:tr w:rsidR="003026B2" w:rsidRPr="003026B2" w14:paraId="341A9C0B" w14:textId="77777777" w:rsidTr="0085799C">
        <w:trPr>
          <w:trHeight w:val="227"/>
          <w:jc w:val="center"/>
        </w:trPr>
        <w:tc>
          <w:tcPr>
            <w:tcW w:w="2770" w:type="pct"/>
            <w:tcBorders>
              <w:top w:val="nil"/>
              <w:left w:val="nil"/>
              <w:bottom w:val="nil"/>
              <w:right w:val="nil"/>
            </w:tcBorders>
            <w:noWrap/>
            <w:vAlign w:val="center"/>
            <w:hideMark/>
          </w:tcPr>
          <w:p w14:paraId="3C316B00" w14:textId="77777777" w:rsidR="003026B2" w:rsidRPr="003026B2" w:rsidRDefault="003026B2" w:rsidP="003026B2">
            <w:pPr>
              <w:spacing w:after="0" w:line="240" w:lineRule="auto"/>
              <w:rPr>
                <w:rFonts w:ascii="Times New Roman" w:hAnsi="Times New Roman"/>
                <w:color w:val="000000"/>
                <w:sz w:val="18"/>
                <w:szCs w:val="18"/>
                <w:lang w:eastAsia="sk-SK"/>
              </w:rPr>
            </w:pPr>
            <w:r w:rsidRPr="003026B2">
              <w:rPr>
                <w:rFonts w:ascii="Times New Roman" w:hAnsi="Times New Roman"/>
                <w:color w:val="000000"/>
                <w:sz w:val="18"/>
                <w:szCs w:val="18"/>
                <w:lang w:eastAsia="sk-SK"/>
              </w:rPr>
              <w:t>Európska únia</w:t>
            </w:r>
          </w:p>
        </w:tc>
        <w:tc>
          <w:tcPr>
            <w:tcW w:w="743" w:type="pct"/>
            <w:tcBorders>
              <w:top w:val="nil"/>
              <w:left w:val="nil"/>
              <w:bottom w:val="nil"/>
              <w:right w:val="nil"/>
            </w:tcBorders>
            <w:noWrap/>
            <w:vAlign w:val="center"/>
            <w:hideMark/>
          </w:tcPr>
          <w:p w14:paraId="4EE2BD56" w14:textId="77777777" w:rsidR="003026B2" w:rsidRPr="003026B2" w:rsidRDefault="003026B2" w:rsidP="003026B2">
            <w:pPr>
              <w:spacing w:after="0" w:line="240" w:lineRule="auto"/>
              <w:jc w:val="right"/>
              <w:rPr>
                <w:rFonts w:ascii="Times New Roman" w:hAnsi="Times New Roman"/>
                <w:color w:val="000000"/>
                <w:sz w:val="18"/>
                <w:szCs w:val="18"/>
                <w:lang w:eastAsia="sk-SK"/>
              </w:rPr>
            </w:pPr>
            <w:r w:rsidRPr="003026B2">
              <w:rPr>
                <w:rFonts w:ascii="Times New Roman" w:hAnsi="Times New Roman"/>
                <w:color w:val="000000"/>
                <w:sz w:val="18"/>
                <w:szCs w:val="18"/>
                <w:lang w:eastAsia="sk-SK"/>
              </w:rPr>
              <w:t>382</w:t>
            </w:r>
          </w:p>
        </w:tc>
        <w:tc>
          <w:tcPr>
            <w:tcW w:w="743" w:type="pct"/>
            <w:tcBorders>
              <w:top w:val="nil"/>
              <w:left w:val="nil"/>
              <w:bottom w:val="nil"/>
              <w:right w:val="nil"/>
            </w:tcBorders>
            <w:noWrap/>
            <w:vAlign w:val="center"/>
            <w:hideMark/>
          </w:tcPr>
          <w:p w14:paraId="6B865A04" w14:textId="77777777" w:rsidR="003026B2" w:rsidRPr="003026B2" w:rsidRDefault="003026B2" w:rsidP="003026B2">
            <w:pPr>
              <w:spacing w:after="0" w:line="240" w:lineRule="auto"/>
              <w:jc w:val="right"/>
              <w:rPr>
                <w:rFonts w:ascii="Times New Roman" w:hAnsi="Times New Roman"/>
                <w:color w:val="000000"/>
                <w:sz w:val="18"/>
                <w:szCs w:val="18"/>
                <w:lang w:eastAsia="sk-SK"/>
              </w:rPr>
            </w:pPr>
            <w:r w:rsidRPr="003026B2">
              <w:rPr>
                <w:rFonts w:ascii="Times New Roman" w:hAnsi="Times New Roman"/>
                <w:color w:val="000000"/>
                <w:sz w:val="18"/>
                <w:szCs w:val="18"/>
                <w:lang w:eastAsia="sk-SK"/>
              </w:rPr>
              <w:t>380</w:t>
            </w:r>
          </w:p>
        </w:tc>
        <w:tc>
          <w:tcPr>
            <w:tcW w:w="743" w:type="pct"/>
            <w:tcBorders>
              <w:top w:val="nil"/>
              <w:left w:val="nil"/>
              <w:bottom w:val="nil"/>
              <w:right w:val="nil"/>
            </w:tcBorders>
            <w:noWrap/>
            <w:vAlign w:val="center"/>
            <w:hideMark/>
          </w:tcPr>
          <w:p w14:paraId="1C383A20" w14:textId="77777777" w:rsidR="003026B2" w:rsidRPr="003026B2" w:rsidRDefault="003026B2" w:rsidP="003026B2">
            <w:pPr>
              <w:spacing w:after="0" w:line="240" w:lineRule="auto"/>
              <w:jc w:val="right"/>
              <w:rPr>
                <w:rFonts w:ascii="Times New Roman" w:hAnsi="Times New Roman"/>
                <w:color w:val="000000"/>
                <w:sz w:val="18"/>
                <w:szCs w:val="18"/>
                <w:lang w:eastAsia="sk-SK"/>
              </w:rPr>
            </w:pPr>
            <w:r w:rsidRPr="003026B2">
              <w:rPr>
                <w:rFonts w:ascii="Times New Roman" w:hAnsi="Times New Roman"/>
                <w:color w:val="000000"/>
                <w:sz w:val="18"/>
                <w:szCs w:val="18"/>
                <w:lang w:eastAsia="sk-SK"/>
              </w:rPr>
              <w:t>2</w:t>
            </w:r>
          </w:p>
        </w:tc>
      </w:tr>
      <w:tr w:rsidR="003026B2" w:rsidRPr="003026B2" w14:paraId="0EC7F44F" w14:textId="77777777" w:rsidTr="0085799C">
        <w:trPr>
          <w:trHeight w:val="227"/>
          <w:jc w:val="center"/>
        </w:trPr>
        <w:tc>
          <w:tcPr>
            <w:tcW w:w="2770" w:type="pct"/>
            <w:tcBorders>
              <w:top w:val="nil"/>
              <w:left w:val="nil"/>
              <w:bottom w:val="single" w:sz="8" w:space="0" w:color="auto"/>
              <w:right w:val="nil"/>
            </w:tcBorders>
            <w:noWrap/>
            <w:vAlign w:val="center"/>
            <w:hideMark/>
          </w:tcPr>
          <w:p w14:paraId="7BE1113B" w14:textId="77777777" w:rsidR="003026B2" w:rsidRPr="003026B2" w:rsidRDefault="003026B2" w:rsidP="003026B2">
            <w:pPr>
              <w:spacing w:after="0" w:line="240" w:lineRule="auto"/>
              <w:rPr>
                <w:rFonts w:ascii="Times New Roman" w:hAnsi="Times New Roman"/>
                <w:color w:val="000000"/>
                <w:sz w:val="18"/>
                <w:szCs w:val="18"/>
                <w:lang w:eastAsia="sk-SK"/>
              </w:rPr>
            </w:pPr>
            <w:r w:rsidRPr="003026B2">
              <w:rPr>
                <w:rFonts w:ascii="Times New Roman" w:hAnsi="Times New Roman"/>
                <w:color w:val="000000"/>
                <w:sz w:val="18"/>
                <w:szCs w:val="18"/>
                <w:lang w:eastAsia="sk-SK"/>
              </w:rPr>
              <w:t>Japonská banka pre medzinárodnú spoluprácu</w:t>
            </w:r>
          </w:p>
        </w:tc>
        <w:tc>
          <w:tcPr>
            <w:tcW w:w="743" w:type="pct"/>
            <w:tcBorders>
              <w:top w:val="nil"/>
              <w:left w:val="nil"/>
              <w:bottom w:val="single" w:sz="8" w:space="0" w:color="auto"/>
              <w:right w:val="nil"/>
            </w:tcBorders>
            <w:noWrap/>
            <w:vAlign w:val="center"/>
            <w:hideMark/>
          </w:tcPr>
          <w:p w14:paraId="045F1054" w14:textId="77777777" w:rsidR="003026B2" w:rsidRPr="003026B2" w:rsidRDefault="003026B2" w:rsidP="003026B2">
            <w:pPr>
              <w:spacing w:after="0" w:line="240" w:lineRule="auto"/>
              <w:jc w:val="right"/>
              <w:rPr>
                <w:rFonts w:ascii="Times New Roman" w:hAnsi="Times New Roman"/>
                <w:color w:val="000000"/>
                <w:sz w:val="18"/>
                <w:szCs w:val="18"/>
                <w:lang w:eastAsia="sk-SK"/>
              </w:rPr>
            </w:pPr>
            <w:r w:rsidRPr="003026B2">
              <w:rPr>
                <w:rFonts w:ascii="Times New Roman" w:hAnsi="Times New Roman"/>
                <w:color w:val="000000"/>
                <w:sz w:val="18"/>
                <w:szCs w:val="18"/>
                <w:lang w:eastAsia="sk-SK"/>
              </w:rPr>
              <w:t>72</w:t>
            </w:r>
          </w:p>
        </w:tc>
        <w:tc>
          <w:tcPr>
            <w:tcW w:w="743" w:type="pct"/>
            <w:tcBorders>
              <w:top w:val="nil"/>
              <w:left w:val="nil"/>
              <w:bottom w:val="single" w:sz="8" w:space="0" w:color="auto"/>
              <w:right w:val="nil"/>
            </w:tcBorders>
            <w:noWrap/>
            <w:vAlign w:val="center"/>
            <w:hideMark/>
          </w:tcPr>
          <w:p w14:paraId="4E021EC9" w14:textId="77777777" w:rsidR="003026B2" w:rsidRPr="003026B2" w:rsidRDefault="003026B2" w:rsidP="003026B2">
            <w:pPr>
              <w:spacing w:after="0" w:line="240" w:lineRule="auto"/>
              <w:jc w:val="right"/>
              <w:rPr>
                <w:rFonts w:ascii="Times New Roman" w:hAnsi="Times New Roman"/>
                <w:color w:val="000000"/>
                <w:sz w:val="18"/>
                <w:szCs w:val="18"/>
                <w:lang w:eastAsia="sk-SK"/>
              </w:rPr>
            </w:pPr>
            <w:r w:rsidRPr="003026B2">
              <w:rPr>
                <w:rFonts w:ascii="Times New Roman" w:hAnsi="Times New Roman"/>
                <w:color w:val="000000"/>
                <w:sz w:val="18"/>
                <w:szCs w:val="18"/>
                <w:lang w:eastAsia="sk-SK"/>
              </w:rPr>
              <w:t>1 947</w:t>
            </w:r>
          </w:p>
        </w:tc>
        <w:tc>
          <w:tcPr>
            <w:tcW w:w="743" w:type="pct"/>
            <w:tcBorders>
              <w:top w:val="nil"/>
              <w:left w:val="nil"/>
              <w:bottom w:val="nil"/>
              <w:right w:val="nil"/>
            </w:tcBorders>
            <w:noWrap/>
            <w:vAlign w:val="center"/>
            <w:hideMark/>
          </w:tcPr>
          <w:p w14:paraId="4263EEAB" w14:textId="77777777" w:rsidR="003026B2" w:rsidRPr="003026B2" w:rsidRDefault="003026B2" w:rsidP="003026B2">
            <w:pPr>
              <w:spacing w:after="0" w:line="240" w:lineRule="auto"/>
              <w:jc w:val="right"/>
              <w:rPr>
                <w:rFonts w:ascii="Times New Roman" w:hAnsi="Times New Roman"/>
                <w:color w:val="000000"/>
                <w:sz w:val="18"/>
                <w:szCs w:val="18"/>
                <w:lang w:eastAsia="sk-SK"/>
              </w:rPr>
            </w:pPr>
            <w:r w:rsidRPr="003026B2">
              <w:rPr>
                <w:rFonts w:ascii="Times New Roman" w:hAnsi="Times New Roman"/>
                <w:color w:val="000000"/>
                <w:sz w:val="18"/>
                <w:szCs w:val="18"/>
                <w:lang w:eastAsia="sk-SK"/>
              </w:rPr>
              <w:t>-1 875</w:t>
            </w:r>
          </w:p>
        </w:tc>
      </w:tr>
      <w:tr w:rsidR="003026B2" w:rsidRPr="003026B2" w14:paraId="570CEC52" w14:textId="77777777" w:rsidTr="0085799C">
        <w:trPr>
          <w:trHeight w:val="227"/>
          <w:jc w:val="center"/>
        </w:trPr>
        <w:tc>
          <w:tcPr>
            <w:tcW w:w="2770" w:type="pct"/>
            <w:tcBorders>
              <w:top w:val="nil"/>
              <w:left w:val="nil"/>
              <w:bottom w:val="single" w:sz="8" w:space="0" w:color="000000"/>
              <w:right w:val="nil"/>
            </w:tcBorders>
            <w:noWrap/>
            <w:vAlign w:val="center"/>
            <w:hideMark/>
          </w:tcPr>
          <w:p w14:paraId="27F43A8A" w14:textId="77777777" w:rsidR="003026B2" w:rsidRPr="003026B2" w:rsidRDefault="003026B2" w:rsidP="003026B2">
            <w:pPr>
              <w:spacing w:after="0" w:line="240" w:lineRule="auto"/>
              <w:rPr>
                <w:rFonts w:ascii="Times New Roman" w:hAnsi="Times New Roman"/>
                <w:b/>
                <w:bCs/>
                <w:color w:val="000000"/>
                <w:sz w:val="18"/>
                <w:szCs w:val="18"/>
                <w:lang w:eastAsia="sk-SK"/>
              </w:rPr>
            </w:pPr>
            <w:r w:rsidRPr="003026B2">
              <w:rPr>
                <w:rFonts w:ascii="Times New Roman" w:hAnsi="Times New Roman"/>
                <w:b/>
                <w:bCs/>
                <w:color w:val="000000"/>
                <w:sz w:val="18"/>
                <w:szCs w:val="18"/>
                <w:lang w:eastAsia="sk-SK"/>
              </w:rPr>
              <w:t>Spolu</w:t>
            </w:r>
          </w:p>
        </w:tc>
        <w:tc>
          <w:tcPr>
            <w:tcW w:w="743" w:type="pct"/>
            <w:tcBorders>
              <w:top w:val="nil"/>
              <w:left w:val="nil"/>
              <w:bottom w:val="single" w:sz="8" w:space="0" w:color="000000"/>
              <w:right w:val="nil"/>
            </w:tcBorders>
            <w:noWrap/>
            <w:vAlign w:val="center"/>
            <w:hideMark/>
          </w:tcPr>
          <w:p w14:paraId="5F7690AE" w14:textId="77777777" w:rsidR="003026B2" w:rsidRPr="003026B2" w:rsidRDefault="003026B2" w:rsidP="003026B2">
            <w:pPr>
              <w:spacing w:after="0" w:line="240" w:lineRule="auto"/>
              <w:jc w:val="right"/>
              <w:rPr>
                <w:rFonts w:ascii="Times New Roman" w:hAnsi="Times New Roman"/>
                <w:b/>
                <w:bCs/>
                <w:color w:val="000000"/>
                <w:sz w:val="18"/>
                <w:szCs w:val="18"/>
                <w:lang w:eastAsia="sk-SK"/>
              </w:rPr>
            </w:pPr>
            <w:r w:rsidRPr="003026B2">
              <w:rPr>
                <w:rFonts w:ascii="Times New Roman" w:hAnsi="Times New Roman"/>
                <w:b/>
                <w:bCs/>
                <w:color w:val="000000"/>
                <w:sz w:val="18"/>
                <w:szCs w:val="18"/>
                <w:lang w:eastAsia="sk-SK"/>
              </w:rPr>
              <w:t>588 141</w:t>
            </w:r>
          </w:p>
        </w:tc>
        <w:tc>
          <w:tcPr>
            <w:tcW w:w="743" w:type="pct"/>
            <w:tcBorders>
              <w:top w:val="nil"/>
              <w:left w:val="nil"/>
              <w:bottom w:val="single" w:sz="8" w:space="0" w:color="000000"/>
              <w:right w:val="nil"/>
            </w:tcBorders>
            <w:noWrap/>
            <w:vAlign w:val="center"/>
            <w:hideMark/>
          </w:tcPr>
          <w:p w14:paraId="6299472A" w14:textId="77777777" w:rsidR="003026B2" w:rsidRPr="003026B2" w:rsidRDefault="003026B2" w:rsidP="003026B2">
            <w:pPr>
              <w:spacing w:after="0" w:line="240" w:lineRule="auto"/>
              <w:jc w:val="right"/>
              <w:rPr>
                <w:rFonts w:ascii="Times New Roman" w:hAnsi="Times New Roman"/>
                <w:b/>
                <w:bCs/>
                <w:color w:val="000000"/>
                <w:sz w:val="18"/>
                <w:szCs w:val="18"/>
                <w:lang w:eastAsia="sk-SK"/>
              </w:rPr>
            </w:pPr>
            <w:r w:rsidRPr="003026B2">
              <w:rPr>
                <w:rFonts w:ascii="Times New Roman" w:hAnsi="Times New Roman"/>
                <w:b/>
                <w:bCs/>
                <w:color w:val="000000"/>
                <w:sz w:val="18"/>
                <w:szCs w:val="18"/>
                <w:lang w:eastAsia="sk-SK"/>
              </w:rPr>
              <w:t>38 284</w:t>
            </w:r>
          </w:p>
        </w:tc>
        <w:tc>
          <w:tcPr>
            <w:tcW w:w="743" w:type="pct"/>
            <w:tcBorders>
              <w:top w:val="single" w:sz="8" w:space="0" w:color="000000"/>
              <w:left w:val="nil"/>
              <w:bottom w:val="single" w:sz="8" w:space="0" w:color="000000"/>
              <w:right w:val="nil"/>
            </w:tcBorders>
            <w:noWrap/>
            <w:vAlign w:val="center"/>
            <w:hideMark/>
          </w:tcPr>
          <w:p w14:paraId="2D4BFBF0" w14:textId="77777777" w:rsidR="003026B2" w:rsidRPr="003026B2" w:rsidRDefault="003026B2" w:rsidP="003026B2">
            <w:pPr>
              <w:spacing w:after="0" w:line="240" w:lineRule="auto"/>
              <w:jc w:val="right"/>
              <w:rPr>
                <w:rFonts w:ascii="Times New Roman" w:hAnsi="Times New Roman"/>
                <w:b/>
                <w:bCs/>
                <w:color w:val="000000"/>
                <w:sz w:val="18"/>
                <w:szCs w:val="18"/>
                <w:lang w:eastAsia="sk-SK"/>
              </w:rPr>
            </w:pPr>
            <w:r w:rsidRPr="003026B2">
              <w:rPr>
                <w:rFonts w:ascii="Times New Roman" w:hAnsi="Times New Roman"/>
                <w:b/>
                <w:bCs/>
                <w:color w:val="000000"/>
                <w:sz w:val="18"/>
                <w:szCs w:val="18"/>
                <w:lang w:eastAsia="sk-SK"/>
              </w:rPr>
              <w:t>549 857</w:t>
            </w:r>
          </w:p>
        </w:tc>
      </w:tr>
      <w:tr w:rsidR="003026B2" w:rsidRPr="003026B2" w14:paraId="25F0F421" w14:textId="77777777" w:rsidTr="0085799C">
        <w:trPr>
          <w:trHeight w:val="227"/>
          <w:jc w:val="center"/>
        </w:trPr>
        <w:tc>
          <w:tcPr>
            <w:tcW w:w="5000" w:type="pct"/>
            <w:gridSpan w:val="4"/>
            <w:tcBorders>
              <w:top w:val="single" w:sz="8" w:space="0" w:color="000000"/>
              <w:left w:val="nil"/>
              <w:bottom w:val="nil"/>
              <w:right w:val="nil"/>
            </w:tcBorders>
            <w:noWrap/>
            <w:vAlign w:val="center"/>
            <w:hideMark/>
          </w:tcPr>
          <w:p w14:paraId="25D2E03B" w14:textId="77777777" w:rsidR="003026B2" w:rsidRPr="003026B2" w:rsidRDefault="003026B2" w:rsidP="003026B2">
            <w:pPr>
              <w:spacing w:after="0" w:line="240" w:lineRule="auto"/>
              <w:jc w:val="right"/>
              <w:rPr>
                <w:rFonts w:ascii="Times New Roman" w:hAnsi="Times New Roman"/>
                <w:color w:val="000000"/>
                <w:sz w:val="16"/>
                <w:szCs w:val="16"/>
                <w:lang w:eastAsia="sk-SK"/>
              </w:rPr>
            </w:pPr>
            <w:r w:rsidRPr="003026B2">
              <w:rPr>
                <w:rFonts w:ascii="Times New Roman" w:hAnsi="Times New Roman"/>
                <w:color w:val="000000"/>
                <w:sz w:val="16"/>
                <w:szCs w:val="16"/>
                <w:lang w:eastAsia="sk-SK"/>
              </w:rPr>
              <w:t>Zdroj: MF SR, Centrálny konsolidačný systém</w:t>
            </w:r>
          </w:p>
        </w:tc>
      </w:tr>
    </w:tbl>
    <w:p w14:paraId="647AFD81" w14:textId="77777777" w:rsidR="00142042" w:rsidRPr="0085799C" w:rsidRDefault="00142042" w:rsidP="0085799C">
      <w:pPr>
        <w:spacing w:after="120" w:line="240" w:lineRule="auto"/>
        <w:jc w:val="both"/>
        <w:rPr>
          <w:rFonts w:ascii="Times New Roman" w:eastAsiaTheme="majorEastAsia" w:hAnsi="Times New Roman" w:cstheme="majorBidi"/>
          <w:bCs/>
        </w:rPr>
      </w:pPr>
      <w:bookmarkStart w:id="52" w:name="_Ref86092253"/>
    </w:p>
    <w:p w14:paraId="35E5ADF0" w14:textId="0869DC4A" w:rsidR="00142042" w:rsidRDefault="00142042" w:rsidP="0085799C">
      <w:pPr>
        <w:pStyle w:val="Nadpis4"/>
        <w:numPr>
          <w:ilvl w:val="0"/>
          <w:numId w:val="54"/>
        </w:numPr>
        <w:ind w:left="426" w:hanging="426"/>
      </w:pPr>
      <w:bookmarkStart w:id="53" w:name="_Zamestnanci"/>
      <w:bookmarkEnd w:id="53"/>
      <w:r>
        <w:t>Zamestnanci</w:t>
      </w:r>
    </w:p>
    <w:p w14:paraId="331AF199" w14:textId="2BC1C003" w:rsidR="00647542" w:rsidRPr="00907622" w:rsidRDefault="00647542" w:rsidP="009E3C89">
      <w:pPr>
        <w:spacing w:after="120" w:line="240" w:lineRule="auto"/>
        <w:jc w:val="both"/>
        <w:rPr>
          <w:rFonts w:ascii="Times New Roman" w:hAnsi="Times New Roman"/>
          <w:szCs w:val="22"/>
        </w:rPr>
      </w:pPr>
      <w:r w:rsidRPr="00907622">
        <w:rPr>
          <w:rFonts w:ascii="Times New Roman" w:hAnsi="Times New Roman"/>
          <w:szCs w:val="22"/>
        </w:rPr>
        <w:t xml:space="preserve">Záväzky voči zamestnancom boli vykázané celkovo za </w:t>
      </w:r>
      <w:r w:rsidR="00E8193C">
        <w:rPr>
          <w:rFonts w:ascii="Times New Roman" w:hAnsi="Times New Roman"/>
          <w:szCs w:val="22"/>
        </w:rPr>
        <w:t>673</w:t>
      </w:r>
      <w:r w:rsidR="00BA5368">
        <w:rPr>
          <w:rFonts w:ascii="Times New Roman" w:hAnsi="Times New Roman"/>
          <w:szCs w:val="22"/>
        </w:rPr>
        <w:t> </w:t>
      </w:r>
      <w:r w:rsidR="00E8193C">
        <w:rPr>
          <w:rFonts w:ascii="Times New Roman" w:hAnsi="Times New Roman"/>
          <w:szCs w:val="22"/>
        </w:rPr>
        <w:t>336</w:t>
      </w:r>
      <w:r w:rsidRPr="00907622">
        <w:rPr>
          <w:rFonts w:ascii="Times New Roman" w:hAnsi="Times New Roman"/>
          <w:szCs w:val="22"/>
        </w:rPr>
        <w:t xml:space="preserve"> tis. eur, z toho ústredná správa vykázala </w:t>
      </w:r>
      <w:r w:rsidR="00F06C77">
        <w:rPr>
          <w:rFonts w:ascii="Times New Roman" w:hAnsi="Times New Roman"/>
          <w:szCs w:val="22"/>
        </w:rPr>
        <w:t>359</w:t>
      </w:r>
      <w:r w:rsidR="00BA5368">
        <w:rPr>
          <w:rFonts w:ascii="Times New Roman" w:hAnsi="Times New Roman"/>
          <w:szCs w:val="22"/>
        </w:rPr>
        <w:t> </w:t>
      </w:r>
      <w:r w:rsidR="00F06C77">
        <w:rPr>
          <w:rFonts w:ascii="Times New Roman" w:hAnsi="Times New Roman"/>
          <w:szCs w:val="22"/>
        </w:rPr>
        <w:t>100</w:t>
      </w:r>
      <w:r w:rsidRPr="00907622">
        <w:rPr>
          <w:rFonts w:ascii="Times New Roman" w:hAnsi="Times New Roman"/>
          <w:szCs w:val="22"/>
        </w:rPr>
        <w:t xml:space="preserve"> tis. eur, územná samospráva </w:t>
      </w:r>
      <w:r w:rsidR="00545BB7">
        <w:rPr>
          <w:rFonts w:ascii="Times New Roman" w:hAnsi="Times New Roman"/>
          <w:szCs w:val="22"/>
        </w:rPr>
        <w:t>263</w:t>
      </w:r>
      <w:r w:rsidR="00BA5368">
        <w:rPr>
          <w:rFonts w:ascii="Times New Roman" w:hAnsi="Times New Roman"/>
          <w:szCs w:val="22"/>
        </w:rPr>
        <w:t> </w:t>
      </w:r>
      <w:r w:rsidR="00316B59">
        <w:rPr>
          <w:rFonts w:ascii="Times New Roman" w:hAnsi="Times New Roman"/>
          <w:szCs w:val="22"/>
        </w:rPr>
        <w:t>403</w:t>
      </w:r>
      <w:r w:rsidRPr="00907622">
        <w:rPr>
          <w:rFonts w:ascii="Times New Roman" w:hAnsi="Times New Roman"/>
          <w:szCs w:val="22"/>
        </w:rPr>
        <w:t xml:space="preserve"> tis. eur a ostatné subjekty </w:t>
      </w:r>
      <w:r w:rsidR="000300EB">
        <w:rPr>
          <w:rFonts w:ascii="Times New Roman" w:hAnsi="Times New Roman"/>
          <w:szCs w:val="22"/>
        </w:rPr>
        <w:t>50</w:t>
      </w:r>
      <w:r w:rsidR="00BA5368">
        <w:rPr>
          <w:rFonts w:ascii="Times New Roman" w:hAnsi="Times New Roman"/>
          <w:szCs w:val="22"/>
        </w:rPr>
        <w:t> </w:t>
      </w:r>
      <w:r w:rsidR="000300EB">
        <w:rPr>
          <w:rFonts w:ascii="Times New Roman" w:hAnsi="Times New Roman"/>
          <w:szCs w:val="22"/>
        </w:rPr>
        <w:t>833</w:t>
      </w:r>
      <w:r w:rsidRPr="00907622">
        <w:rPr>
          <w:rFonts w:ascii="Times New Roman" w:hAnsi="Times New Roman"/>
          <w:szCs w:val="22"/>
        </w:rPr>
        <w:t> tis. eur, pričom ide najmä o</w:t>
      </w:r>
      <w:r w:rsidR="00BA5368">
        <w:rPr>
          <w:rFonts w:ascii="Times New Roman" w:hAnsi="Times New Roman"/>
          <w:szCs w:val="22"/>
        </w:rPr>
        <w:t xml:space="preserve"> </w:t>
      </w:r>
      <w:r w:rsidRPr="00907622">
        <w:rPr>
          <w:rFonts w:ascii="Times New Roman" w:hAnsi="Times New Roman"/>
          <w:szCs w:val="22"/>
        </w:rPr>
        <w:t xml:space="preserve">predpis miezd za mesiac december vyplácaných nasledujúce účtovné obdobie. Medziročný nárast záväzkov voči zamestnancom bol ovplyvnený </w:t>
      </w:r>
      <w:r w:rsidR="00A0109F">
        <w:rPr>
          <w:rFonts w:ascii="Times New Roman" w:hAnsi="Times New Roman"/>
          <w:szCs w:val="22"/>
        </w:rPr>
        <w:t>rastom</w:t>
      </w:r>
      <w:r w:rsidR="00A0109F" w:rsidRPr="00907622">
        <w:rPr>
          <w:rFonts w:ascii="Times New Roman" w:hAnsi="Times New Roman"/>
          <w:szCs w:val="22"/>
        </w:rPr>
        <w:t xml:space="preserve"> </w:t>
      </w:r>
      <w:r w:rsidRPr="00907622">
        <w:rPr>
          <w:rFonts w:ascii="Times New Roman" w:hAnsi="Times New Roman"/>
          <w:szCs w:val="22"/>
        </w:rPr>
        <w:t>platov zamestnancov štátnej a</w:t>
      </w:r>
      <w:r w:rsidR="00BA5368">
        <w:rPr>
          <w:rFonts w:ascii="Times New Roman" w:hAnsi="Times New Roman"/>
          <w:szCs w:val="22"/>
        </w:rPr>
        <w:t xml:space="preserve"> </w:t>
      </w:r>
      <w:r w:rsidRPr="00907622">
        <w:rPr>
          <w:rFonts w:ascii="Times New Roman" w:hAnsi="Times New Roman"/>
          <w:szCs w:val="22"/>
        </w:rPr>
        <w:t>verejnej správy.</w:t>
      </w:r>
    </w:p>
    <w:p w14:paraId="1FDE86CC" w14:textId="77777777" w:rsidR="00142042" w:rsidRDefault="00142042" w:rsidP="009E3C89">
      <w:pPr>
        <w:spacing w:after="120" w:line="240" w:lineRule="auto"/>
        <w:jc w:val="both"/>
        <w:rPr>
          <w:rFonts w:ascii="Times New Roman" w:hAnsi="Times New Roman"/>
          <w:szCs w:val="22"/>
        </w:rPr>
      </w:pPr>
    </w:p>
    <w:p w14:paraId="4EFDBD2C" w14:textId="443E9B03" w:rsidR="00142042" w:rsidRPr="007253B7" w:rsidRDefault="00142042" w:rsidP="0085799C">
      <w:pPr>
        <w:pStyle w:val="Nadpis4"/>
        <w:numPr>
          <w:ilvl w:val="0"/>
          <w:numId w:val="54"/>
        </w:numPr>
        <w:ind w:left="426" w:hanging="426"/>
      </w:pPr>
      <w:bookmarkStart w:id="54" w:name="_Prijaté_preddavky"/>
      <w:bookmarkEnd w:id="54"/>
      <w:r>
        <w:t>Prijaté preddavky</w:t>
      </w:r>
    </w:p>
    <w:p w14:paraId="17C65B69" w14:textId="6D52A407" w:rsidR="00647542" w:rsidRPr="009E3C89" w:rsidRDefault="00647542" w:rsidP="009E3C89">
      <w:pPr>
        <w:spacing w:after="120" w:line="240" w:lineRule="auto"/>
        <w:jc w:val="both"/>
        <w:rPr>
          <w:rFonts w:ascii="Times New Roman" w:hAnsi="Times New Roman"/>
        </w:rPr>
      </w:pPr>
      <w:bookmarkStart w:id="55" w:name="_Ref86092263"/>
      <w:bookmarkEnd w:id="52"/>
      <w:r w:rsidRPr="009E3C89">
        <w:rPr>
          <w:rFonts w:ascii="Times New Roman" w:hAnsi="Times New Roman"/>
        </w:rPr>
        <w:t xml:space="preserve">Z prijatých preddavkov v celkovej hodnote </w:t>
      </w:r>
      <w:r w:rsidR="009E71E8" w:rsidRPr="00BB21FD">
        <w:rPr>
          <w:rFonts w:ascii="Times New Roman" w:hAnsi="Times New Roman"/>
        </w:rPr>
        <w:t>260</w:t>
      </w:r>
      <w:r w:rsidR="00BA5368">
        <w:rPr>
          <w:rFonts w:ascii="Times New Roman" w:hAnsi="Times New Roman"/>
        </w:rPr>
        <w:t> </w:t>
      </w:r>
      <w:r w:rsidR="009E71E8" w:rsidRPr="00BB21FD">
        <w:rPr>
          <w:rFonts w:ascii="Times New Roman" w:hAnsi="Times New Roman"/>
        </w:rPr>
        <w:t>988</w:t>
      </w:r>
      <w:r w:rsidRPr="009E3C89">
        <w:rPr>
          <w:rFonts w:ascii="Times New Roman" w:hAnsi="Times New Roman"/>
        </w:rPr>
        <w:t xml:space="preserve"> tis. eur vykazuje ústredná správa </w:t>
      </w:r>
      <w:r w:rsidR="009E71E8" w:rsidRPr="00BB21FD">
        <w:rPr>
          <w:rFonts w:ascii="Times New Roman" w:hAnsi="Times New Roman"/>
        </w:rPr>
        <w:t>190</w:t>
      </w:r>
      <w:r w:rsidR="00BA5368">
        <w:rPr>
          <w:rFonts w:ascii="Times New Roman" w:hAnsi="Times New Roman"/>
        </w:rPr>
        <w:t> </w:t>
      </w:r>
      <w:r w:rsidR="00D1385A" w:rsidRPr="00BB21FD">
        <w:rPr>
          <w:rFonts w:ascii="Times New Roman" w:hAnsi="Times New Roman"/>
        </w:rPr>
        <w:t>288</w:t>
      </w:r>
      <w:r w:rsidRPr="009E3C89">
        <w:rPr>
          <w:rFonts w:ascii="Times New Roman" w:hAnsi="Times New Roman"/>
        </w:rPr>
        <w:t xml:space="preserve"> tis. eur a v rámci nej </w:t>
      </w:r>
      <w:r w:rsidRPr="0085799C">
        <w:rPr>
          <w:rFonts w:ascii="Times New Roman" w:hAnsi="Times New Roman"/>
          <w:u w:val="single"/>
        </w:rPr>
        <w:t xml:space="preserve">KONŠTRUKTA – </w:t>
      </w:r>
      <w:proofErr w:type="spellStart"/>
      <w:r w:rsidRPr="0085799C">
        <w:rPr>
          <w:rFonts w:ascii="Times New Roman" w:hAnsi="Times New Roman"/>
          <w:u w:val="single"/>
        </w:rPr>
        <w:t>Defence</w:t>
      </w:r>
      <w:proofErr w:type="spellEnd"/>
      <w:r w:rsidRPr="0085799C">
        <w:rPr>
          <w:rFonts w:ascii="Times New Roman" w:hAnsi="Times New Roman"/>
          <w:u w:val="single"/>
        </w:rPr>
        <w:t xml:space="preserve">, </w:t>
      </w:r>
      <w:proofErr w:type="spellStart"/>
      <w:r w:rsidRPr="0085799C">
        <w:rPr>
          <w:rFonts w:ascii="Times New Roman" w:hAnsi="Times New Roman"/>
          <w:u w:val="single"/>
        </w:rPr>
        <w:t>a.s</w:t>
      </w:r>
      <w:proofErr w:type="spellEnd"/>
      <w:r w:rsidRPr="0085799C">
        <w:rPr>
          <w:rFonts w:ascii="Times New Roman" w:hAnsi="Times New Roman"/>
          <w:u w:val="single"/>
        </w:rPr>
        <w:t>.</w:t>
      </w:r>
      <w:r w:rsidRPr="009E3C89">
        <w:rPr>
          <w:rFonts w:ascii="Times New Roman" w:hAnsi="Times New Roman"/>
        </w:rPr>
        <w:t xml:space="preserve"> (</w:t>
      </w:r>
      <w:r w:rsidR="00FB1392" w:rsidRPr="00BB21FD">
        <w:rPr>
          <w:rFonts w:ascii="Times New Roman" w:hAnsi="Times New Roman"/>
        </w:rPr>
        <w:t>40 697</w:t>
      </w:r>
      <w:r w:rsidRPr="009E3C89">
        <w:rPr>
          <w:rFonts w:ascii="Times New Roman" w:hAnsi="Times New Roman"/>
        </w:rPr>
        <w:t> tis. eur,)</w:t>
      </w:r>
      <w:r w:rsidR="009A26D3" w:rsidRPr="009E3C89">
        <w:rPr>
          <w:rFonts w:ascii="Times New Roman" w:hAnsi="Times New Roman"/>
        </w:rPr>
        <w:t xml:space="preserve"> </w:t>
      </w:r>
      <w:r w:rsidRPr="009E3C89">
        <w:rPr>
          <w:rFonts w:ascii="Times New Roman" w:hAnsi="Times New Roman"/>
        </w:rPr>
        <w:t xml:space="preserve">z uzavretých kontraktov o spoločnom financovaní výroby, výcviku a darovania samohybných húfnic ZUZANA 2 medzi Ministerstvom obrany Nórskeho kráľovstva a Ministerstvom obrany Nemeckej republiky a na výrobu BOV 8x8 s firmou Patria </w:t>
      </w:r>
      <w:proofErr w:type="spellStart"/>
      <w:r w:rsidRPr="009E3C89">
        <w:rPr>
          <w:rFonts w:ascii="Times New Roman" w:hAnsi="Times New Roman"/>
        </w:rPr>
        <w:t>Land</w:t>
      </w:r>
      <w:proofErr w:type="spellEnd"/>
      <w:r w:rsidRPr="009E3C89">
        <w:rPr>
          <w:rFonts w:ascii="Times New Roman" w:hAnsi="Times New Roman"/>
        </w:rPr>
        <w:t xml:space="preserve"> Fínsko. </w:t>
      </w:r>
      <w:r w:rsidR="006974FE" w:rsidRPr="0085799C">
        <w:rPr>
          <w:rFonts w:ascii="Times New Roman" w:hAnsi="Times New Roman"/>
          <w:u w:val="single"/>
        </w:rPr>
        <w:t>Ministerstvo financií SR</w:t>
      </w:r>
      <w:r w:rsidR="006974FE" w:rsidRPr="009E3C89">
        <w:rPr>
          <w:rFonts w:ascii="Times New Roman" w:hAnsi="Times New Roman"/>
        </w:rPr>
        <w:t xml:space="preserve"> na prijatých preddavkoch vykazuje 39</w:t>
      </w:r>
      <w:r w:rsidR="00BA5368">
        <w:rPr>
          <w:rFonts w:ascii="Times New Roman" w:hAnsi="Times New Roman"/>
        </w:rPr>
        <w:t> </w:t>
      </w:r>
      <w:r w:rsidR="006974FE" w:rsidRPr="009E3C89">
        <w:rPr>
          <w:rFonts w:ascii="Times New Roman" w:hAnsi="Times New Roman"/>
        </w:rPr>
        <w:t>071</w:t>
      </w:r>
      <w:r w:rsidR="00BA5368">
        <w:rPr>
          <w:rFonts w:ascii="Times New Roman" w:hAnsi="Times New Roman"/>
        </w:rPr>
        <w:t> </w:t>
      </w:r>
      <w:r w:rsidR="006974FE" w:rsidRPr="00BB21FD">
        <w:rPr>
          <w:rFonts w:ascii="Times New Roman" w:hAnsi="Times New Roman"/>
        </w:rPr>
        <w:t>tis.</w:t>
      </w:r>
      <w:r w:rsidR="00BA5368">
        <w:rPr>
          <w:rFonts w:ascii="Times New Roman" w:hAnsi="Times New Roman"/>
        </w:rPr>
        <w:t> </w:t>
      </w:r>
      <w:r w:rsidR="006974FE" w:rsidRPr="009E3C89">
        <w:rPr>
          <w:rFonts w:ascii="Times New Roman" w:hAnsi="Times New Roman"/>
        </w:rPr>
        <w:t>eur, ide najmä o záväzky colnej správy, ktorá tu vykazuje zábezpeky z</w:t>
      </w:r>
      <w:r w:rsidR="00BA5368">
        <w:rPr>
          <w:rFonts w:ascii="Times New Roman" w:hAnsi="Times New Roman"/>
        </w:rPr>
        <w:t xml:space="preserve"> </w:t>
      </w:r>
      <w:r w:rsidR="006974FE" w:rsidRPr="009E3C89">
        <w:rPr>
          <w:rFonts w:ascii="Times New Roman" w:hAnsi="Times New Roman"/>
        </w:rPr>
        <w:t>colného a</w:t>
      </w:r>
      <w:r w:rsidR="00BA5368">
        <w:rPr>
          <w:rFonts w:ascii="Times New Roman" w:hAnsi="Times New Roman"/>
        </w:rPr>
        <w:t xml:space="preserve"> </w:t>
      </w:r>
      <w:r w:rsidR="006974FE" w:rsidRPr="009E3C89">
        <w:rPr>
          <w:rFonts w:ascii="Times New Roman" w:hAnsi="Times New Roman"/>
        </w:rPr>
        <w:t>daňového konania, vyberané v</w:t>
      </w:r>
      <w:r w:rsidR="00BA5368">
        <w:rPr>
          <w:rFonts w:ascii="Times New Roman" w:hAnsi="Times New Roman"/>
        </w:rPr>
        <w:t xml:space="preserve"> </w:t>
      </w:r>
      <w:r w:rsidR="006974FE" w:rsidRPr="00BB21FD">
        <w:rPr>
          <w:rFonts w:ascii="Times New Roman" w:hAnsi="Times New Roman"/>
        </w:rPr>
        <w:t xml:space="preserve">zmysle príslušných predpisov. </w:t>
      </w:r>
      <w:r w:rsidRPr="009E3C89">
        <w:rPr>
          <w:rFonts w:ascii="Times New Roman" w:hAnsi="Times New Roman"/>
        </w:rPr>
        <w:t xml:space="preserve">Druhú najvyššiu hodnotu vykazujú obce </w:t>
      </w:r>
      <w:r w:rsidR="00240E21" w:rsidRPr="00BB21FD">
        <w:rPr>
          <w:rFonts w:ascii="Times New Roman" w:hAnsi="Times New Roman"/>
        </w:rPr>
        <w:t>64</w:t>
      </w:r>
      <w:r w:rsidR="00A95737" w:rsidRPr="00BB21FD">
        <w:rPr>
          <w:rFonts w:ascii="Times New Roman" w:hAnsi="Times New Roman"/>
        </w:rPr>
        <w:t> </w:t>
      </w:r>
      <w:r w:rsidR="00240E21" w:rsidRPr="00BB21FD">
        <w:rPr>
          <w:rFonts w:ascii="Times New Roman" w:hAnsi="Times New Roman"/>
        </w:rPr>
        <w:t>466</w:t>
      </w:r>
      <w:r w:rsidRPr="009E3C89">
        <w:rPr>
          <w:rFonts w:ascii="Times New Roman" w:hAnsi="Times New Roman"/>
        </w:rPr>
        <w:t> tis. eu</w:t>
      </w:r>
      <w:r w:rsidR="005E0EDF" w:rsidRPr="009E3C89">
        <w:rPr>
          <w:rFonts w:ascii="Times New Roman" w:hAnsi="Times New Roman"/>
        </w:rPr>
        <w:t>r</w:t>
      </w:r>
      <w:r w:rsidRPr="009E3C89">
        <w:rPr>
          <w:rFonts w:ascii="Times New Roman" w:hAnsi="Times New Roman"/>
        </w:rPr>
        <w:t>.</w:t>
      </w:r>
    </w:p>
    <w:p w14:paraId="648A043D" w14:textId="053CDAD2" w:rsidR="00142042" w:rsidRDefault="00142042" w:rsidP="0085799C">
      <w:pPr>
        <w:pStyle w:val="Nadpis4"/>
        <w:numPr>
          <w:ilvl w:val="0"/>
          <w:numId w:val="54"/>
        </w:numPr>
        <w:ind w:left="426" w:hanging="426"/>
      </w:pPr>
      <w:bookmarkStart w:id="56" w:name="_Ostatné_záväzky"/>
      <w:bookmarkEnd w:id="56"/>
      <w:r>
        <w:lastRenderedPageBreak/>
        <w:t>Ostatné záväzky</w:t>
      </w:r>
    </w:p>
    <w:bookmarkEnd w:id="55"/>
    <w:p w14:paraId="31C7BE6E" w14:textId="496C5A51" w:rsidR="00647542" w:rsidRPr="00907622" w:rsidRDefault="00647542" w:rsidP="009E3C89">
      <w:pPr>
        <w:spacing w:after="120" w:line="240" w:lineRule="auto"/>
        <w:jc w:val="both"/>
        <w:rPr>
          <w:rFonts w:ascii="Times New Roman" w:hAnsi="Times New Roman"/>
          <w:szCs w:val="22"/>
          <w:highlight w:val="yellow"/>
        </w:rPr>
      </w:pPr>
      <w:r w:rsidRPr="00907622">
        <w:rPr>
          <w:rFonts w:ascii="Times New Roman" w:hAnsi="Times New Roman"/>
          <w:i/>
          <w:szCs w:val="22"/>
          <w:u w:val="single"/>
        </w:rPr>
        <w:t>Špecifické záväzky Ministerstva financií SR</w:t>
      </w:r>
      <w:r w:rsidRPr="00907622">
        <w:rPr>
          <w:rFonts w:ascii="Times New Roman" w:hAnsi="Times New Roman"/>
          <w:szCs w:val="22"/>
        </w:rPr>
        <w:t xml:space="preserve"> v sume 1</w:t>
      </w:r>
      <w:r w:rsidR="007230FC">
        <w:rPr>
          <w:rFonts w:ascii="Times New Roman" w:hAnsi="Times New Roman"/>
          <w:szCs w:val="22"/>
        </w:rPr>
        <w:t> </w:t>
      </w:r>
      <w:r w:rsidR="00F47788">
        <w:rPr>
          <w:rFonts w:ascii="Times New Roman" w:hAnsi="Times New Roman"/>
          <w:szCs w:val="22"/>
        </w:rPr>
        <w:t>846</w:t>
      </w:r>
      <w:r w:rsidR="007230FC">
        <w:rPr>
          <w:rFonts w:ascii="Times New Roman" w:hAnsi="Times New Roman"/>
          <w:szCs w:val="22"/>
        </w:rPr>
        <w:t> </w:t>
      </w:r>
      <w:r w:rsidR="00F47788">
        <w:rPr>
          <w:rFonts w:ascii="Times New Roman" w:hAnsi="Times New Roman"/>
          <w:szCs w:val="22"/>
        </w:rPr>
        <w:t>157</w:t>
      </w:r>
      <w:r w:rsidRPr="00907622">
        <w:rPr>
          <w:rFonts w:ascii="Times New Roman" w:hAnsi="Times New Roman"/>
          <w:szCs w:val="22"/>
        </w:rPr>
        <w:t> tis. eur predstavujú záväzky v</w:t>
      </w:r>
      <w:r w:rsidR="007230FC">
        <w:rPr>
          <w:rFonts w:ascii="Times New Roman" w:hAnsi="Times New Roman"/>
          <w:szCs w:val="22"/>
        </w:rPr>
        <w:t xml:space="preserve"> </w:t>
      </w:r>
      <w:r w:rsidRPr="00907622">
        <w:rPr>
          <w:rFonts w:ascii="Times New Roman" w:hAnsi="Times New Roman"/>
          <w:szCs w:val="22"/>
        </w:rPr>
        <w:t>rámci účtovania daňových príjmov (resp. správy daní) voči platiteľom daní, napr. z dôvodu nároku na vrátenie nadmerného odpočtu alebo úhrady na základe predbežných opatrení. Ďalšími špecifickými záväzkami Ministerstva financií SR sú záväzky z</w:t>
      </w:r>
      <w:r w:rsidR="007230FC">
        <w:rPr>
          <w:rFonts w:ascii="Times New Roman" w:hAnsi="Times New Roman"/>
          <w:szCs w:val="22"/>
        </w:rPr>
        <w:t xml:space="preserve"> </w:t>
      </w:r>
      <w:r w:rsidRPr="00907622">
        <w:rPr>
          <w:rFonts w:ascii="Times New Roman" w:hAnsi="Times New Roman"/>
          <w:szCs w:val="22"/>
        </w:rPr>
        <w:t xml:space="preserve">prijatých finančných zábezpek podľa § 67 zákona č. 30/2019 Z. z. o hazardných hrách, záväzok z pasívneho kolaterálu a záväzky z DEPO obchodov. Celková hodnota týchto špecifických krátkodobých záväzkov </w:t>
      </w:r>
      <w:r w:rsidR="00950EBD">
        <w:rPr>
          <w:rFonts w:ascii="Times New Roman" w:hAnsi="Times New Roman"/>
          <w:szCs w:val="22"/>
        </w:rPr>
        <w:t>vzrástla</w:t>
      </w:r>
      <w:r w:rsidR="00950EBD" w:rsidRPr="002C45A1">
        <w:rPr>
          <w:rFonts w:ascii="Times New Roman" w:hAnsi="Times New Roman"/>
          <w:szCs w:val="22"/>
        </w:rPr>
        <w:t xml:space="preserve"> </w:t>
      </w:r>
      <w:r w:rsidRPr="00907622">
        <w:rPr>
          <w:rFonts w:ascii="Times New Roman" w:hAnsi="Times New Roman"/>
          <w:szCs w:val="22"/>
        </w:rPr>
        <w:t>o</w:t>
      </w:r>
      <w:r w:rsidR="007230FC">
        <w:rPr>
          <w:rFonts w:ascii="Times New Roman" w:hAnsi="Times New Roman"/>
          <w:szCs w:val="22"/>
        </w:rPr>
        <w:t> </w:t>
      </w:r>
      <w:r w:rsidR="00D54281">
        <w:rPr>
          <w:rFonts w:ascii="Times New Roman" w:hAnsi="Times New Roman"/>
          <w:szCs w:val="22"/>
        </w:rPr>
        <w:t>103</w:t>
      </w:r>
      <w:r w:rsidR="007230FC">
        <w:rPr>
          <w:rFonts w:ascii="Times New Roman" w:hAnsi="Times New Roman"/>
          <w:szCs w:val="22"/>
        </w:rPr>
        <w:t> </w:t>
      </w:r>
      <w:r w:rsidR="00D54281">
        <w:rPr>
          <w:rFonts w:ascii="Times New Roman" w:hAnsi="Times New Roman"/>
          <w:szCs w:val="22"/>
        </w:rPr>
        <w:t>222</w:t>
      </w:r>
      <w:r w:rsidRPr="00907622">
        <w:rPr>
          <w:rFonts w:ascii="Times New Roman" w:hAnsi="Times New Roman"/>
          <w:szCs w:val="22"/>
        </w:rPr>
        <w:t> tis. eur.</w:t>
      </w:r>
    </w:p>
    <w:p w14:paraId="1C46F345" w14:textId="2EF0505F" w:rsidR="00647542" w:rsidRPr="00907622" w:rsidRDefault="00647542" w:rsidP="009E3C89">
      <w:pPr>
        <w:spacing w:after="120" w:line="240" w:lineRule="auto"/>
        <w:jc w:val="both"/>
        <w:rPr>
          <w:rFonts w:ascii="Times New Roman" w:hAnsi="Times New Roman"/>
          <w:szCs w:val="22"/>
        </w:rPr>
      </w:pPr>
      <w:r w:rsidRPr="00907622">
        <w:rPr>
          <w:rFonts w:ascii="Times New Roman" w:hAnsi="Times New Roman"/>
          <w:i/>
          <w:szCs w:val="22"/>
          <w:u w:val="single"/>
        </w:rPr>
        <w:t>Záväzky zo sociálneho a zdravotného poistenia</w:t>
      </w:r>
      <w:r w:rsidRPr="00907622">
        <w:rPr>
          <w:rFonts w:ascii="Times New Roman" w:hAnsi="Times New Roman"/>
          <w:szCs w:val="22"/>
        </w:rPr>
        <w:t xml:space="preserve"> po čiastočnej konsolidácii v súhrnnom celku dosiahli </w:t>
      </w:r>
      <w:r w:rsidR="00A62374">
        <w:rPr>
          <w:rFonts w:ascii="Times New Roman" w:hAnsi="Times New Roman"/>
          <w:szCs w:val="22"/>
        </w:rPr>
        <w:t>837</w:t>
      </w:r>
      <w:r w:rsidR="007230FC">
        <w:rPr>
          <w:rFonts w:ascii="Times New Roman" w:hAnsi="Times New Roman"/>
          <w:szCs w:val="22"/>
        </w:rPr>
        <w:t> </w:t>
      </w:r>
      <w:r w:rsidR="00A62374">
        <w:rPr>
          <w:rFonts w:ascii="Times New Roman" w:hAnsi="Times New Roman"/>
          <w:szCs w:val="22"/>
        </w:rPr>
        <w:t>50</w:t>
      </w:r>
      <w:r w:rsidR="002504E7">
        <w:rPr>
          <w:rFonts w:ascii="Times New Roman" w:hAnsi="Times New Roman"/>
          <w:szCs w:val="22"/>
        </w:rPr>
        <w:t>2</w:t>
      </w:r>
      <w:r w:rsidRPr="00907622">
        <w:rPr>
          <w:rFonts w:ascii="Times New Roman" w:hAnsi="Times New Roman"/>
          <w:szCs w:val="22"/>
        </w:rPr>
        <w:t xml:space="preserve"> tis. eur, z toho ústredná správa vykázala </w:t>
      </w:r>
      <w:r w:rsidR="00855C22">
        <w:rPr>
          <w:rFonts w:ascii="Times New Roman" w:hAnsi="Times New Roman"/>
          <w:szCs w:val="22"/>
        </w:rPr>
        <w:t>596</w:t>
      </w:r>
      <w:r w:rsidR="007230FC">
        <w:rPr>
          <w:rFonts w:ascii="Times New Roman" w:hAnsi="Times New Roman"/>
          <w:szCs w:val="22"/>
        </w:rPr>
        <w:t> </w:t>
      </w:r>
      <w:r w:rsidR="00855C22">
        <w:rPr>
          <w:rFonts w:ascii="Times New Roman" w:hAnsi="Times New Roman"/>
          <w:szCs w:val="22"/>
        </w:rPr>
        <w:t>611</w:t>
      </w:r>
      <w:r w:rsidRPr="00907622">
        <w:rPr>
          <w:rFonts w:ascii="Times New Roman" w:hAnsi="Times New Roman"/>
          <w:szCs w:val="22"/>
        </w:rPr>
        <w:t xml:space="preserve"> tis. eur, územná samospráva </w:t>
      </w:r>
      <w:r w:rsidR="00E34AFC">
        <w:rPr>
          <w:rFonts w:ascii="Times New Roman" w:hAnsi="Times New Roman"/>
          <w:szCs w:val="22"/>
        </w:rPr>
        <w:t>203</w:t>
      </w:r>
      <w:r w:rsidR="007230FC">
        <w:rPr>
          <w:rFonts w:ascii="Times New Roman" w:hAnsi="Times New Roman"/>
          <w:szCs w:val="22"/>
        </w:rPr>
        <w:t> </w:t>
      </w:r>
      <w:r w:rsidR="00E34AFC">
        <w:rPr>
          <w:rFonts w:ascii="Times New Roman" w:hAnsi="Times New Roman"/>
          <w:szCs w:val="22"/>
        </w:rPr>
        <w:t>306</w:t>
      </w:r>
      <w:r w:rsidRPr="00907622">
        <w:rPr>
          <w:rFonts w:ascii="Times New Roman" w:hAnsi="Times New Roman"/>
          <w:szCs w:val="22"/>
        </w:rPr>
        <w:t xml:space="preserve"> tis. eur a ostatné subjekty </w:t>
      </w:r>
      <w:r w:rsidR="00E34AFC">
        <w:rPr>
          <w:rFonts w:ascii="Times New Roman" w:hAnsi="Times New Roman"/>
          <w:szCs w:val="22"/>
        </w:rPr>
        <w:t>3</w:t>
      </w:r>
      <w:r w:rsidR="007230FC">
        <w:rPr>
          <w:rFonts w:ascii="Times New Roman" w:hAnsi="Times New Roman"/>
          <w:szCs w:val="22"/>
        </w:rPr>
        <w:t> </w:t>
      </w:r>
      <w:r w:rsidR="00E34AFC">
        <w:rPr>
          <w:rFonts w:ascii="Times New Roman" w:hAnsi="Times New Roman"/>
          <w:szCs w:val="22"/>
        </w:rPr>
        <w:t>586</w:t>
      </w:r>
      <w:r w:rsidRPr="00907622">
        <w:rPr>
          <w:rFonts w:ascii="Times New Roman" w:hAnsi="Times New Roman"/>
          <w:szCs w:val="22"/>
        </w:rPr>
        <w:t xml:space="preserve"> tis. eur, za súčasnej eliminácie záväzkov voči Všeobecnej zdravotnej poisťovni, a.s. v hodnote </w:t>
      </w:r>
      <w:r w:rsidR="00E36047">
        <w:rPr>
          <w:rFonts w:ascii="Times New Roman" w:hAnsi="Times New Roman"/>
          <w:szCs w:val="22"/>
        </w:rPr>
        <w:t>29 927</w:t>
      </w:r>
      <w:r w:rsidRPr="00907622">
        <w:rPr>
          <w:rFonts w:ascii="Times New Roman" w:hAnsi="Times New Roman"/>
          <w:szCs w:val="22"/>
        </w:rPr>
        <w:t> tis. eur. Na medziročnom náraste týchto záväzkov o</w:t>
      </w:r>
      <w:r w:rsidR="007230FC">
        <w:rPr>
          <w:rFonts w:ascii="Times New Roman" w:hAnsi="Times New Roman"/>
          <w:szCs w:val="22"/>
        </w:rPr>
        <w:t xml:space="preserve"> </w:t>
      </w:r>
      <w:r w:rsidR="00DE5A3D">
        <w:rPr>
          <w:rFonts w:ascii="Times New Roman" w:hAnsi="Times New Roman"/>
          <w:szCs w:val="22"/>
        </w:rPr>
        <w:t>80</w:t>
      </w:r>
      <w:r w:rsidR="007230FC">
        <w:rPr>
          <w:rFonts w:ascii="Times New Roman" w:hAnsi="Times New Roman"/>
          <w:szCs w:val="22"/>
        </w:rPr>
        <w:t> </w:t>
      </w:r>
      <w:r w:rsidR="00DE5A3D">
        <w:rPr>
          <w:rFonts w:ascii="Times New Roman" w:hAnsi="Times New Roman"/>
          <w:szCs w:val="22"/>
        </w:rPr>
        <w:t>733</w:t>
      </w:r>
      <w:r w:rsidRPr="00907622">
        <w:rPr>
          <w:rFonts w:ascii="Times New Roman" w:hAnsi="Times New Roman"/>
          <w:szCs w:val="22"/>
        </w:rPr>
        <w:t> tis. eur sa podieľala najmä ústredná správa (o </w:t>
      </w:r>
      <w:r w:rsidR="009870C1" w:rsidRPr="0085799C">
        <w:rPr>
          <w:rFonts w:ascii="Times New Roman" w:hAnsi="Times New Roman"/>
          <w:szCs w:val="22"/>
        </w:rPr>
        <w:t>3</w:t>
      </w:r>
      <w:r w:rsidR="00AE65C8" w:rsidRPr="009870C1">
        <w:rPr>
          <w:rFonts w:ascii="Times New Roman" w:hAnsi="Times New Roman"/>
          <w:szCs w:val="22"/>
        </w:rPr>
        <w:t>7</w:t>
      </w:r>
      <w:r w:rsidR="007230FC">
        <w:rPr>
          <w:rFonts w:ascii="Times New Roman" w:hAnsi="Times New Roman"/>
          <w:szCs w:val="22"/>
        </w:rPr>
        <w:t> </w:t>
      </w:r>
      <w:r w:rsidR="00AE65C8" w:rsidRPr="009870C1">
        <w:rPr>
          <w:rFonts w:ascii="Times New Roman" w:hAnsi="Times New Roman"/>
          <w:szCs w:val="22"/>
        </w:rPr>
        <w:t>699</w:t>
      </w:r>
      <w:r w:rsidRPr="00907622">
        <w:rPr>
          <w:rFonts w:ascii="Times New Roman" w:hAnsi="Times New Roman"/>
          <w:szCs w:val="22"/>
        </w:rPr>
        <w:t> tis. eur).</w:t>
      </w:r>
    </w:p>
    <w:p w14:paraId="68EF6BEA" w14:textId="06F1F9A6" w:rsidR="00647542" w:rsidRPr="00907622" w:rsidRDefault="00647542" w:rsidP="0085799C">
      <w:pPr>
        <w:spacing w:after="120" w:line="240" w:lineRule="auto"/>
        <w:jc w:val="both"/>
        <w:rPr>
          <w:rFonts w:ascii="Times New Roman" w:hAnsi="Times New Roman"/>
          <w:i/>
          <w:szCs w:val="22"/>
          <w:highlight w:val="yellow"/>
          <w:u w:val="single"/>
        </w:rPr>
      </w:pPr>
      <w:r w:rsidRPr="00907622">
        <w:rPr>
          <w:rFonts w:ascii="Times New Roman" w:hAnsi="Times New Roman"/>
          <w:i/>
          <w:szCs w:val="22"/>
          <w:u w:val="single"/>
        </w:rPr>
        <w:t>Vzťahy k účtom Štátnej pokladnice</w:t>
      </w:r>
      <w:r w:rsidRPr="00907622">
        <w:rPr>
          <w:rFonts w:ascii="Times New Roman" w:hAnsi="Times New Roman"/>
          <w:szCs w:val="22"/>
        </w:rPr>
        <w:t xml:space="preserve"> predstavujú záväzky z uložených prostriedkov dobrovoľných klientov, ktoré boli medziročne </w:t>
      </w:r>
      <w:r w:rsidR="00263C55">
        <w:rPr>
          <w:rFonts w:ascii="Times New Roman" w:hAnsi="Times New Roman"/>
          <w:szCs w:val="22"/>
        </w:rPr>
        <w:t>niž</w:t>
      </w:r>
      <w:r w:rsidRPr="00907622">
        <w:rPr>
          <w:rFonts w:ascii="Times New Roman" w:hAnsi="Times New Roman"/>
          <w:szCs w:val="22"/>
        </w:rPr>
        <w:t>šie o</w:t>
      </w:r>
      <w:r w:rsidR="007230FC">
        <w:rPr>
          <w:rFonts w:ascii="Times New Roman" w:hAnsi="Times New Roman"/>
          <w:szCs w:val="22"/>
        </w:rPr>
        <w:t> </w:t>
      </w:r>
      <w:r w:rsidR="001A6B3C">
        <w:rPr>
          <w:rFonts w:ascii="Times New Roman" w:hAnsi="Times New Roman"/>
          <w:szCs w:val="22"/>
        </w:rPr>
        <w:t>41</w:t>
      </w:r>
      <w:r w:rsidR="007230FC">
        <w:rPr>
          <w:rFonts w:ascii="Times New Roman" w:hAnsi="Times New Roman"/>
          <w:szCs w:val="22"/>
        </w:rPr>
        <w:t> </w:t>
      </w:r>
      <w:r w:rsidR="001A6B3C">
        <w:rPr>
          <w:rFonts w:ascii="Times New Roman" w:hAnsi="Times New Roman"/>
          <w:szCs w:val="22"/>
        </w:rPr>
        <w:t>908</w:t>
      </w:r>
      <w:r w:rsidRPr="00907622">
        <w:rPr>
          <w:rFonts w:ascii="Times New Roman" w:hAnsi="Times New Roman"/>
          <w:szCs w:val="22"/>
        </w:rPr>
        <w:t> tis. eur.</w:t>
      </w:r>
    </w:p>
    <w:p w14:paraId="440BE5A5" w14:textId="4E011E72" w:rsidR="00647542" w:rsidRPr="00907622" w:rsidRDefault="00647542" w:rsidP="0085799C">
      <w:pPr>
        <w:spacing w:after="120" w:line="240" w:lineRule="auto"/>
        <w:jc w:val="both"/>
        <w:rPr>
          <w:rFonts w:ascii="Times New Roman" w:hAnsi="Times New Roman"/>
          <w:szCs w:val="22"/>
        </w:rPr>
      </w:pPr>
      <w:r w:rsidRPr="00907622">
        <w:rPr>
          <w:rFonts w:ascii="Times New Roman" w:hAnsi="Times New Roman"/>
          <w:i/>
          <w:szCs w:val="22"/>
          <w:u w:val="single"/>
        </w:rPr>
        <w:t>Záväzky SZRB, a.s.</w:t>
      </w:r>
      <w:r w:rsidRPr="00907622">
        <w:rPr>
          <w:rFonts w:ascii="Times New Roman" w:hAnsi="Times New Roman"/>
          <w:szCs w:val="22"/>
        </w:rPr>
        <w:t xml:space="preserve"> predstavujú záväzky voči bankám a voči klientom, ktorí majú uložené peňažné prostriedky v</w:t>
      </w:r>
      <w:r w:rsidR="007230FC">
        <w:rPr>
          <w:rFonts w:ascii="Times New Roman" w:hAnsi="Times New Roman"/>
          <w:szCs w:val="22"/>
        </w:rPr>
        <w:t xml:space="preserve"> </w:t>
      </w:r>
      <w:r w:rsidRPr="00907622">
        <w:rPr>
          <w:rFonts w:ascii="Times New Roman" w:hAnsi="Times New Roman"/>
          <w:szCs w:val="22"/>
        </w:rPr>
        <w:t>SZRB, a.s. vo forme bežných a termínovaných účtov.</w:t>
      </w:r>
      <w:r w:rsidR="008B337F">
        <w:rPr>
          <w:rFonts w:ascii="Times New Roman" w:hAnsi="Times New Roman"/>
          <w:szCs w:val="22"/>
        </w:rPr>
        <w:t xml:space="preserve"> Celková výška vykazovaných krátkodobých </w:t>
      </w:r>
      <w:r w:rsidR="00D6641A">
        <w:rPr>
          <w:rFonts w:ascii="Times New Roman" w:hAnsi="Times New Roman"/>
          <w:szCs w:val="22"/>
        </w:rPr>
        <w:t>záväzkov</w:t>
      </w:r>
      <w:r w:rsidR="008B337F">
        <w:rPr>
          <w:rFonts w:ascii="Times New Roman" w:hAnsi="Times New Roman"/>
          <w:szCs w:val="22"/>
        </w:rPr>
        <w:t xml:space="preserve"> </w:t>
      </w:r>
      <w:r w:rsidR="005F4ECC">
        <w:rPr>
          <w:rFonts w:ascii="Times New Roman" w:hAnsi="Times New Roman"/>
          <w:szCs w:val="22"/>
        </w:rPr>
        <w:t>je v hodnote 173</w:t>
      </w:r>
      <w:r w:rsidR="007230FC">
        <w:rPr>
          <w:rFonts w:ascii="Times New Roman" w:hAnsi="Times New Roman"/>
          <w:szCs w:val="22"/>
        </w:rPr>
        <w:t> </w:t>
      </w:r>
      <w:r w:rsidR="005F4ECC">
        <w:rPr>
          <w:rFonts w:ascii="Times New Roman" w:hAnsi="Times New Roman"/>
          <w:szCs w:val="22"/>
        </w:rPr>
        <w:t>645</w:t>
      </w:r>
      <w:r w:rsidR="007230FC">
        <w:rPr>
          <w:rFonts w:ascii="Times New Roman" w:hAnsi="Times New Roman"/>
          <w:szCs w:val="22"/>
        </w:rPr>
        <w:t> </w:t>
      </w:r>
      <w:r w:rsidR="005F4ECC">
        <w:rPr>
          <w:rFonts w:ascii="Times New Roman" w:hAnsi="Times New Roman"/>
          <w:szCs w:val="22"/>
        </w:rPr>
        <w:t>tis.</w:t>
      </w:r>
      <w:r w:rsidR="007230FC">
        <w:rPr>
          <w:rFonts w:ascii="Times New Roman" w:hAnsi="Times New Roman"/>
          <w:szCs w:val="22"/>
        </w:rPr>
        <w:t> </w:t>
      </w:r>
      <w:r w:rsidR="005F4ECC">
        <w:rPr>
          <w:rFonts w:ascii="Times New Roman" w:hAnsi="Times New Roman"/>
          <w:szCs w:val="22"/>
        </w:rPr>
        <w:t>eur.</w:t>
      </w:r>
    </w:p>
    <w:p w14:paraId="66B2FCF0" w14:textId="6821B8AB" w:rsidR="00647542" w:rsidRPr="00907622" w:rsidRDefault="00647542" w:rsidP="009E3C89">
      <w:pPr>
        <w:spacing w:after="120" w:line="240" w:lineRule="auto"/>
        <w:jc w:val="both"/>
        <w:rPr>
          <w:rFonts w:ascii="Times New Roman" w:hAnsi="Times New Roman"/>
          <w:szCs w:val="22"/>
        </w:rPr>
      </w:pPr>
      <w:r w:rsidRPr="00907622">
        <w:rPr>
          <w:rFonts w:ascii="Times New Roman" w:hAnsi="Times New Roman"/>
          <w:i/>
          <w:szCs w:val="22"/>
          <w:u w:val="single"/>
        </w:rPr>
        <w:t>Záväzky z transferov prijatých od subjektov mimo verejnej správy</w:t>
      </w:r>
      <w:r w:rsidRPr="00907622">
        <w:rPr>
          <w:rFonts w:ascii="Times New Roman" w:hAnsi="Times New Roman"/>
          <w:szCs w:val="22"/>
        </w:rPr>
        <w:t xml:space="preserve"> (a zároveň potenciálne od subjektov mimo súhrnného celku) dosiahli </w:t>
      </w:r>
      <w:r w:rsidR="0009379D">
        <w:rPr>
          <w:rFonts w:ascii="Times New Roman" w:hAnsi="Times New Roman"/>
          <w:szCs w:val="22"/>
        </w:rPr>
        <w:t>293</w:t>
      </w:r>
      <w:r w:rsidR="007230FC">
        <w:rPr>
          <w:rFonts w:ascii="Times New Roman" w:hAnsi="Times New Roman"/>
          <w:szCs w:val="22"/>
        </w:rPr>
        <w:t> </w:t>
      </w:r>
      <w:r w:rsidR="0009379D">
        <w:rPr>
          <w:rFonts w:ascii="Times New Roman" w:hAnsi="Times New Roman"/>
          <w:szCs w:val="22"/>
        </w:rPr>
        <w:t>020</w:t>
      </w:r>
      <w:r w:rsidRPr="00907622">
        <w:rPr>
          <w:rFonts w:ascii="Times New Roman" w:hAnsi="Times New Roman"/>
          <w:szCs w:val="22"/>
        </w:rPr>
        <w:t> tis. eur a medziročne sa zvýšili o</w:t>
      </w:r>
      <w:r w:rsidR="007230FC">
        <w:rPr>
          <w:rFonts w:ascii="Times New Roman" w:hAnsi="Times New Roman"/>
          <w:szCs w:val="22"/>
        </w:rPr>
        <w:t xml:space="preserve"> </w:t>
      </w:r>
      <w:r w:rsidR="0009379D">
        <w:rPr>
          <w:rFonts w:ascii="Times New Roman" w:hAnsi="Times New Roman"/>
          <w:szCs w:val="22"/>
        </w:rPr>
        <w:t>7</w:t>
      </w:r>
      <w:r w:rsidR="007230FC">
        <w:rPr>
          <w:rFonts w:ascii="Times New Roman" w:hAnsi="Times New Roman"/>
          <w:szCs w:val="22"/>
        </w:rPr>
        <w:t> </w:t>
      </w:r>
      <w:r w:rsidR="0009379D">
        <w:rPr>
          <w:rFonts w:ascii="Times New Roman" w:hAnsi="Times New Roman"/>
          <w:szCs w:val="22"/>
        </w:rPr>
        <w:t>036</w:t>
      </w:r>
      <w:r w:rsidRPr="00907622">
        <w:rPr>
          <w:rFonts w:ascii="Times New Roman" w:hAnsi="Times New Roman"/>
          <w:szCs w:val="22"/>
        </w:rPr>
        <w:t> tis. eur. Významnú</w:t>
      </w:r>
      <w:r w:rsidR="007230FC">
        <w:rPr>
          <w:rFonts w:ascii="Times New Roman" w:hAnsi="Times New Roman"/>
          <w:szCs w:val="22"/>
        </w:rPr>
        <w:t xml:space="preserve"> </w:t>
      </w:r>
      <w:r w:rsidRPr="00907622">
        <w:rPr>
          <w:rFonts w:ascii="Times New Roman" w:hAnsi="Times New Roman"/>
          <w:szCs w:val="22"/>
        </w:rPr>
        <w:t>časť tvor</w:t>
      </w:r>
      <w:r w:rsidR="005B1B42">
        <w:rPr>
          <w:rFonts w:ascii="Times New Roman" w:hAnsi="Times New Roman"/>
          <w:szCs w:val="22"/>
        </w:rPr>
        <w:t>í</w:t>
      </w:r>
      <w:r w:rsidRPr="00907622">
        <w:rPr>
          <w:rFonts w:ascii="Times New Roman" w:hAnsi="Times New Roman"/>
          <w:szCs w:val="22"/>
        </w:rPr>
        <w:t xml:space="preserve"> opäť ústredná správa </w:t>
      </w:r>
      <w:r w:rsidR="00E44A71">
        <w:rPr>
          <w:rFonts w:ascii="Times New Roman" w:hAnsi="Times New Roman"/>
          <w:szCs w:val="22"/>
        </w:rPr>
        <w:t>255</w:t>
      </w:r>
      <w:r w:rsidR="007230FC">
        <w:rPr>
          <w:rFonts w:ascii="Times New Roman" w:hAnsi="Times New Roman"/>
          <w:szCs w:val="22"/>
        </w:rPr>
        <w:t> </w:t>
      </w:r>
      <w:r w:rsidR="00E44A71">
        <w:rPr>
          <w:rFonts w:ascii="Times New Roman" w:hAnsi="Times New Roman"/>
          <w:szCs w:val="22"/>
        </w:rPr>
        <w:t>565</w:t>
      </w:r>
      <w:r w:rsidRPr="00907622">
        <w:rPr>
          <w:rFonts w:ascii="Times New Roman" w:hAnsi="Times New Roman"/>
          <w:szCs w:val="22"/>
        </w:rPr>
        <w:t> tis. eur</w:t>
      </w:r>
      <w:r w:rsidR="005B1B42">
        <w:rPr>
          <w:rFonts w:ascii="Times New Roman" w:hAnsi="Times New Roman"/>
          <w:szCs w:val="22"/>
        </w:rPr>
        <w:t xml:space="preserve">, a v rámci nej </w:t>
      </w:r>
      <w:r w:rsidRPr="00907622">
        <w:rPr>
          <w:rFonts w:ascii="Times New Roman" w:hAnsi="Times New Roman"/>
          <w:szCs w:val="22"/>
        </w:rPr>
        <w:t xml:space="preserve">ide </w:t>
      </w:r>
      <w:r w:rsidR="00D87F0E">
        <w:rPr>
          <w:rFonts w:ascii="Times New Roman" w:hAnsi="Times New Roman"/>
          <w:szCs w:val="22"/>
        </w:rPr>
        <w:t>najmä</w:t>
      </w:r>
      <w:r w:rsidR="00D87F0E" w:rsidRPr="00E463B9">
        <w:rPr>
          <w:rFonts w:ascii="Times New Roman" w:hAnsi="Times New Roman"/>
          <w:szCs w:val="22"/>
        </w:rPr>
        <w:t xml:space="preserve"> </w:t>
      </w:r>
      <w:r w:rsidRPr="00907622">
        <w:rPr>
          <w:rFonts w:ascii="Times New Roman" w:hAnsi="Times New Roman"/>
          <w:szCs w:val="22"/>
        </w:rPr>
        <w:t>o Environmentálny fond (</w:t>
      </w:r>
      <w:r w:rsidR="00AC4DA6">
        <w:rPr>
          <w:rFonts w:ascii="Times New Roman" w:hAnsi="Times New Roman"/>
          <w:szCs w:val="22"/>
        </w:rPr>
        <w:t>124</w:t>
      </w:r>
      <w:r w:rsidR="007230FC">
        <w:rPr>
          <w:rFonts w:ascii="Times New Roman" w:hAnsi="Times New Roman"/>
          <w:szCs w:val="22"/>
        </w:rPr>
        <w:t> </w:t>
      </w:r>
      <w:r w:rsidR="00AC4DA6">
        <w:rPr>
          <w:rFonts w:ascii="Times New Roman" w:hAnsi="Times New Roman"/>
          <w:szCs w:val="22"/>
        </w:rPr>
        <w:t>951</w:t>
      </w:r>
      <w:r w:rsidRPr="00907622">
        <w:rPr>
          <w:rFonts w:ascii="Times New Roman" w:hAnsi="Times New Roman"/>
          <w:szCs w:val="22"/>
        </w:rPr>
        <w:t> tis. eur) a</w:t>
      </w:r>
      <w:r w:rsidR="007230FC">
        <w:rPr>
          <w:rFonts w:ascii="Times New Roman" w:hAnsi="Times New Roman"/>
          <w:szCs w:val="22"/>
        </w:rPr>
        <w:t xml:space="preserve"> </w:t>
      </w:r>
      <w:r w:rsidRPr="00907622">
        <w:rPr>
          <w:rFonts w:ascii="Times New Roman" w:hAnsi="Times New Roman"/>
          <w:szCs w:val="22"/>
        </w:rPr>
        <w:t>Ministerstvo vnútra SR (</w:t>
      </w:r>
      <w:r w:rsidR="00AC4DA6">
        <w:rPr>
          <w:rFonts w:ascii="Times New Roman" w:hAnsi="Times New Roman"/>
          <w:szCs w:val="22"/>
        </w:rPr>
        <w:t>97</w:t>
      </w:r>
      <w:r w:rsidR="007230FC">
        <w:rPr>
          <w:rFonts w:ascii="Times New Roman" w:hAnsi="Times New Roman"/>
          <w:szCs w:val="22"/>
        </w:rPr>
        <w:t> </w:t>
      </w:r>
      <w:r w:rsidR="00AC4DA6">
        <w:rPr>
          <w:rFonts w:ascii="Times New Roman" w:hAnsi="Times New Roman"/>
          <w:szCs w:val="22"/>
        </w:rPr>
        <w:t>783</w:t>
      </w:r>
      <w:r w:rsidRPr="00907622">
        <w:rPr>
          <w:rFonts w:ascii="Times New Roman" w:hAnsi="Times New Roman"/>
          <w:szCs w:val="22"/>
        </w:rPr>
        <w:t> tis. eur). Environmentálny fond vykazuje účelovo prijaté prostriedky z Modernizačného fondu, ktoré neboli v plnej miere</w:t>
      </w:r>
      <w:r w:rsidR="001804DD">
        <w:rPr>
          <w:rFonts w:ascii="Times New Roman" w:hAnsi="Times New Roman"/>
          <w:szCs w:val="22"/>
        </w:rPr>
        <w:t xml:space="preserve"> v danom roku </w:t>
      </w:r>
      <w:r w:rsidRPr="00907622">
        <w:rPr>
          <w:rFonts w:ascii="Times New Roman" w:hAnsi="Times New Roman"/>
          <w:szCs w:val="22"/>
        </w:rPr>
        <w:t>použité na podporu investícií v</w:t>
      </w:r>
      <w:r w:rsidR="007230FC">
        <w:rPr>
          <w:rFonts w:ascii="Times New Roman" w:hAnsi="Times New Roman"/>
          <w:szCs w:val="22"/>
        </w:rPr>
        <w:t xml:space="preserve"> </w:t>
      </w:r>
      <w:r w:rsidRPr="00907622">
        <w:rPr>
          <w:rFonts w:ascii="Times New Roman" w:hAnsi="Times New Roman"/>
          <w:szCs w:val="22"/>
        </w:rPr>
        <w:t>oblasti klimatickej neutrality, v súlade s cieľmi Európskej únie a</w:t>
      </w:r>
      <w:r w:rsidR="007230FC">
        <w:rPr>
          <w:rFonts w:ascii="Times New Roman" w:hAnsi="Times New Roman"/>
          <w:szCs w:val="22"/>
        </w:rPr>
        <w:t xml:space="preserve"> </w:t>
      </w:r>
      <w:r w:rsidRPr="00907622">
        <w:rPr>
          <w:rFonts w:ascii="Times New Roman" w:hAnsi="Times New Roman"/>
          <w:szCs w:val="22"/>
        </w:rPr>
        <w:t>Parížskou dohodou o zmene klímy. Ministerstvo vnútra SR vykazuje záväzky z prijatých prostriedkov od zahraničných subjektov iných ako medzinárodná organizácia, prijaté a nezúčtované prostriedky od medzinárodných organizácií a</w:t>
      </w:r>
      <w:r w:rsidR="007230FC">
        <w:rPr>
          <w:rFonts w:ascii="Times New Roman" w:hAnsi="Times New Roman"/>
          <w:szCs w:val="22"/>
        </w:rPr>
        <w:t xml:space="preserve"> </w:t>
      </w:r>
      <w:r w:rsidRPr="00907622">
        <w:rPr>
          <w:rFonts w:ascii="Times New Roman" w:hAnsi="Times New Roman"/>
          <w:szCs w:val="22"/>
        </w:rPr>
        <w:t>8 % odvod z povinného zmluvného poistenia vyinkasovaný podľa § 68 zákona č. 39/2015 Z. z. o poisťovníctve a</w:t>
      </w:r>
      <w:r w:rsidR="007230FC">
        <w:rPr>
          <w:rFonts w:ascii="Times New Roman" w:hAnsi="Times New Roman"/>
          <w:szCs w:val="22"/>
        </w:rPr>
        <w:t xml:space="preserve"> </w:t>
      </w:r>
      <w:r w:rsidRPr="00907622">
        <w:rPr>
          <w:rFonts w:ascii="Times New Roman" w:hAnsi="Times New Roman"/>
          <w:szCs w:val="22"/>
        </w:rPr>
        <w:t>o</w:t>
      </w:r>
      <w:r w:rsidR="007230FC">
        <w:rPr>
          <w:rFonts w:ascii="Times New Roman" w:hAnsi="Times New Roman"/>
          <w:szCs w:val="22"/>
        </w:rPr>
        <w:t xml:space="preserve"> </w:t>
      </w:r>
      <w:r w:rsidRPr="00907622">
        <w:rPr>
          <w:rFonts w:ascii="Times New Roman" w:hAnsi="Times New Roman"/>
          <w:szCs w:val="22"/>
        </w:rPr>
        <w:t>zmene a</w:t>
      </w:r>
      <w:r w:rsidR="007230FC">
        <w:rPr>
          <w:rFonts w:ascii="Times New Roman" w:hAnsi="Times New Roman"/>
          <w:szCs w:val="22"/>
        </w:rPr>
        <w:t xml:space="preserve"> </w:t>
      </w:r>
      <w:r w:rsidRPr="00907622">
        <w:rPr>
          <w:rFonts w:ascii="Times New Roman" w:hAnsi="Times New Roman"/>
          <w:szCs w:val="22"/>
        </w:rPr>
        <w:t>doplnení niektorých zákonov.</w:t>
      </w:r>
    </w:p>
    <w:p w14:paraId="1D0DB2B1" w14:textId="241EE5FF" w:rsidR="00647542" w:rsidRPr="00907622" w:rsidRDefault="00647542" w:rsidP="0085799C">
      <w:pPr>
        <w:spacing w:after="120" w:line="240" w:lineRule="auto"/>
        <w:jc w:val="both"/>
        <w:rPr>
          <w:rFonts w:ascii="Times New Roman" w:hAnsi="Times New Roman"/>
          <w:szCs w:val="22"/>
        </w:rPr>
      </w:pPr>
      <w:r w:rsidRPr="00907622">
        <w:rPr>
          <w:rFonts w:ascii="Times New Roman" w:hAnsi="Times New Roman"/>
          <w:i/>
          <w:szCs w:val="22"/>
          <w:u w:val="single"/>
        </w:rPr>
        <w:t>Z hodnoty nevyfakturovaných záväzkov</w:t>
      </w:r>
      <w:r w:rsidRPr="00907622">
        <w:rPr>
          <w:rFonts w:ascii="Times New Roman" w:hAnsi="Times New Roman"/>
          <w:szCs w:val="22"/>
        </w:rPr>
        <w:t xml:space="preserve"> tvorí ústredná správa </w:t>
      </w:r>
      <w:r w:rsidR="00E51555">
        <w:rPr>
          <w:rFonts w:ascii="Times New Roman" w:hAnsi="Times New Roman"/>
          <w:szCs w:val="22"/>
        </w:rPr>
        <w:t>62</w:t>
      </w:r>
      <w:r w:rsidR="007230FC">
        <w:rPr>
          <w:rFonts w:ascii="Times New Roman" w:hAnsi="Times New Roman"/>
          <w:szCs w:val="22"/>
        </w:rPr>
        <w:t> </w:t>
      </w:r>
      <w:r w:rsidR="00E51555">
        <w:rPr>
          <w:rFonts w:ascii="Times New Roman" w:hAnsi="Times New Roman"/>
          <w:szCs w:val="22"/>
        </w:rPr>
        <w:t>224</w:t>
      </w:r>
      <w:r w:rsidRPr="00907622">
        <w:rPr>
          <w:rFonts w:ascii="Times New Roman" w:hAnsi="Times New Roman"/>
          <w:szCs w:val="22"/>
        </w:rPr>
        <w:t xml:space="preserve"> tis. eur, a v rámci nej najmä Národná diaľničná spoločnosť, a.s. </w:t>
      </w:r>
      <w:r w:rsidR="004C376F">
        <w:rPr>
          <w:rFonts w:ascii="Times New Roman" w:hAnsi="Times New Roman"/>
          <w:szCs w:val="22"/>
        </w:rPr>
        <w:t>34</w:t>
      </w:r>
      <w:r w:rsidR="007230FC">
        <w:rPr>
          <w:rFonts w:ascii="Times New Roman" w:hAnsi="Times New Roman"/>
          <w:szCs w:val="22"/>
        </w:rPr>
        <w:t> </w:t>
      </w:r>
      <w:r w:rsidR="004C376F">
        <w:rPr>
          <w:rFonts w:ascii="Times New Roman" w:hAnsi="Times New Roman"/>
          <w:szCs w:val="22"/>
        </w:rPr>
        <w:t>625</w:t>
      </w:r>
      <w:r w:rsidRPr="00907622">
        <w:rPr>
          <w:rFonts w:ascii="Times New Roman" w:hAnsi="Times New Roman"/>
          <w:szCs w:val="22"/>
        </w:rPr>
        <w:t xml:space="preserve"> tis. eur ako záväzky z nevyfakturovaných dodávok v rámci realizovaných investičných akcií spojených so stavebnými prácami na diaľničných úsekoch a úsekoch rýchlostných ciest, nevyfakturovaných služieb súvisiacich s prevádzkou elektronického mýta a iné. </w:t>
      </w:r>
    </w:p>
    <w:p w14:paraId="318CF011" w14:textId="1BA57AB5" w:rsidR="00647542" w:rsidRPr="007253B7" w:rsidRDefault="00647542" w:rsidP="0085799C">
      <w:pPr>
        <w:pStyle w:val="Nadpis3"/>
      </w:pPr>
      <w:r w:rsidRPr="007253B7">
        <w:t>B.IV. Krátkodobé rezervy</w:t>
      </w:r>
    </w:p>
    <w:p w14:paraId="06E285C2" w14:textId="77777777" w:rsidR="00647542" w:rsidRPr="00907622" w:rsidRDefault="00647542" w:rsidP="009E3C89">
      <w:pPr>
        <w:pStyle w:val="Pismenka"/>
        <w:tabs>
          <w:tab w:val="clear" w:pos="426"/>
        </w:tabs>
        <w:spacing w:after="120"/>
        <w:ind w:left="0" w:firstLine="0"/>
        <w:rPr>
          <w:b w:val="0"/>
          <w:bCs w:val="0"/>
          <w:sz w:val="22"/>
          <w:szCs w:val="22"/>
        </w:rPr>
      </w:pPr>
      <w:r w:rsidRPr="00907622">
        <w:rPr>
          <w:b w:val="0"/>
          <w:bCs w:val="0"/>
          <w:sz w:val="22"/>
          <w:szCs w:val="22"/>
        </w:rPr>
        <w:t>Krátkodobé rezervy sa tvoria na také neisté riziká a straty, kde je predpoklad možného budúceho plnenia v časovom horizonte najviac jeden rok.</w:t>
      </w:r>
    </w:p>
    <w:p w14:paraId="3B322530" w14:textId="77777777" w:rsidR="00647542" w:rsidRPr="00907622" w:rsidRDefault="00647542" w:rsidP="00647542">
      <w:pPr>
        <w:pStyle w:val="Pismenka"/>
        <w:tabs>
          <w:tab w:val="clear" w:pos="426"/>
        </w:tabs>
        <w:spacing w:after="120"/>
        <w:ind w:left="0" w:firstLine="0"/>
        <w:rPr>
          <w:b w:val="0"/>
          <w:bCs w:val="0"/>
          <w:color w:val="000000" w:themeColor="text1"/>
          <w:sz w:val="22"/>
          <w:szCs w:val="22"/>
        </w:rPr>
      </w:pPr>
      <w:r w:rsidRPr="00907622">
        <w:rPr>
          <w:b w:val="0"/>
          <w:bCs w:val="0"/>
          <w:sz w:val="22"/>
          <w:szCs w:val="22"/>
        </w:rPr>
        <w:t>Krátkodobé rezervy sa v súhrnnom celku vyt</w:t>
      </w:r>
      <w:r w:rsidRPr="00907622">
        <w:rPr>
          <w:b w:val="0"/>
          <w:bCs w:val="0"/>
          <w:color w:val="000000" w:themeColor="text1"/>
          <w:sz w:val="22"/>
          <w:szCs w:val="22"/>
        </w:rPr>
        <w:t>várajú najmä na:</w:t>
      </w:r>
    </w:p>
    <w:p w14:paraId="0DC987BE" w14:textId="77777777" w:rsidR="00647542" w:rsidRPr="00907622" w:rsidRDefault="00647542" w:rsidP="00647542">
      <w:pPr>
        <w:pStyle w:val="Pismenka"/>
        <w:numPr>
          <w:ilvl w:val="0"/>
          <w:numId w:val="4"/>
        </w:numPr>
        <w:ind w:left="714" w:hanging="357"/>
        <w:rPr>
          <w:b w:val="0"/>
          <w:bCs w:val="0"/>
          <w:color w:val="000000" w:themeColor="text1"/>
          <w:sz w:val="22"/>
          <w:szCs w:val="22"/>
        </w:rPr>
      </w:pPr>
      <w:r w:rsidRPr="00907622">
        <w:rPr>
          <w:b w:val="0"/>
          <w:bCs w:val="0"/>
          <w:color w:val="000000" w:themeColor="text1"/>
          <w:sz w:val="22"/>
          <w:szCs w:val="22"/>
        </w:rPr>
        <w:t>prebiehajúce a hroziace súdne spory,</w:t>
      </w:r>
    </w:p>
    <w:p w14:paraId="07694DAF" w14:textId="77777777" w:rsidR="00647542" w:rsidRPr="00907622" w:rsidRDefault="00647542" w:rsidP="00647542">
      <w:pPr>
        <w:pStyle w:val="Pismenka"/>
        <w:numPr>
          <w:ilvl w:val="0"/>
          <w:numId w:val="4"/>
        </w:numPr>
        <w:ind w:left="714" w:hanging="357"/>
        <w:rPr>
          <w:b w:val="0"/>
          <w:bCs w:val="0"/>
          <w:color w:val="000000" w:themeColor="text1"/>
          <w:sz w:val="22"/>
          <w:szCs w:val="22"/>
        </w:rPr>
      </w:pPr>
      <w:r w:rsidRPr="00907622">
        <w:rPr>
          <w:b w:val="0"/>
          <w:bCs w:val="0"/>
          <w:color w:val="000000" w:themeColor="text1"/>
          <w:sz w:val="22"/>
          <w:szCs w:val="22"/>
        </w:rPr>
        <w:t>nevyfakturované dodávky tovarov a služieb,</w:t>
      </w:r>
    </w:p>
    <w:p w14:paraId="6DD5D4E4" w14:textId="77777777" w:rsidR="00647542" w:rsidRPr="00907622" w:rsidRDefault="00647542" w:rsidP="00647542">
      <w:pPr>
        <w:pStyle w:val="Pismenka"/>
        <w:numPr>
          <w:ilvl w:val="0"/>
          <w:numId w:val="4"/>
        </w:numPr>
        <w:ind w:left="714" w:hanging="357"/>
        <w:rPr>
          <w:b w:val="0"/>
          <w:bCs w:val="0"/>
          <w:color w:val="000000" w:themeColor="text1"/>
          <w:sz w:val="22"/>
          <w:szCs w:val="22"/>
        </w:rPr>
      </w:pPr>
      <w:r w:rsidRPr="00907622">
        <w:rPr>
          <w:b w:val="0"/>
          <w:bCs w:val="0"/>
          <w:color w:val="000000" w:themeColor="text1"/>
          <w:sz w:val="22"/>
          <w:szCs w:val="22"/>
        </w:rPr>
        <w:t>zamestnanecké požitky obchodných spoločností,</w:t>
      </w:r>
    </w:p>
    <w:p w14:paraId="3F551003" w14:textId="77777777" w:rsidR="00647542" w:rsidRPr="00907622" w:rsidRDefault="00647542" w:rsidP="00647542">
      <w:pPr>
        <w:pStyle w:val="Pismenka"/>
        <w:numPr>
          <w:ilvl w:val="0"/>
          <w:numId w:val="4"/>
        </w:numPr>
        <w:ind w:left="714" w:hanging="357"/>
        <w:rPr>
          <w:b w:val="0"/>
          <w:bCs w:val="0"/>
          <w:sz w:val="22"/>
          <w:szCs w:val="22"/>
        </w:rPr>
      </w:pPr>
      <w:r w:rsidRPr="00907622">
        <w:rPr>
          <w:b w:val="0"/>
          <w:bCs w:val="0"/>
          <w:color w:val="000000" w:themeColor="text1"/>
          <w:sz w:val="22"/>
          <w:szCs w:val="22"/>
        </w:rPr>
        <w:t xml:space="preserve">náklady na zostavenie, overenie, zverejnenie </w:t>
      </w:r>
      <w:r w:rsidRPr="00907622">
        <w:rPr>
          <w:b w:val="0"/>
          <w:bCs w:val="0"/>
          <w:sz w:val="22"/>
          <w:szCs w:val="22"/>
        </w:rPr>
        <w:t>účtovnej závierky a výročnej správy</w:t>
      </w:r>
    </w:p>
    <w:p w14:paraId="3D540D32" w14:textId="77777777" w:rsidR="00647542" w:rsidRPr="00907622" w:rsidRDefault="00647542" w:rsidP="00647542">
      <w:pPr>
        <w:pStyle w:val="Pismenka"/>
        <w:numPr>
          <w:ilvl w:val="0"/>
          <w:numId w:val="4"/>
        </w:numPr>
        <w:ind w:left="714" w:hanging="357"/>
        <w:rPr>
          <w:b w:val="0"/>
          <w:bCs w:val="0"/>
          <w:sz w:val="22"/>
          <w:szCs w:val="22"/>
        </w:rPr>
      </w:pPr>
      <w:r w:rsidRPr="00907622">
        <w:rPr>
          <w:b w:val="0"/>
          <w:bCs w:val="0"/>
          <w:sz w:val="22"/>
          <w:szCs w:val="22"/>
        </w:rPr>
        <w:t>náklady súvisiace s odstránením znečistenia životného prostredia a odstránenie odpadov,</w:t>
      </w:r>
    </w:p>
    <w:p w14:paraId="5C8B034A" w14:textId="77777777" w:rsidR="00647542" w:rsidRPr="00907622" w:rsidRDefault="00647542" w:rsidP="00647542">
      <w:pPr>
        <w:pStyle w:val="Pismenka"/>
        <w:numPr>
          <w:ilvl w:val="0"/>
          <w:numId w:val="4"/>
        </w:numPr>
        <w:ind w:left="714" w:hanging="357"/>
        <w:rPr>
          <w:b w:val="0"/>
          <w:bCs w:val="0"/>
          <w:sz w:val="22"/>
          <w:szCs w:val="22"/>
        </w:rPr>
      </w:pPr>
      <w:r w:rsidRPr="00907622">
        <w:rPr>
          <w:b w:val="0"/>
          <w:bCs w:val="0"/>
          <w:sz w:val="22"/>
          <w:szCs w:val="22"/>
        </w:rPr>
        <w:t>rekultiváciu pozemku, uzavretie, rekultiváciu a monitorovanie skládky odpadov po jej uzavretí,</w:t>
      </w:r>
    </w:p>
    <w:p w14:paraId="5C0A1CB3" w14:textId="77777777" w:rsidR="00647542" w:rsidRPr="00907622" w:rsidRDefault="00647542" w:rsidP="00647542">
      <w:pPr>
        <w:pStyle w:val="Pismenka"/>
        <w:numPr>
          <w:ilvl w:val="0"/>
          <w:numId w:val="4"/>
        </w:numPr>
        <w:ind w:left="714" w:hanging="357"/>
        <w:rPr>
          <w:b w:val="0"/>
          <w:bCs w:val="0"/>
          <w:sz w:val="22"/>
          <w:szCs w:val="22"/>
        </w:rPr>
      </w:pPr>
      <w:r w:rsidRPr="00907622">
        <w:rPr>
          <w:b w:val="0"/>
          <w:bCs w:val="0"/>
          <w:sz w:val="22"/>
          <w:szCs w:val="22"/>
        </w:rPr>
        <w:t>špecifické riziká a budúce plnenia niektorých subjektov verejnej správy,</w:t>
      </w:r>
    </w:p>
    <w:p w14:paraId="0AFBF1AC" w14:textId="77777777" w:rsidR="00647542" w:rsidRPr="00907622" w:rsidRDefault="00647542" w:rsidP="00647542">
      <w:pPr>
        <w:pStyle w:val="Pismenka"/>
        <w:numPr>
          <w:ilvl w:val="0"/>
          <w:numId w:val="4"/>
        </w:numPr>
        <w:spacing w:after="120"/>
        <w:ind w:left="714" w:hanging="357"/>
        <w:rPr>
          <w:b w:val="0"/>
          <w:bCs w:val="0"/>
          <w:sz w:val="22"/>
          <w:szCs w:val="22"/>
        </w:rPr>
      </w:pPr>
      <w:r w:rsidRPr="00907622">
        <w:rPr>
          <w:b w:val="0"/>
          <w:bCs w:val="0"/>
          <w:sz w:val="22"/>
          <w:szCs w:val="22"/>
        </w:rPr>
        <w:t>iné budúce povinnosti.</w:t>
      </w:r>
    </w:p>
    <w:p w14:paraId="7E730383" w14:textId="355A919D" w:rsidR="00647542" w:rsidRDefault="00647542" w:rsidP="00647542">
      <w:pPr>
        <w:pStyle w:val="Popis"/>
        <w:keepNext/>
        <w:rPr>
          <w:noProof/>
        </w:rPr>
      </w:pPr>
      <w:r w:rsidRPr="00907622">
        <w:t xml:space="preserve">Tabuľka </w:t>
      </w:r>
      <w:r w:rsidRPr="00907622">
        <w:fldChar w:fldCharType="begin"/>
      </w:r>
      <w:r w:rsidRPr="00907622">
        <w:instrText xml:space="preserve"> SEQ Tabuľka \* ARABIC </w:instrText>
      </w:r>
      <w:r w:rsidRPr="00907622">
        <w:fldChar w:fldCharType="separate"/>
      </w:r>
      <w:r w:rsidRPr="00907622">
        <w:rPr>
          <w:noProof/>
        </w:rPr>
        <w:t>18</w:t>
      </w:r>
      <w:r w:rsidRPr="00907622">
        <w:rPr>
          <w:noProof/>
        </w:rPr>
        <w:fldChar w:fldCharType="end"/>
      </w:r>
    </w:p>
    <w:tbl>
      <w:tblPr>
        <w:tblW w:w="9072" w:type="dxa"/>
        <w:jc w:val="center"/>
        <w:tblCellMar>
          <w:left w:w="70" w:type="dxa"/>
          <w:right w:w="70" w:type="dxa"/>
        </w:tblCellMar>
        <w:tblLook w:val="04A0" w:firstRow="1" w:lastRow="0" w:firstColumn="1" w:lastColumn="0" w:noHBand="0" w:noVBand="1"/>
      </w:tblPr>
      <w:tblGrid>
        <w:gridCol w:w="4997"/>
        <w:gridCol w:w="1359"/>
        <w:gridCol w:w="1359"/>
        <w:gridCol w:w="1357"/>
      </w:tblGrid>
      <w:tr w:rsidR="00C04BA8" w:rsidRPr="00C04BA8" w14:paraId="2433624D" w14:textId="77777777" w:rsidTr="0085799C">
        <w:trPr>
          <w:trHeight w:val="227"/>
          <w:jc w:val="center"/>
        </w:trPr>
        <w:tc>
          <w:tcPr>
            <w:tcW w:w="2754" w:type="pct"/>
            <w:tcBorders>
              <w:top w:val="single" w:sz="8" w:space="0" w:color="auto"/>
              <w:left w:val="nil"/>
              <w:bottom w:val="single" w:sz="8" w:space="0" w:color="auto"/>
              <w:right w:val="nil"/>
            </w:tcBorders>
            <w:shd w:val="clear" w:color="000000" w:fill="F4B084"/>
            <w:noWrap/>
            <w:vAlign w:val="center"/>
            <w:hideMark/>
          </w:tcPr>
          <w:p w14:paraId="21F22134" w14:textId="77777777" w:rsidR="00C04BA8" w:rsidRPr="00C04BA8" w:rsidRDefault="00C04BA8" w:rsidP="00C04BA8">
            <w:pPr>
              <w:spacing w:after="0" w:line="240" w:lineRule="auto"/>
              <w:rPr>
                <w:rFonts w:ascii="Times New Roman" w:hAnsi="Times New Roman"/>
                <w:b/>
                <w:bCs/>
                <w:color w:val="000000"/>
                <w:sz w:val="18"/>
                <w:szCs w:val="18"/>
                <w:lang w:eastAsia="sk-SK"/>
              </w:rPr>
            </w:pPr>
            <w:r w:rsidRPr="00C04BA8">
              <w:rPr>
                <w:rFonts w:ascii="Times New Roman" w:hAnsi="Times New Roman"/>
                <w:b/>
                <w:bCs/>
                <w:color w:val="000000"/>
                <w:sz w:val="18"/>
                <w:szCs w:val="18"/>
                <w:lang w:eastAsia="sk-SK"/>
              </w:rPr>
              <w:t>Krátkodobé rezervy súhrnného celku podľa druhu</w:t>
            </w:r>
          </w:p>
        </w:tc>
        <w:tc>
          <w:tcPr>
            <w:tcW w:w="749" w:type="pct"/>
            <w:tcBorders>
              <w:top w:val="single" w:sz="8" w:space="0" w:color="auto"/>
              <w:left w:val="nil"/>
              <w:bottom w:val="single" w:sz="8" w:space="0" w:color="auto"/>
              <w:right w:val="nil"/>
            </w:tcBorders>
            <w:shd w:val="clear" w:color="000000" w:fill="F4B084"/>
            <w:noWrap/>
            <w:vAlign w:val="center"/>
            <w:hideMark/>
          </w:tcPr>
          <w:p w14:paraId="60F09823" w14:textId="77777777" w:rsidR="00C04BA8" w:rsidRPr="00C04BA8" w:rsidRDefault="00C04BA8" w:rsidP="00C04BA8">
            <w:pPr>
              <w:spacing w:after="0" w:line="240" w:lineRule="auto"/>
              <w:jc w:val="center"/>
              <w:rPr>
                <w:rFonts w:ascii="Times New Roman" w:hAnsi="Times New Roman"/>
                <w:b/>
                <w:bCs/>
                <w:color w:val="000000"/>
                <w:sz w:val="18"/>
                <w:szCs w:val="18"/>
                <w:lang w:eastAsia="sk-SK"/>
              </w:rPr>
            </w:pPr>
            <w:r w:rsidRPr="00C04BA8">
              <w:rPr>
                <w:rFonts w:ascii="Times New Roman" w:hAnsi="Times New Roman"/>
                <w:b/>
                <w:bCs/>
                <w:color w:val="000000"/>
                <w:sz w:val="18"/>
                <w:szCs w:val="18"/>
                <w:lang w:eastAsia="sk-SK"/>
              </w:rPr>
              <w:t> </w:t>
            </w:r>
          </w:p>
        </w:tc>
        <w:tc>
          <w:tcPr>
            <w:tcW w:w="749" w:type="pct"/>
            <w:tcBorders>
              <w:top w:val="single" w:sz="8" w:space="0" w:color="auto"/>
              <w:left w:val="nil"/>
              <w:bottom w:val="single" w:sz="8" w:space="0" w:color="auto"/>
              <w:right w:val="nil"/>
            </w:tcBorders>
            <w:shd w:val="clear" w:color="000000" w:fill="F4B084"/>
            <w:noWrap/>
            <w:vAlign w:val="center"/>
            <w:hideMark/>
          </w:tcPr>
          <w:p w14:paraId="0909652A" w14:textId="77777777" w:rsidR="00C04BA8" w:rsidRPr="00C04BA8" w:rsidRDefault="00C04BA8" w:rsidP="00C04BA8">
            <w:pPr>
              <w:spacing w:after="0" w:line="240" w:lineRule="auto"/>
              <w:jc w:val="center"/>
              <w:rPr>
                <w:rFonts w:ascii="Times New Roman" w:hAnsi="Times New Roman"/>
                <w:b/>
                <w:bCs/>
                <w:color w:val="000000"/>
                <w:sz w:val="18"/>
                <w:szCs w:val="18"/>
                <w:lang w:eastAsia="sk-SK"/>
              </w:rPr>
            </w:pPr>
            <w:r w:rsidRPr="00C04BA8">
              <w:rPr>
                <w:rFonts w:ascii="Times New Roman" w:hAnsi="Times New Roman"/>
                <w:b/>
                <w:bCs/>
                <w:color w:val="000000"/>
                <w:sz w:val="18"/>
                <w:szCs w:val="18"/>
                <w:lang w:eastAsia="sk-SK"/>
              </w:rPr>
              <w:t>(v tis. eur)</w:t>
            </w:r>
          </w:p>
        </w:tc>
        <w:tc>
          <w:tcPr>
            <w:tcW w:w="749" w:type="pct"/>
            <w:tcBorders>
              <w:top w:val="single" w:sz="8" w:space="0" w:color="auto"/>
              <w:left w:val="nil"/>
              <w:bottom w:val="single" w:sz="8" w:space="0" w:color="auto"/>
              <w:right w:val="nil"/>
            </w:tcBorders>
            <w:shd w:val="clear" w:color="000000" w:fill="F4B084"/>
            <w:noWrap/>
            <w:vAlign w:val="center"/>
            <w:hideMark/>
          </w:tcPr>
          <w:p w14:paraId="487AA5B1" w14:textId="77777777" w:rsidR="00C04BA8" w:rsidRPr="00C04BA8" w:rsidRDefault="00C04BA8" w:rsidP="00C04BA8">
            <w:pPr>
              <w:spacing w:after="0" w:line="240" w:lineRule="auto"/>
              <w:jc w:val="center"/>
              <w:rPr>
                <w:rFonts w:ascii="Times New Roman" w:hAnsi="Times New Roman"/>
                <w:b/>
                <w:bCs/>
                <w:color w:val="000000"/>
                <w:sz w:val="18"/>
                <w:szCs w:val="18"/>
                <w:lang w:eastAsia="sk-SK"/>
              </w:rPr>
            </w:pPr>
            <w:r w:rsidRPr="00C04BA8">
              <w:rPr>
                <w:rFonts w:ascii="Times New Roman" w:hAnsi="Times New Roman"/>
                <w:b/>
                <w:bCs/>
                <w:color w:val="000000"/>
                <w:sz w:val="18"/>
                <w:szCs w:val="18"/>
                <w:lang w:eastAsia="sk-SK"/>
              </w:rPr>
              <w:t> </w:t>
            </w:r>
          </w:p>
        </w:tc>
      </w:tr>
      <w:tr w:rsidR="00C04BA8" w:rsidRPr="00C04BA8" w14:paraId="1E665CE9" w14:textId="77777777" w:rsidTr="0085799C">
        <w:trPr>
          <w:trHeight w:val="227"/>
          <w:jc w:val="center"/>
        </w:trPr>
        <w:tc>
          <w:tcPr>
            <w:tcW w:w="2754" w:type="pct"/>
            <w:tcBorders>
              <w:top w:val="nil"/>
              <w:left w:val="nil"/>
              <w:bottom w:val="single" w:sz="8" w:space="0" w:color="auto"/>
              <w:right w:val="nil"/>
            </w:tcBorders>
            <w:shd w:val="clear" w:color="000000" w:fill="BDD7EE"/>
            <w:noWrap/>
            <w:vAlign w:val="center"/>
            <w:hideMark/>
          </w:tcPr>
          <w:p w14:paraId="624EE622" w14:textId="77777777" w:rsidR="00C04BA8" w:rsidRPr="00C04BA8" w:rsidRDefault="00C04BA8" w:rsidP="00C04BA8">
            <w:pPr>
              <w:spacing w:after="0" w:line="240" w:lineRule="auto"/>
              <w:rPr>
                <w:rFonts w:ascii="Times New Roman" w:hAnsi="Times New Roman"/>
                <w:b/>
                <w:bCs/>
                <w:color w:val="000000"/>
                <w:sz w:val="18"/>
                <w:szCs w:val="18"/>
                <w:lang w:eastAsia="sk-SK"/>
              </w:rPr>
            </w:pPr>
            <w:r w:rsidRPr="00C04BA8">
              <w:rPr>
                <w:rFonts w:ascii="Times New Roman" w:hAnsi="Times New Roman"/>
                <w:b/>
                <w:bCs/>
                <w:color w:val="000000"/>
                <w:sz w:val="18"/>
                <w:szCs w:val="18"/>
                <w:lang w:eastAsia="sk-SK"/>
              </w:rPr>
              <w:t>Druh rezerv</w:t>
            </w:r>
          </w:p>
        </w:tc>
        <w:tc>
          <w:tcPr>
            <w:tcW w:w="749" w:type="pct"/>
            <w:tcBorders>
              <w:top w:val="nil"/>
              <w:left w:val="nil"/>
              <w:bottom w:val="single" w:sz="8" w:space="0" w:color="auto"/>
              <w:right w:val="nil"/>
            </w:tcBorders>
            <w:shd w:val="clear" w:color="000000" w:fill="BDD7EE"/>
            <w:noWrap/>
            <w:vAlign w:val="center"/>
            <w:hideMark/>
          </w:tcPr>
          <w:p w14:paraId="07DF8F1B" w14:textId="77777777" w:rsidR="00C04BA8" w:rsidRPr="00C04BA8" w:rsidRDefault="00C04BA8" w:rsidP="00C04BA8">
            <w:pPr>
              <w:spacing w:after="0" w:line="240" w:lineRule="auto"/>
              <w:jc w:val="center"/>
              <w:rPr>
                <w:rFonts w:ascii="Times New Roman" w:hAnsi="Times New Roman"/>
                <w:b/>
                <w:bCs/>
                <w:color w:val="000000"/>
                <w:sz w:val="18"/>
                <w:szCs w:val="18"/>
                <w:lang w:eastAsia="sk-SK"/>
              </w:rPr>
            </w:pPr>
            <w:r w:rsidRPr="00C04BA8">
              <w:rPr>
                <w:rFonts w:ascii="Times New Roman" w:hAnsi="Times New Roman"/>
                <w:b/>
                <w:bCs/>
                <w:color w:val="000000"/>
                <w:sz w:val="18"/>
                <w:szCs w:val="18"/>
                <w:lang w:eastAsia="sk-SK"/>
              </w:rPr>
              <w:t>2024</w:t>
            </w:r>
          </w:p>
        </w:tc>
        <w:tc>
          <w:tcPr>
            <w:tcW w:w="749" w:type="pct"/>
            <w:tcBorders>
              <w:top w:val="nil"/>
              <w:left w:val="nil"/>
              <w:bottom w:val="single" w:sz="8" w:space="0" w:color="auto"/>
              <w:right w:val="nil"/>
            </w:tcBorders>
            <w:shd w:val="clear" w:color="000000" w:fill="BDD7EE"/>
            <w:noWrap/>
            <w:vAlign w:val="center"/>
            <w:hideMark/>
          </w:tcPr>
          <w:p w14:paraId="2681AFBD" w14:textId="77777777" w:rsidR="00C04BA8" w:rsidRPr="00C04BA8" w:rsidRDefault="00C04BA8" w:rsidP="00C04BA8">
            <w:pPr>
              <w:spacing w:after="0" w:line="240" w:lineRule="auto"/>
              <w:jc w:val="center"/>
              <w:rPr>
                <w:rFonts w:ascii="Times New Roman" w:hAnsi="Times New Roman"/>
                <w:b/>
                <w:bCs/>
                <w:color w:val="000000"/>
                <w:sz w:val="18"/>
                <w:szCs w:val="18"/>
                <w:lang w:eastAsia="sk-SK"/>
              </w:rPr>
            </w:pPr>
            <w:r w:rsidRPr="00C04BA8">
              <w:rPr>
                <w:rFonts w:ascii="Times New Roman" w:hAnsi="Times New Roman"/>
                <w:b/>
                <w:bCs/>
                <w:color w:val="000000"/>
                <w:sz w:val="18"/>
                <w:szCs w:val="18"/>
                <w:lang w:eastAsia="sk-SK"/>
              </w:rPr>
              <w:t>2023</w:t>
            </w:r>
          </w:p>
        </w:tc>
        <w:tc>
          <w:tcPr>
            <w:tcW w:w="749" w:type="pct"/>
            <w:tcBorders>
              <w:top w:val="nil"/>
              <w:left w:val="nil"/>
              <w:bottom w:val="single" w:sz="8" w:space="0" w:color="auto"/>
              <w:right w:val="nil"/>
            </w:tcBorders>
            <w:shd w:val="clear" w:color="000000" w:fill="BDD7EE"/>
            <w:vAlign w:val="center"/>
            <w:hideMark/>
          </w:tcPr>
          <w:p w14:paraId="583FB096" w14:textId="77777777" w:rsidR="00C04BA8" w:rsidRPr="00C04BA8" w:rsidRDefault="00C04BA8" w:rsidP="00C04BA8">
            <w:pPr>
              <w:spacing w:after="0" w:line="240" w:lineRule="auto"/>
              <w:jc w:val="center"/>
              <w:rPr>
                <w:rFonts w:ascii="Times New Roman" w:hAnsi="Times New Roman"/>
                <w:b/>
                <w:bCs/>
                <w:color w:val="000000"/>
                <w:sz w:val="18"/>
                <w:szCs w:val="18"/>
                <w:lang w:eastAsia="sk-SK"/>
              </w:rPr>
            </w:pPr>
            <w:r w:rsidRPr="00C04BA8">
              <w:rPr>
                <w:rFonts w:ascii="Times New Roman" w:hAnsi="Times New Roman"/>
                <w:b/>
                <w:bCs/>
                <w:color w:val="000000"/>
                <w:sz w:val="18"/>
                <w:szCs w:val="18"/>
                <w:lang w:eastAsia="sk-SK"/>
              </w:rPr>
              <w:t>Δ 2024-2023</w:t>
            </w:r>
          </w:p>
        </w:tc>
      </w:tr>
      <w:tr w:rsidR="00C04BA8" w:rsidRPr="00C04BA8" w14:paraId="66035D02" w14:textId="77777777" w:rsidTr="0085799C">
        <w:trPr>
          <w:trHeight w:val="227"/>
          <w:jc w:val="center"/>
        </w:trPr>
        <w:tc>
          <w:tcPr>
            <w:tcW w:w="2754" w:type="pct"/>
            <w:tcBorders>
              <w:top w:val="nil"/>
              <w:left w:val="nil"/>
              <w:bottom w:val="nil"/>
              <w:right w:val="nil"/>
            </w:tcBorders>
            <w:vAlign w:val="center"/>
            <w:hideMark/>
          </w:tcPr>
          <w:p w14:paraId="58071821" w14:textId="77777777" w:rsidR="00C04BA8" w:rsidRPr="00C04BA8" w:rsidRDefault="00C04BA8" w:rsidP="00C04BA8">
            <w:pPr>
              <w:spacing w:after="0" w:line="240" w:lineRule="auto"/>
              <w:rPr>
                <w:rFonts w:ascii="Times New Roman" w:hAnsi="Times New Roman"/>
                <w:color w:val="000000"/>
                <w:sz w:val="18"/>
                <w:szCs w:val="18"/>
                <w:lang w:eastAsia="sk-SK"/>
              </w:rPr>
            </w:pPr>
            <w:r w:rsidRPr="00C04BA8">
              <w:rPr>
                <w:rFonts w:ascii="Times New Roman" w:hAnsi="Times New Roman"/>
                <w:color w:val="000000"/>
                <w:sz w:val="18"/>
                <w:szCs w:val="18"/>
                <w:lang w:eastAsia="sk-SK"/>
              </w:rPr>
              <w:t>Krátkodobé ostatné</w:t>
            </w:r>
          </w:p>
        </w:tc>
        <w:tc>
          <w:tcPr>
            <w:tcW w:w="749" w:type="pct"/>
            <w:tcBorders>
              <w:top w:val="nil"/>
              <w:left w:val="nil"/>
              <w:bottom w:val="nil"/>
              <w:right w:val="nil"/>
            </w:tcBorders>
            <w:vAlign w:val="center"/>
            <w:hideMark/>
          </w:tcPr>
          <w:p w14:paraId="2335A0C0" w14:textId="77777777" w:rsidR="00C04BA8" w:rsidRPr="00C04BA8" w:rsidRDefault="00C04BA8" w:rsidP="00C04BA8">
            <w:pPr>
              <w:spacing w:after="0" w:line="240" w:lineRule="auto"/>
              <w:jc w:val="right"/>
              <w:rPr>
                <w:rFonts w:ascii="Times New Roman" w:hAnsi="Times New Roman"/>
                <w:color w:val="000000"/>
                <w:sz w:val="18"/>
                <w:szCs w:val="18"/>
                <w:lang w:eastAsia="sk-SK"/>
              </w:rPr>
            </w:pPr>
            <w:r w:rsidRPr="00C04BA8">
              <w:rPr>
                <w:rFonts w:ascii="Times New Roman" w:hAnsi="Times New Roman"/>
                <w:color w:val="000000"/>
                <w:sz w:val="18"/>
                <w:szCs w:val="18"/>
                <w:lang w:eastAsia="sk-SK"/>
              </w:rPr>
              <w:t>865 476</w:t>
            </w:r>
          </w:p>
        </w:tc>
        <w:tc>
          <w:tcPr>
            <w:tcW w:w="749" w:type="pct"/>
            <w:tcBorders>
              <w:top w:val="nil"/>
              <w:left w:val="nil"/>
              <w:bottom w:val="nil"/>
              <w:right w:val="nil"/>
            </w:tcBorders>
            <w:vAlign w:val="center"/>
            <w:hideMark/>
          </w:tcPr>
          <w:p w14:paraId="5B64BBC4" w14:textId="77777777" w:rsidR="00C04BA8" w:rsidRPr="00C04BA8" w:rsidRDefault="00C04BA8" w:rsidP="00C04BA8">
            <w:pPr>
              <w:spacing w:after="0" w:line="240" w:lineRule="auto"/>
              <w:jc w:val="right"/>
              <w:rPr>
                <w:rFonts w:ascii="Times New Roman" w:hAnsi="Times New Roman"/>
                <w:color w:val="000000"/>
                <w:sz w:val="18"/>
                <w:szCs w:val="18"/>
                <w:lang w:eastAsia="sk-SK"/>
              </w:rPr>
            </w:pPr>
            <w:r w:rsidRPr="00C04BA8">
              <w:rPr>
                <w:rFonts w:ascii="Times New Roman" w:hAnsi="Times New Roman"/>
                <w:color w:val="000000"/>
                <w:sz w:val="18"/>
                <w:szCs w:val="18"/>
                <w:lang w:eastAsia="sk-SK"/>
              </w:rPr>
              <w:t>823 110</w:t>
            </w:r>
          </w:p>
        </w:tc>
        <w:tc>
          <w:tcPr>
            <w:tcW w:w="749" w:type="pct"/>
            <w:tcBorders>
              <w:top w:val="nil"/>
              <w:left w:val="nil"/>
              <w:bottom w:val="nil"/>
              <w:right w:val="nil"/>
            </w:tcBorders>
            <w:vAlign w:val="center"/>
            <w:hideMark/>
          </w:tcPr>
          <w:p w14:paraId="42843C20" w14:textId="77777777" w:rsidR="00C04BA8" w:rsidRPr="00C04BA8" w:rsidRDefault="00C04BA8" w:rsidP="00C04BA8">
            <w:pPr>
              <w:spacing w:after="0" w:line="240" w:lineRule="auto"/>
              <w:jc w:val="right"/>
              <w:rPr>
                <w:rFonts w:ascii="Times New Roman" w:hAnsi="Times New Roman"/>
                <w:color w:val="000000"/>
                <w:sz w:val="18"/>
                <w:szCs w:val="18"/>
                <w:lang w:eastAsia="sk-SK"/>
              </w:rPr>
            </w:pPr>
            <w:r w:rsidRPr="00C04BA8">
              <w:rPr>
                <w:rFonts w:ascii="Times New Roman" w:hAnsi="Times New Roman"/>
                <w:color w:val="000000"/>
                <w:sz w:val="18"/>
                <w:szCs w:val="18"/>
                <w:lang w:eastAsia="sk-SK"/>
              </w:rPr>
              <w:t>42 366</w:t>
            </w:r>
          </w:p>
        </w:tc>
      </w:tr>
      <w:tr w:rsidR="00C04BA8" w:rsidRPr="00C04BA8" w14:paraId="76B40AB6" w14:textId="77777777" w:rsidTr="0085799C">
        <w:trPr>
          <w:trHeight w:val="227"/>
          <w:jc w:val="center"/>
        </w:trPr>
        <w:tc>
          <w:tcPr>
            <w:tcW w:w="2754" w:type="pct"/>
            <w:tcBorders>
              <w:top w:val="nil"/>
              <w:left w:val="nil"/>
              <w:bottom w:val="single" w:sz="8" w:space="0" w:color="auto"/>
              <w:right w:val="nil"/>
            </w:tcBorders>
            <w:vAlign w:val="center"/>
            <w:hideMark/>
          </w:tcPr>
          <w:p w14:paraId="2A13F736" w14:textId="77777777" w:rsidR="00C04BA8" w:rsidRPr="00C04BA8" w:rsidRDefault="00C04BA8" w:rsidP="00C04BA8">
            <w:pPr>
              <w:spacing w:after="0" w:line="240" w:lineRule="auto"/>
              <w:rPr>
                <w:rFonts w:ascii="Times New Roman" w:hAnsi="Times New Roman"/>
                <w:color w:val="000000"/>
                <w:sz w:val="18"/>
                <w:szCs w:val="18"/>
                <w:lang w:eastAsia="sk-SK"/>
              </w:rPr>
            </w:pPr>
            <w:r w:rsidRPr="00C04BA8">
              <w:rPr>
                <w:rFonts w:ascii="Times New Roman" w:hAnsi="Times New Roman"/>
                <w:color w:val="000000"/>
                <w:sz w:val="18"/>
                <w:szCs w:val="18"/>
                <w:lang w:eastAsia="sk-SK"/>
              </w:rPr>
              <w:t>Krátkodobé zákonné</w:t>
            </w:r>
          </w:p>
        </w:tc>
        <w:tc>
          <w:tcPr>
            <w:tcW w:w="749" w:type="pct"/>
            <w:tcBorders>
              <w:top w:val="nil"/>
              <w:left w:val="nil"/>
              <w:bottom w:val="single" w:sz="8" w:space="0" w:color="auto"/>
              <w:right w:val="nil"/>
            </w:tcBorders>
            <w:vAlign w:val="center"/>
            <w:hideMark/>
          </w:tcPr>
          <w:p w14:paraId="5AFF9228" w14:textId="77777777" w:rsidR="00C04BA8" w:rsidRPr="00C04BA8" w:rsidRDefault="00C04BA8" w:rsidP="00C04BA8">
            <w:pPr>
              <w:spacing w:after="0" w:line="240" w:lineRule="auto"/>
              <w:jc w:val="right"/>
              <w:rPr>
                <w:rFonts w:ascii="Times New Roman" w:hAnsi="Times New Roman"/>
                <w:color w:val="000000"/>
                <w:sz w:val="18"/>
                <w:szCs w:val="18"/>
                <w:lang w:eastAsia="sk-SK"/>
              </w:rPr>
            </w:pPr>
            <w:r w:rsidRPr="00C04BA8">
              <w:rPr>
                <w:rFonts w:ascii="Times New Roman" w:hAnsi="Times New Roman"/>
                <w:color w:val="000000"/>
                <w:sz w:val="18"/>
                <w:szCs w:val="18"/>
                <w:lang w:eastAsia="sk-SK"/>
              </w:rPr>
              <w:t>405 987</w:t>
            </w:r>
          </w:p>
        </w:tc>
        <w:tc>
          <w:tcPr>
            <w:tcW w:w="749" w:type="pct"/>
            <w:tcBorders>
              <w:top w:val="nil"/>
              <w:left w:val="nil"/>
              <w:bottom w:val="single" w:sz="8" w:space="0" w:color="auto"/>
              <w:right w:val="nil"/>
            </w:tcBorders>
            <w:vAlign w:val="center"/>
            <w:hideMark/>
          </w:tcPr>
          <w:p w14:paraId="1996E392" w14:textId="77777777" w:rsidR="00C04BA8" w:rsidRPr="00C04BA8" w:rsidRDefault="00C04BA8" w:rsidP="00C04BA8">
            <w:pPr>
              <w:spacing w:after="0" w:line="240" w:lineRule="auto"/>
              <w:jc w:val="right"/>
              <w:rPr>
                <w:rFonts w:ascii="Times New Roman" w:hAnsi="Times New Roman"/>
                <w:color w:val="000000"/>
                <w:sz w:val="18"/>
                <w:szCs w:val="18"/>
                <w:lang w:eastAsia="sk-SK"/>
              </w:rPr>
            </w:pPr>
            <w:r w:rsidRPr="00C04BA8">
              <w:rPr>
                <w:rFonts w:ascii="Times New Roman" w:hAnsi="Times New Roman"/>
                <w:color w:val="000000"/>
                <w:sz w:val="18"/>
                <w:szCs w:val="18"/>
                <w:lang w:eastAsia="sk-SK"/>
              </w:rPr>
              <w:t>382 977</w:t>
            </w:r>
          </w:p>
        </w:tc>
        <w:tc>
          <w:tcPr>
            <w:tcW w:w="749" w:type="pct"/>
            <w:tcBorders>
              <w:top w:val="nil"/>
              <w:left w:val="nil"/>
              <w:bottom w:val="nil"/>
              <w:right w:val="nil"/>
            </w:tcBorders>
            <w:vAlign w:val="center"/>
            <w:hideMark/>
          </w:tcPr>
          <w:p w14:paraId="4CA5261D" w14:textId="77777777" w:rsidR="00C04BA8" w:rsidRPr="00C04BA8" w:rsidRDefault="00C04BA8" w:rsidP="00C04BA8">
            <w:pPr>
              <w:spacing w:after="0" w:line="240" w:lineRule="auto"/>
              <w:jc w:val="right"/>
              <w:rPr>
                <w:rFonts w:ascii="Times New Roman" w:hAnsi="Times New Roman"/>
                <w:color w:val="000000"/>
                <w:sz w:val="18"/>
                <w:szCs w:val="18"/>
                <w:lang w:eastAsia="sk-SK"/>
              </w:rPr>
            </w:pPr>
            <w:r w:rsidRPr="00C04BA8">
              <w:rPr>
                <w:rFonts w:ascii="Times New Roman" w:hAnsi="Times New Roman"/>
                <w:color w:val="000000"/>
                <w:sz w:val="18"/>
                <w:szCs w:val="18"/>
                <w:lang w:eastAsia="sk-SK"/>
              </w:rPr>
              <w:t>23 010</w:t>
            </w:r>
          </w:p>
        </w:tc>
      </w:tr>
      <w:tr w:rsidR="00C04BA8" w:rsidRPr="00C04BA8" w14:paraId="08ED48DD" w14:textId="77777777" w:rsidTr="0085799C">
        <w:trPr>
          <w:trHeight w:val="227"/>
          <w:jc w:val="center"/>
        </w:trPr>
        <w:tc>
          <w:tcPr>
            <w:tcW w:w="2754" w:type="pct"/>
            <w:tcBorders>
              <w:top w:val="nil"/>
              <w:left w:val="nil"/>
              <w:bottom w:val="single" w:sz="8" w:space="0" w:color="000000"/>
              <w:right w:val="nil"/>
            </w:tcBorders>
            <w:vAlign w:val="center"/>
            <w:hideMark/>
          </w:tcPr>
          <w:p w14:paraId="740BE2B2" w14:textId="77777777" w:rsidR="00C04BA8" w:rsidRPr="00C04BA8" w:rsidRDefault="00C04BA8" w:rsidP="00C04BA8">
            <w:pPr>
              <w:spacing w:after="0" w:line="240" w:lineRule="auto"/>
              <w:rPr>
                <w:rFonts w:ascii="Times New Roman" w:hAnsi="Times New Roman"/>
                <w:b/>
                <w:bCs/>
                <w:color w:val="000000"/>
                <w:sz w:val="18"/>
                <w:szCs w:val="18"/>
                <w:lang w:eastAsia="sk-SK"/>
              </w:rPr>
            </w:pPr>
            <w:r w:rsidRPr="00C04BA8">
              <w:rPr>
                <w:rFonts w:ascii="Times New Roman" w:hAnsi="Times New Roman"/>
                <w:b/>
                <w:bCs/>
                <w:color w:val="000000"/>
                <w:sz w:val="18"/>
                <w:szCs w:val="18"/>
                <w:lang w:eastAsia="sk-SK"/>
              </w:rPr>
              <w:t>Spolu</w:t>
            </w:r>
          </w:p>
        </w:tc>
        <w:tc>
          <w:tcPr>
            <w:tcW w:w="749" w:type="pct"/>
            <w:tcBorders>
              <w:top w:val="nil"/>
              <w:left w:val="nil"/>
              <w:bottom w:val="single" w:sz="8" w:space="0" w:color="000000"/>
              <w:right w:val="nil"/>
            </w:tcBorders>
            <w:vAlign w:val="center"/>
            <w:hideMark/>
          </w:tcPr>
          <w:p w14:paraId="0704CD2A" w14:textId="77777777" w:rsidR="00C04BA8" w:rsidRPr="00C04BA8" w:rsidRDefault="00C04BA8" w:rsidP="00C04BA8">
            <w:pPr>
              <w:spacing w:after="0" w:line="240" w:lineRule="auto"/>
              <w:jc w:val="right"/>
              <w:rPr>
                <w:rFonts w:ascii="Times New Roman" w:hAnsi="Times New Roman"/>
                <w:b/>
                <w:bCs/>
                <w:color w:val="000000"/>
                <w:sz w:val="18"/>
                <w:szCs w:val="18"/>
                <w:lang w:eastAsia="sk-SK"/>
              </w:rPr>
            </w:pPr>
            <w:r w:rsidRPr="00C04BA8">
              <w:rPr>
                <w:rFonts w:ascii="Times New Roman" w:hAnsi="Times New Roman"/>
                <w:b/>
                <w:bCs/>
                <w:color w:val="000000"/>
                <w:sz w:val="18"/>
                <w:szCs w:val="18"/>
                <w:lang w:eastAsia="sk-SK"/>
              </w:rPr>
              <w:t>1 271 463</w:t>
            </w:r>
          </w:p>
        </w:tc>
        <w:tc>
          <w:tcPr>
            <w:tcW w:w="749" w:type="pct"/>
            <w:tcBorders>
              <w:top w:val="nil"/>
              <w:left w:val="nil"/>
              <w:bottom w:val="single" w:sz="8" w:space="0" w:color="000000"/>
              <w:right w:val="nil"/>
            </w:tcBorders>
            <w:vAlign w:val="center"/>
            <w:hideMark/>
          </w:tcPr>
          <w:p w14:paraId="5E3F7988" w14:textId="77777777" w:rsidR="00C04BA8" w:rsidRPr="00C04BA8" w:rsidRDefault="00C04BA8" w:rsidP="00C04BA8">
            <w:pPr>
              <w:spacing w:after="0" w:line="240" w:lineRule="auto"/>
              <w:jc w:val="right"/>
              <w:rPr>
                <w:rFonts w:ascii="Times New Roman" w:hAnsi="Times New Roman"/>
                <w:b/>
                <w:bCs/>
                <w:color w:val="000000"/>
                <w:sz w:val="18"/>
                <w:szCs w:val="18"/>
                <w:lang w:eastAsia="sk-SK"/>
              </w:rPr>
            </w:pPr>
            <w:r w:rsidRPr="00C04BA8">
              <w:rPr>
                <w:rFonts w:ascii="Times New Roman" w:hAnsi="Times New Roman"/>
                <w:b/>
                <w:bCs/>
                <w:color w:val="000000"/>
                <w:sz w:val="18"/>
                <w:szCs w:val="18"/>
                <w:lang w:eastAsia="sk-SK"/>
              </w:rPr>
              <w:t>1 206 087</w:t>
            </w:r>
          </w:p>
        </w:tc>
        <w:tc>
          <w:tcPr>
            <w:tcW w:w="749" w:type="pct"/>
            <w:tcBorders>
              <w:top w:val="single" w:sz="8" w:space="0" w:color="000000"/>
              <w:left w:val="nil"/>
              <w:bottom w:val="single" w:sz="8" w:space="0" w:color="000000"/>
              <w:right w:val="nil"/>
            </w:tcBorders>
            <w:vAlign w:val="center"/>
            <w:hideMark/>
          </w:tcPr>
          <w:p w14:paraId="442635DD" w14:textId="77777777" w:rsidR="00C04BA8" w:rsidRPr="00C04BA8" w:rsidRDefault="00C04BA8" w:rsidP="00C04BA8">
            <w:pPr>
              <w:spacing w:after="0" w:line="240" w:lineRule="auto"/>
              <w:jc w:val="right"/>
              <w:rPr>
                <w:rFonts w:ascii="Times New Roman" w:hAnsi="Times New Roman"/>
                <w:b/>
                <w:bCs/>
                <w:color w:val="000000"/>
                <w:sz w:val="18"/>
                <w:szCs w:val="18"/>
                <w:lang w:eastAsia="sk-SK"/>
              </w:rPr>
            </w:pPr>
            <w:r w:rsidRPr="00C04BA8">
              <w:rPr>
                <w:rFonts w:ascii="Times New Roman" w:hAnsi="Times New Roman"/>
                <w:b/>
                <w:bCs/>
                <w:color w:val="000000"/>
                <w:sz w:val="18"/>
                <w:szCs w:val="18"/>
                <w:lang w:eastAsia="sk-SK"/>
              </w:rPr>
              <w:t>65 376</w:t>
            </w:r>
          </w:p>
        </w:tc>
      </w:tr>
      <w:tr w:rsidR="00C04BA8" w:rsidRPr="00C04BA8" w14:paraId="2FE5E40A" w14:textId="77777777" w:rsidTr="0085799C">
        <w:trPr>
          <w:trHeight w:val="227"/>
          <w:jc w:val="center"/>
        </w:trPr>
        <w:tc>
          <w:tcPr>
            <w:tcW w:w="5000" w:type="pct"/>
            <w:gridSpan w:val="4"/>
            <w:tcBorders>
              <w:top w:val="single" w:sz="8" w:space="0" w:color="000000"/>
              <w:left w:val="nil"/>
              <w:bottom w:val="nil"/>
              <w:right w:val="nil"/>
            </w:tcBorders>
            <w:noWrap/>
            <w:vAlign w:val="center"/>
            <w:hideMark/>
          </w:tcPr>
          <w:p w14:paraId="1210F724" w14:textId="77777777" w:rsidR="00C04BA8" w:rsidRPr="00C04BA8" w:rsidRDefault="00C04BA8" w:rsidP="00C04BA8">
            <w:pPr>
              <w:spacing w:after="0" w:line="240" w:lineRule="auto"/>
              <w:jc w:val="right"/>
              <w:rPr>
                <w:rFonts w:ascii="Times New Roman" w:hAnsi="Times New Roman"/>
                <w:color w:val="000000"/>
                <w:sz w:val="16"/>
                <w:szCs w:val="16"/>
                <w:lang w:eastAsia="sk-SK"/>
              </w:rPr>
            </w:pPr>
            <w:r w:rsidRPr="00C04BA8">
              <w:rPr>
                <w:rFonts w:ascii="Times New Roman" w:hAnsi="Times New Roman"/>
                <w:color w:val="000000"/>
                <w:sz w:val="16"/>
                <w:szCs w:val="16"/>
                <w:lang w:eastAsia="sk-SK"/>
              </w:rPr>
              <w:t>Zdroj: MF SR, Centrálny konsolidačný systém</w:t>
            </w:r>
          </w:p>
        </w:tc>
      </w:tr>
    </w:tbl>
    <w:p w14:paraId="4C37E819" w14:textId="77777777" w:rsidR="000C4605" w:rsidRPr="0085799C" w:rsidRDefault="000C4605" w:rsidP="0085799C">
      <w:pPr>
        <w:pStyle w:val="Pismenka"/>
        <w:tabs>
          <w:tab w:val="clear" w:pos="426"/>
        </w:tabs>
        <w:spacing w:after="120"/>
        <w:ind w:left="425" w:hanging="425"/>
        <w:jc w:val="left"/>
        <w:rPr>
          <w:b w:val="0"/>
          <w:sz w:val="22"/>
          <w:szCs w:val="36"/>
          <w:lang w:eastAsia="en-US"/>
        </w:rPr>
      </w:pPr>
    </w:p>
    <w:p w14:paraId="0E1D4562" w14:textId="07054080" w:rsidR="000C4605" w:rsidRPr="0085799C" w:rsidRDefault="000C4605" w:rsidP="00A44BB3">
      <w:pPr>
        <w:pStyle w:val="Pismenka"/>
        <w:tabs>
          <w:tab w:val="clear" w:pos="426"/>
        </w:tabs>
        <w:spacing w:after="120"/>
        <w:jc w:val="left"/>
        <w:rPr>
          <w:bCs w:val="0"/>
          <w:szCs w:val="28"/>
          <w:lang w:eastAsia="en-US"/>
        </w:rPr>
      </w:pPr>
      <w:r w:rsidRPr="0085799C">
        <w:rPr>
          <w:bCs w:val="0"/>
          <w:szCs w:val="28"/>
          <w:lang w:eastAsia="en-US"/>
        </w:rPr>
        <w:t>Tabuľka 19</w:t>
      </w:r>
    </w:p>
    <w:tbl>
      <w:tblPr>
        <w:tblW w:w="5000" w:type="pct"/>
        <w:jc w:val="center"/>
        <w:tblCellMar>
          <w:left w:w="70" w:type="dxa"/>
          <w:right w:w="70" w:type="dxa"/>
        </w:tblCellMar>
        <w:tblLook w:val="04A0" w:firstRow="1" w:lastRow="0" w:firstColumn="1" w:lastColumn="0" w:noHBand="0" w:noVBand="1"/>
      </w:tblPr>
      <w:tblGrid>
        <w:gridCol w:w="6296"/>
        <w:gridCol w:w="806"/>
        <w:gridCol w:w="925"/>
        <w:gridCol w:w="1044"/>
      </w:tblGrid>
      <w:tr w:rsidR="00185B15" w:rsidRPr="00185B15" w14:paraId="5F9CE318" w14:textId="77777777" w:rsidTr="00185B15">
        <w:trPr>
          <w:trHeight w:val="227"/>
          <w:jc w:val="center"/>
        </w:trPr>
        <w:tc>
          <w:tcPr>
            <w:tcW w:w="3476" w:type="pct"/>
            <w:tcBorders>
              <w:top w:val="single" w:sz="8" w:space="0" w:color="auto"/>
              <w:left w:val="nil"/>
              <w:bottom w:val="single" w:sz="8" w:space="0" w:color="auto"/>
              <w:right w:val="nil"/>
            </w:tcBorders>
            <w:shd w:val="clear" w:color="000000" w:fill="F4B084"/>
            <w:noWrap/>
            <w:vAlign w:val="center"/>
            <w:hideMark/>
          </w:tcPr>
          <w:p w14:paraId="0B8EACD5" w14:textId="77777777" w:rsidR="00185B15" w:rsidRPr="00185B15" w:rsidRDefault="00185B15" w:rsidP="00185B15">
            <w:pPr>
              <w:spacing w:after="0" w:line="240" w:lineRule="auto"/>
              <w:rPr>
                <w:rFonts w:ascii="Times New Roman" w:hAnsi="Times New Roman"/>
                <w:b/>
                <w:bCs/>
                <w:color w:val="000000"/>
                <w:sz w:val="18"/>
                <w:szCs w:val="18"/>
                <w:lang w:eastAsia="sk-SK"/>
              </w:rPr>
            </w:pPr>
            <w:r w:rsidRPr="00185B15">
              <w:rPr>
                <w:rFonts w:ascii="Times New Roman" w:hAnsi="Times New Roman"/>
                <w:b/>
                <w:bCs/>
                <w:color w:val="000000"/>
                <w:sz w:val="18"/>
                <w:szCs w:val="18"/>
                <w:lang w:eastAsia="sk-SK"/>
              </w:rPr>
              <w:t>Krátkodobé rezervy podľa účelu</w:t>
            </w:r>
          </w:p>
        </w:tc>
        <w:tc>
          <w:tcPr>
            <w:tcW w:w="450" w:type="pct"/>
            <w:tcBorders>
              <w:top w:val="single" w:sz="8" w:space="0" w:color="auto"/>
              <w:left w:val="nil"/>
              <w:bottom w:val="single" w:sz="8" w:space="0" w:color="auto"/>
              <w:right w:val="nil"/>
            </w:tcBorders>
            <w:shd w:val="clear" w:color="000000" w:fill="F4B084"/>
            <w:noWrap/>
            <w:vAlign w:val="center"/>
            <w:hideMark/>
          </w:tcPr>
          <w:p w14:paraId="7B892438" w14:textId="77777777" w:rsidR="00185B15" w:rsidRPr="00185B15" w:rsidRDefault="00185B15" w:rsidP="00185B15">
            <w:pPr>
              <w:spacing w:after="0" w:line="240" w:lineRule="auto"/>
              <w:jc w:val="center"/>
              <w:rPr>
                <w:rFonts w:ascii="Times New Roman" w:hAnsi="Times New Roman"/>
                <w:b/>
                <w:bCs/>
                <w:color w:val="000000"/>
                <w:sz w:val="18"/>
                <w:szCs w:val="18"/>
                <w:lang w:eastAsia="sk-SK"/>
              </w:rPr>
            </w:pPr>
            <w:r w:rsidRPr="00185B15">
              <w:rPr>
                <w:rFonts w:ascii="Times New Roman" w:hAnsi="Times New Roman"/>
                <w:b/>
                <w:bCs/>
                <w:color w:val="000000"/>
                <w:sz w:val="18"/>
                <w:szCs w:val="18"/>
                <w:lang w:eastAsia="sk-SK"/>
              </w:rPr>
              <w:t> </w:t>
            </w:r>
          </w:p>
        </w:tc>
        <w:tc>
          <w:tcPr>
            <w:tcW w:w="493" w:type="pct"/>
            <w:tcBorders>
              <w:top w:val="single" w:sz="8" w:space="0" w:color="auto"/>
              <w:left w:val="nil"/>
              <w:bottom w:val="single" w:sz="8" w:space="0" w:color="auto"/>
              <w:right w:val="nil"/>
            </w:tcBorders>
            <w:shd w:val="clear" w:color="000000" w:fill="F4B084"/>
            <w:noWrap/>
            <w:vAlign w:val="center"/>
            <w:hideMark/>
          </w:tcPr>
          <w:p w14:paraId="573F6510" w14:textId="77777777" w:rsidR="00185B15" w:rsidRPr="00185B15" w:rsidRDefault="00185B15" w:rsidP="00185B15">
            <w:pPr>
              <w:spacing w:after="0" w:line="240" w:lineRule="auto"/>
              <w:jc w:val="center"/>
              <w:rPr>
                <w:rFonts w:ascii="Times New Roman" w:hAnsi="Times New Roman"/>
                <w:b/>
                <w:bCs/>
                <w:color w:val="000000"/>
                <w:sz w:val="18"/>
                <w:szCs w:val="18"/>
                <w:lang w:eastAsia="sk-SK"/>
              </w:rPr>
            </w:pPr>
            <w:r w:rsidRPr="00185B15">
              <w:rPr>
                <w:rFonts w:ascii="Times New Roman" w:hAnsi="Times New Roman"/>
                <w:b/>
                <w:bCs/>
                <w:color w:val="000000"/>
                <w:sz w:val="18"/>
                <w:szCs w:val="18"/>
                <w:lang w:eastAsia="sk-SK"/>
              </w:rPr>
              <w:t>(v tis. eur)</w:t>
            </w:r>
          </w:p>
        </w:tc>
        <w:tc>
          <w:tcPr>
            <w:tcW w:w="581" w:type="pct"/>
            <w:tcBorders>
              <w:top w:val="single" w:sz="8" w:space="0" w:color="auto"/>
              <w:left w:val="nil"/>
              <w:bottom w:val="single" w:sz="8" w:space="0" w:color="auto"/>
              <w:right w:val="nil"/>
            </w:tcBorders>
            <w:shd w:val="clear" w:color="000000" w:fill="F4B084"/>
            <w:noWrap/>
            <w:vAlign w:val="center"/>
            <w:hideMark/>
          </w:tcPr>
          <w:p w14:paraId="3615063B" w14:textId="77777777" w:rsidR="00185B15" w:rsidRPr="00185B15" w:rsidRDefault="00185B15" w:rsidP="00185B15">
            <w:pPr>
              <w:spacing w:after="0" w:line="240" w:lineRule="auto"/>
              <w:jc w:val="center"/>
              <w:rPr>
                <w:rFonts w:ascii="Times New Roman" w:hAnsi="Times New Roman"/>
                <w:b/>
                <w:bCs/>
                <w:color w:val="000000"/>
                <w:sz w:val="18"/>
                <w:szCs w:val="18"/>
                <w:lang w:eastAsia="sk-SK"/>
              </w:rPr>
            </w:pPr>
            <w:r w:rsidRPr="00185B15">
              <w:rPr>
                <w:rFonts w:ascii="Times New Roman" w:hAnsi="Times New Roman"/>
                <w:b/>
                <w:bCs/>
                <w:color w:val="000000"/>
                <w:sz w:val="18"/>
                <w:szCs w:val="18"/>
                <w:lang w:eastAsia="sk-SK"/>
              </w:rPr>
              <w:t> </w:t>
            </w:r>
          </w:p>
        </w:tc>
      </w:tr>
      <w:tr w:rsidR="00185B15" w:rsidRPr="00185B15" w14:paraId="0981650B" w14:textId="77777777" w:rsidTr="00185B15">
        <w:trPr>
          <w:trHeight w:val="227"/>
          <w:jc w:val="center"/>
        </w:trPr>
        <w:tc>
          <w:tcPr>
            <w:tcW w:w="3476" w:type="pct"/>
            <w:tcBorders>
              <w:top w:val="nil"/>
              <w:left w:val="nil"/>
              <w:bottom w:val="single" w:sz="8" w:space="0" w:color="auto"/>
              <w:right w:val="nil"/>
            </w:tcBorders>
            <w:shd w:val="clear" w:color="000000" w:fill="BDD7EE"/>
            <w:noWrap/>
            <w:vAlign w:val="center"/>
            <w:hideMark/>
          </w:tcPr>
          <w:p w14:paraId="20C0EB82" w14:textId="77777777" w:rsidR="00185B15" w:rsidRPr="00185B15" w:rsidRDefault="00185B15" w:rsidP="00185B15">
            <w:pPr>
              <w:spacing w:after="0" w:line="240" w:lineRule="auto"/>
              <w:rPr>
                <w:rFonts w:ascii="Times New Roman" w:hAnsi="Times New Roman"/>
                <w:b/>
                <w:bCs/>
                <w:color w:val="000000"/>
                <w:sz w:val="18"/>
                <w:szCs w:val="18"/>
                <w:lang w:eastAsia="sk-SK"/>
              </w:rPr>
            </w:pPr>
            <w:r w:rsidRPr="00185B15">
              <w:rPr>
                <w:rFonts w:ascii="Times New Roman" w:hAnsi="Times New Roman"/>
                <w:b/>
                <w:bCs/>
                <w:color w:val="000000"/>
                <w:sz w:val="18"/>
                <w:szCs w:val="18"/>
                <w:lang w:eastAsia="sk-SK"/>
              </w:rPr>
              <w:t>Druh rezerv</w:t>
            </w:r>
          </w:p>
        </w:tc>
        <w:tc>
          <w:tcPr>
            <w:tcW w:w="450" w:type="pct"/>
            <w:tcBorders>
              <w:top w:val="nil"/>
              <w:left w:val="nil"/>
              <w:bottom w:val="single" w:sz="8" w:space="0" w:color="auto"/>
              <w:right w:val="nil"/>
            </w:tcBorders>
            <w:shd w:val="clear" w:color="000000" w:fill="BDD7EE"/>
            <w:noWrap/>
            <w:vAlign w:val="center"/>
            <w:hideMark/>
          </w:tcPr>
          <w:p w14:paraId="2417A143" w14:textId="77777777" w:rsidR="00185B15" w:rsidRPr="00185B15" w:rsidRDefault="00185B15" w:rsidP="00185B15">
            <w:pPr>
              <w:spacing w:after="0" w:line="240" w:lineRule="auto"/>
              <w:jc w:val="center"/>
              <w:rPr>
                <w:rFonts w:ascii="Times New Roman" w:hAnsi="Times New Roman"/>
                <w:b/>
                <w:bCs/>
                <w:color w:val="000000"/>
                <w:sz w:val="18"/>
                <w:szCs w:val="18"/>
                <w:lang w:eastAsia="sk-SK"/>
              </w:rPr>
            </w:pPr>
            <w:r w:rsidRPr="00185B15">
              <w:rPr>
                <w:rFonts w:ascii="Times New Roman" w:hAnsi="Times New Roman"/>
                <w:b/>
                <w:bCs/>
                <w:color w:val="000000"/>
                <w:sz w:val="18"/>
                <w:szCs w:val="18"/>
                <w:lang w:eastAsia="sk-SK"/>
              </w:rPr>
              <w:t>2024</w:t>
            </w:r>
          </w:p>
        </w:tc>
        <w:tc>
          <w:tcPr>
            <w:tcW w:w="493" w:type="pct"/>
            <w:tcBorders>
              <w:top w:val="nil"/>
              <w:left w:val="nil"/>
              <w:bottom w:val="single" w:sz="8" w:space="0" w:color="auto"/>
              <w:right w:val="nil"/>
            </w:tcBorders>
            <w:shd w:val="clear" w:color="000000" w:fill="BDD7EE"/>
            <w:noWrap/>
            <w:vAlign w:val="center"/>
            <w:hideMark/>
          </w:tcPr>
          <w:p w14:paraId="3992424F" w14:textId="77777777" w:rsidR="00185B15" w:rsidRPr="00185B15" w:rsidRDefault="00185B15" w:rsidP="00185B15">
            <w:pPr>
              <w:spacing w:after="0" w:line="240" w:lineRule="auto"/>
              <w:jc w:val="center"/>
              <w:rPr>
                <w:rFonts w:ascii="Times New Roman" w:hAnsi="Times New Roman"/>
                <w:b/>
                <w:bCs/>
                <w:color w:val="000000"/>
                <w:sz w:val="18"/>
                <w:szCs w:val="18"/>
                <w:lang w:eastAsia="sk-SK"/>
              </w:rPr>
            </w:pPr>
            <w:r w:rsidRPr="00185B15">
              <w:rPr>
                <w:rFonts w:ascii="Times New Roman" w:hAnsi="Times New Roman"/>
                <w:b/>
                <w:bCs/>
                <w:color w:val="000000"/>
                <w:sz w:val="18"/>
                <w:szCs w:val="18"/>
                <w:lang w:eastAsia="sk-SK"/>
              </w:rPr>
              <w:t>2023</w:t>
            </w:r>
          </w:p>
        </w:tc>
        <w:tc>
          <w:tcPr>
            <w:tcW w:w="581" w:type="pct"/>
            <w:tcBorders>
              <w:top w:val="nil"/>
              <w:left w:val="nil"/>
              <w:bottom w:val="single" w:sz="8" w:space="0" w:color="auto"/>
              <w:right w:val="nil"/>
            </w:tcBorders>
            <w:shd w:val="clear" w:color="000000" w:fill="BDD7EE"/>
            <w:vAlign w:val="center"/>
            <w:hideMark/>
          </w:tcPr>
          <w:p w14:paraId="3B06A8AA" w14:textId="77777777" w:rsidR="00185B15" w:rsidRPr="00185B15" w:rsidRDefault="00185B15" w:rsidP="00185B15">
            <w:pPr>
              <w:spacing w:after="0" w:line="240" w:lineRule="auto"/>
              <w:jc w:val="center"/>
              <w:rPr>
                <w:rFonts w:ascii="Times New Roman" w:hAnsi="Times New Roman"/>
                <w:b/>
                <w:bCs/>
                <w:color w:val="000000"/>
                <w:sz w:val="18"/>
                <w:szCs w:val="18"/>
                <w:lang w:eastAsia="sk-SK"/>
              </w:rPr>
            </w:pPr>
            <w:r w:rsidRPr="00185B15">
              <w:rPr>
                <w:rFonts w:ascii="Times New Roman" w:hAnsi="Times New Roman"/>
                <w:b/>
                <w:bCs/>
                <w:color w:val="000000"/>
                <w:sz w:val="18"/>
                <w:szCs w:val="18"/>
                <w:lang w:eastAsia="sk-SK"/>
              </w:rPr>
              <w:t>Δ 2024-2023</w:t>
            </w:r>
          </w:p>
        </w:tc>
      </w:tr>
      <w:tr w:rsidR="00185B15" w:rsidRPr="00185B15" w14:paraId="66B50BDC" w14:textId="77777777" w:rsidTr="00185B15">
        <w:trPr>
          <w:trHeight w:val="227"/>
          <w:jc w:val="center"/>
        </w:trPr>
        <w:tc>
          <w:tcPr>
            <w:tcW w:w="3476" w:type="pct"/>
            <w:tcBorders>
              <w:top w:val="nil"/>
              <w:left w:val="nil"/>
              <w:bottom w:val="nil"/>
              <w:right w:val="nil"/>
            </w:tcBorders>
            <w:vAlign w:val="center"/>
            <w:hideMark/>
          </w:tcPr>
          <w:p w14:paraId="440DFDF5" w14:textId="77777777" w:rsidR="00185B15" w:rsidRPr="00185B15" w:rsidRDefault="00185B15" w:rsidP="00185B15">
            <w:pPr>
              <w:spacing w:after="0" w:line="240" w:lineRule="auto"/>
              <w:rPr>
                <w:rFonts w:ascii="Times New Roman" w:hAnsi="Times New Roman"/>
                <w:color w:val="000000"/>
                <w:sz w:val="18"/>
                <w:szCs w:val="18"/>
                <w:lang w:eastAsia="sk-SK"/>
              </w:rPr>
            </w:pPr>
            <w:r w:rsidRPr="00185B15">
              <w:rPr>
                <w:rFonts w:ascii="Times New Roman" w:hAnsi="Times New Roman"/>
                <w:color w:val="000000"/>
                <w:sz w:val="18"/>
                <w:szCs w:val="18"/>
                <w:lang w:eastAsia="sk-SK"/>
              </w:rPr>
              <w:t>Súdne  spory*</w:t>
            </w:r>
          </w:p>
        </w:tc>
        <w:tc>
          <w:tcPr>
            <w:tcW w:w="450" w:type="pct"/>
            <w:tcBorders>
              <w:top w:val="nil"/>
              <w:left w:val="nil"/>
              <w:bottom w:val="nil"/>
              <w:right w:val="nil"/>
            </w:tcBorders>
            <w:vAlign w:val="center"/>
            <w:hideMark/>
          </w:tcPr>
          <w:p w14:paraId="67D48B39"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296 922</w:t>
            </w:r>
          </w:p>
        </w:tc>
        <w:tc>
          <w:tcPr>
            <w:tcW w:w="493" w:type="pct"/>
            <w:tcBorders>
              <w:top w:val="nil"/>
              <w:left w:val="nil"/>
              <w:bottom w:val="nil"/>
              <w:right w:val="nil"/>
            </w:tcBorders>
            <w:vAlign w:val="center"/>
            <w:hideMark/>
          </w:tcPr>
          <w:p w14:paraId="5FEE0723"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214 796</w:t>
            </w:r>
          </w:p>
        </w:tc>
        <w:tc>
          <w:tcPr>
            <w:tcW w:w="581" w:type="pct"/>
            <w:tcBorders>
              <w:top w:val="nil"/>
              <w:left w:val="nil"/>
              <w:bottom w:val="nil"/>
              <w:right w:val="nil"/>
            </w:tcBorders>
            <w:vAlign w:val="center"/>
            <w:hideMark/>
          </w:tcPr>
          <w:p w14:paraId="4994A61A"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82 126</w:t>
            </w:r>
          </w:p>
        </w:tc>
      </w:tr>
      <w:tr w:rsidR="00185B15" w:rsidRPr="00185B15" w14:paraId="19C1E65E" w14:textId="77777777" w:rsidTr="00185B15">
        <w:trPr>
          <w:trHeight w:val="227"/>
          <w:jc w:val="center"/>
        </w:trPr>
        <w:tc>
          <w:tcPr>
            <w:tcW w:w="3476" w:type="pct"/>
            <w:tcBorders>
              <w:top w:val="nil"/>
              <w:left w:val="nil"/>
              <w:bottom w:val="nil"/>
              <w:right w:val="nil"/>
            </w:tcBorders>
            <w:vAlign w:val="center"/>
            <w:hideMark/>
          </w:tcPr>
          <w:p w14:paraId="4A94DDA6" w14:textId="77777777" w:rsidR="00185B15" w:rsidRPr="00185B15" w:rsidRDefault="00185B15" w:rsidP="00185B15">
            <w:pPr>
              <w:spacing w:after="0" w:line="240" w:lineRule="auto"/>
              <w:rPr>
                <w:rFonts w:ascii="Times New Roman" w:hAnsi="Times New Roman"/>
                <w:color w:val="000000"/>
                <w:sz w:val="18"/>
                <w:szCs w:val="18"/>
                <w:lang w:eastAsia="sk-SK"/>
              </w:rPr>
            </w:pPr>
            <w:r w:rsidRPr="00185B15">
              <w:rPr>
                <w:rFonts w:ascii="Times New Roman" w:hAnsi="Times New Roman"/>
                <w:color w:val="000000"/>
                <w:sz w:val="18"/>
                <w:szCs w:val="18"/>
                <w:lang w:eastAsia="sk-SK"/>
              </w:rPr>
              <w:t>Rezerva Všeobecnej zdravotnej poisťovne, a.s.</w:t>
            </w:r>
          </w:p>
        </w:tc>
        <w:tc>
          <w:tcPr>
            <w:tcW w:w="450" w:type="pct"/>
            <w:tcBorders>
              <w:top w:val="nil"/>
              <w:left w:val="nil"/>
              <w:bottom w:val="nil"/>
              <w:right w:val="nil"/>
            </w:tcBorders>
            <w:vAlign w:val="center"/>
            <w:hideMark/>
          </w:tcPr>
          <w:p w14:paraId="4C080444"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296 126</w:t>
            </w:r>
          </w:p>
        </w:tc>
        <w:tc>
          <w:tcPr>
            <w:tcW w:w="493" w:type="pct"/>
            <w:tcBorders>
              <w:top w:val="nil"/>
              <w:left w:val="nil"/>
              <w:bottom w:val="nil"/>
              <w:right w:val="nil"/>
            </w:tcBorders>
            <w:vAlign w:val="center"/>
            <w:hideMark/>
          </w:tcPr>
          <w:p w14:paraId="6A98922C"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283 635</w:t>
            </w:r>
          </w:p>
        </w:tc>
        <w:tc>
          <w:tcPr>
            <w:tcW w:w="581" w:type="pct"/>
            <w:tcBorders>
              <w:top w:val="nil"/>
              <w:left w:val="nil"/>
              <w:bottom w:val="nil"/>
              <w:right w:val="nil"/>
            </w:tcBorders>
            <w:vAlign w:val="center"/>
            <w:hideMark/>
          </w:tcPr>
          <w:p w14:paraId="7A2C8A48"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12 491</w:t>
            </w:r>
          </w:p>
        </w:tc>
      </w:tr>
      <w:tr w:rsidR="00185B15" w:rsidRPr="00185B15" w14:paraId="08AB4509" w14:textId="77777777" w:rsidTr="00185B15">
        <w:trPr>
          <w:trHeight w:val="227"/>
          <w:jc w:val="center"/>
        </w:trPr>
        <w:tc>
          <w:tcPr>
            <w:tcW w:w="3476" w:type="pct"/>
            <w:tcBorders>
              <w:top w:val="nil"/>
              <w:left w:val="nil"/>
              <w:bottom w:val="nil"/>
              <w:right w:val="nil"/>
            </w:tcBorders>
            <w:vAlign w:val="center"/>
            <w:hideMark/>
          </w:tcPr>
          <w:p w14:paraId="3EAF6184" w14:textId="77777777" w:rsidR="00185B15" w:rsidRPr="00185B15" w:rsidRDefault="00185B15" w:rsidP="00185B15">
            <w:pPr>
              <w:spacing w:after="0" w:line="240" w:lineRule="auto"/>
              <w:rPr>
                <w:rFonts w:ascii="Times New Roman" w:hAnsi="Times New Roman"/>
                <w:color w:val="000000"/>
                <w:sz w:val="18"/>
                <w:szCs w:val="18"/>
                <w:lang w:eastAsia="sk-SK"/>
              </w:rPr>
            </w:pPr>
            <w:r w:rsidRPr="00185B15">
              <w:rPr>
                <w:rFonts w:ascii="Times New Roman" w:hAnsi="Times New Roman"/>
                <w:color w:val="000000"/>
                <w:sz w:val="18"/>
                <w:szCs w:val="18"/>
                <w:lang w:eastAsia="sk-SK"/>
              </w:rPr>
              <w:t xml:space="preserve">Nevyfakturované  dodávky* </w:t>
            </w:r>
          </w:p>
        </w:tc>
        <w:tc>
          <w:tcPr>
            <w:tcW w:w="450" w:type="pct"/>
            <w:tcBorders>
              <w:top w:val="nil"/>
              <w:left w:val="nil"/>
              <w:bottom w:val="nil"/>
              <w:right w:val="nil"/>
            </w:tcBorders>
            <w:vAlign w:val="center"/>
            <w:hideMark/>
          </w:tcPr>
          <w:p w14:paraId="693CD5B9"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138 148</w:t>
            </w:r>
          </w:p>
        </w:tc>
        <w:tc>
          <w:tcPr>
            <w:tcW w:w="493" w:type="pct"/>
            <w:tcBorders>
              <w:top w:val="nil"/>
              <w:left w:val="nil"/>
              <w:bottom w:val="nil"/>
              <w:right w:val="nil"/>
            </w:tcBorders>
            <w:vAlign w:val="center"/>
            <w:hideMark/>
          </w:tcPr>
          <w:p w14:paraId="5DE01311"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92 994</w:t>
            </w:r>
          </w:p>
        </w:tc>
        <w:tc>
          <w:tcPr>
            <w:tcW w:w="581" w:type="pct"/>
            <w:tcBorders>
              <w:top w:val="nil"/>
              <w:left w:val="nil"/>
              <w:bottom w:val="nil"/>
              <w:right w:val="nil"/>
            </w:tcBorders>
            <w:vAlign w:val="center"/>
            <w:hideMark/>
          </w:tcPr>
          <w:p w14:paraId="78484C7D"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45 154</w:t>
            </w:r>
          </w:p>
        </w:tc>
      </w:tr>
      <w:tr w:rsidR="00185B15" w:rsidRPr="00185B15" w14:paraId="059963EE" w14:textId="77777777" w:rsidTr="00185B15">
        <w:trPr>
          <w:trHeight w:val="227"/>
          <w:jc w:val="center"/>
        </w:trPr>
        <w:tc>
          <w:tcPr>
            <w:tcW w:w="3476" w:type="pct"/>
            <w:tcBorders>
              <w:top w:val="nil"/>
              <w:left w:val="nil"/>
              <w:bottom w:val="nil"/>
              <w:right w:val="nil"/>
            </w:tcBorders>
            <w:vAlign w:val="center"/>
            <w:hideMark/>
          </w:tcPr>
          <w:p w14:paraId="2D8413DB" w14:textId="77777777" w:rsidR="00185B15" w:rsidRPr="00185B15" w:rsidRDefault="00185B15" w:rsidP="00185B15">
            <w:pPr>
              <w:spacing w:after="0" w:line="240" w:lineRule="auto"/>
              <w:rPr>
                <w:rFonts w:ascii="Times New Roman" w:hAnsi="Times New Roman"/>
                <w:color w:val="000000"/>
                <w:sz w:val="18"/>
                <w:szCs w:val="18"/>
                <w:lang w:eastAsia="sk-SK"/>
              </w:rPr>
            </w:pPr>
            <w:r w:rsidRPr="00185B15">
              <w:rPr>
                <w:rFonts w:ascii="Times New Roman" w:hAnsi="Times New Roman"/>
                <w:color w:val="000000"/>
                <w:sz w:val="18"/>
                <w:szCs w:val="18"/>
                <w:lang w:eastAsia="sk-SK"/>
              </w:rPr>
              <w:t xml:space="preserve">Vyraďovanie  jadrových zariadení a rád. paliva </w:t>
            </w:r>
          </w:p>
        </w:tc>
        <w:tc>
          <w:tcPr>
            <w:tcW w:w="450" w:type="pct"/>
            <w:tcBorders>
              <w:top w:val="nil"/>
              <w:left w:val="nil"/>
              <w:bottom w:val="nil"/>
              <w:right w:val="nil"/>
            </w:tcBorders>
            <w:vAlign w:val="center"/>
            <w:hideMark/>
          </w:tcPr>
          <w:p w14:paraId="3EFA8B21"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114 547</w:t>
            </w:r>
          </w:p>
        </w:tc>
        <w:tc>
          <w:tcPr>
            <w:tcW w:w="493" w:type="pct"/>
            <w:tcBorders>
              <w:top w:val="nil"/>
              <w:left w:val="nil"/>
              <w:bottom w:val="nil"/>
              <w:right w:val="nil"/>
            </w:tcBorders>
            <w:vAlign w:val="center"/>
            <w:hideMark/>
          </w:tcPr>
          <w:p w14:paraId="2CB85146"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134 845</w:t>
            </w:r>
          </w:p>
        </w:tc>
        <w:tc>
          <w:tcPr>
            <w:tcW w:w="581" w:type="pct"/>
            <w:tcBorders>
              <w:top w:val="nil"/>
              <w:left w:val="nil"/>
              <w:bottom w:val="nil"/>
              <w:right w:val="nil"/>
            </w:tcBorders>
            <w:vAlign w:val="center"/>
            <w:hideMark/>
          </w:tcPr>
          <w:p w14:paraId="3612AD91"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-20 298</w:t>
            </w:r>
          </w:p>
        </w:tc>
      </w:tr>
      <w:tr w:rsidR="00185B15" w:rsidRPr="00185B15" w14:paraId="7969D42E" w14:textId="77777777" w:rsidTr="00185B15">
        <w:trPr>
          <w:trHeight w:val="227"/>
          <w:jc w:val="center"/>
        </w:trPr>
        <w:tc>
          <w:tcPr>
            <w:tcW w:w="3476" w:type="pct"/>
            <w:tcBorders>
              <w:top w:val="nil"/>
              <w:left w:val="nil"/>
              <w:bottom w:val="nil"/>
              <w:right w:val="nil"/>
            </w:tcBorders>
            <w:vAlign w:val="center"/>
            <w:hideMark/>
          </w:tcPr>
          <w:p w14:paraId="689B432D" w14:textId="77777777" w:rsidR="00185B15" w:rsidRPr="00185B15" w:rsidRDefault="00185B15" w:rsidP="00185B15">
            <w:pPr>
              <w:spacing w:after="0" w:line="240" w:lineRule="auto"/>
              <w:rPr>
                <w:rFonts w:ascii="Times New Roman" w:hAnsi="Times New Roman"/>
                <w:color w:val="000000"/>
                <w:sz w:val="18"/>
                <w:szCs w:val="18"/>
                <w:lang w:eastAsia="sk-SK"/>
              </w:rPr>
            </w:pPr>
            <w:r w:rsidRPr="00185B15">
              <w:rPr>
                <w:rFonts w:ascii="Times New Roman" w:hAnsi="Times New Roman"/>
                <w:color w:val="000000"/>
                <w:sz w:val="18"/>
                <w:szCs w:val="18"/>
                <w:lang w:eastAsia="sk-SK"/>
              </w:rPr>
              <w:t>Stratové  a nevýhodné zmluvy a iné pokuty a penále*</w:t>
            </w:r>
          </w:p>
        </w:tc>
        <w:tc>
          <w:tcPr>
            <w:tcW w:w="450" w:type="pct"/>
            <w:tcBorders>
              <w:top w:val="nil"/>
              <w:left w:val="nil"/>
              <w:bottom w:val="nil"/>
              <w:right w:val="nil"/>
            </w:tcBorders>
            <w:vAlign w:val="center"/>
            <w:hideMark/>
          </w:tcPr>
          <w:p w14:paraId="276D0B83"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31 313</w:t>
            </w:r>
          </w:p>
        </w:tc>
        <w:tc>
          <w:tcPr>
            <w:tcW w:w="493" w:type="pct"/>
            <w:tcBorders>
              <w:top w:val="nil"/>
              <w:left w:val="nil"/>
              <w:bottom w:val="nil"/>
              <w:right w:val="nil"/>
            </w:tcBorders>
            <w:vAlign w:val="center"/>
            <w:hideMark/>
          </w:tcPr>
          <w:p w14:paraId="1D5F653A"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34 708</w:t>
            </w:r>
          </w:p>
        </w:tc>
        <w:tc>
          <w:tcPr>
            <w:tcW w:w="581" w:type="pct"/>
            <w:tcBorders>
              <w:top w:val="nil"/>
              <w:left w:val="nil"/>
              <w:bottom w:val="nil"/>
              <w:right w:val="nil"/>
            </w:tcBorders>
            <w:vAlign w:val="center"/>
            <w:hideMark/>
          </w:tcPr>
          <w:p w14:paraId="6FBB243B"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-3 395</w:t>
            </w:r>
          </w:p>
        </w:tc>
      </w:tr>
      <w:tr w:rsidR="00185B15" w:rsidRPr="00185B15" w14:paraId="130D6A07" w14:textId="77777777" w:rsidTr="00185B15">
        <w:trPr>
          <w:trHeight w:val="227"/>
          <w:jc w:val="center"/>
        </w:trPr>
        <w:tc>
          <w:tcPr>
            <w:tcW w:w="3476" w:type="pct"/>
            <w:tcBorders>
              <w:top w:val="nil"/>
              <w:left w:val="nil"/>
              <w:bottom w:val="nil"/>
              <w:right w:val="nil"/>
            </w:tcBorders>
            <w:vAlign w:val="center"/>
            <w:hideMark/>
          </w:tcPr>
          <w:p w14:paraId="6BFDE683" w14:textId="77777777" w:rsidR="00185B15" w:rsidRPr="00185B15" w:rsidRDefault="00185B15" w:rsidP="00185B15">
            <w:pPr>
              <w:spacing w:after="0" w:line="240" w:lineRule="auto"/>
              <w:rPr>
                <w:rFonts w:ascii="Times New Roman" w:hAnsi="Times New Roman"/>
                <w:color w:val="000000"/>
                <w:sz w:val="18"/>
                <w:szCs w:val="18"/>
                <w:lang w:eastAsia="sk-SK"/>
              </w:rPr>
            </w:pPr>
            <w:r w:rsidRPr="00185B15">
              <w:rPr>
                <w:rFonts w:ascii="Times New Roman" w:hAnsi="Times New Roman"/>
                <w:color w:val="000000"/>
                <w:sz w:val="18"/>
                <w:szCs w:val="18"/>
                <w:lang w:eastAsia="sk-SK"/>
              </w:rPr>
              <w:t>Rezerva</w:t>
            </w:r>
            <w:r w:rsidRPr="00185B15">
              <w:rPr>
                <w:rFonts w:ascii="Times New Roman" w:hAnsi="Times New Roman"/>
                <w:color w:val="000000"/>
                <w:sz w:val="16"/>
                <w:szCs w:val="16"/>
                <w:lang w:eastAsia="sk-SK"/>
              </w:rPr>
              <w:t> </w:t>
            </w:r>
            <w:r w:rsidRPr="00185B15">
              <w:rPr>
                <w:rFonts w:ascii="Times New Roman" w:hAnsi="Times New Roman"/>
                <w:color w:val="000000"/>
                <w:sz w:val="18"/>
                <w:szCs w:val="18"/>
                <w:lang w:eastAsia="sk-SK"/>
              </w:rPr>
              <w:t xml:space="preserve"> na </w:t>
            </w:r>
            <w:proofErr w:type="spellStart"/>
            <w:r w:rsidRPr="00185B15">
              <w:rPr>
                <w:rFonts w:ascii="Times New Roman" w:hAnsi="Times New Roman"/>
                <w:color w:val="000000"/>
                <w:sz w:val="18"/>
                <w:szCs w:val="18"/>
                <w:lang w:eastAsia="sk-SK"/>
              </w:rPr>
              <w:t>pestovnú</w:t>
            </w:r>
            <w:proofErr w:type="spellEnd"/>
            <w:r w:rsidRPr="00185B15">
              <w:rPr>
                <w:rFonts w:ascii="Times New Roman" w:hAnsi="Times New Roman"/>
                <w:color w:val="000000"/>
                <w:sz w:val="18"/>
                <w:szCs w:val="18"/>
                <w:lang w:eastAsia="sk-SK"/>
              </w:rPr>
              <w:t xml:space="preserve"> činnosť a ochranu lesa*</w:t>
            </w:r>
          </w:p>
        </w:tc>
        <w:tc>
          <w:tcPr>
            <w:tcW w:w="450" w:type="pct"/>
            <w:tcBorders>
              <w:top w:val="nil"/>
              <w:left w:val="nil"/>
              <w:bottom w:val="nil"/>
              <w:right w:val="nil"/>
            </w:tcBorders>
            <w:vAlign w:val="center"/>
            <w:hideMark/>
          </w:tcPr>
          <w:p w14:paraId="06812EE6"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21 768</w:t>
            </w:r>
          </w:p>
        </w:tc>
        <w:tc>
          <w:tcPr>
            <w:tcW w:w="493" w:type="pct"/>
            <w:tcBorders>
              <w:top w:val="nil"/>
              <w:left w:val="nil"/>
              <w:bottom w:val="nil"/>
              <w:right w:val="nil"/>
            </w:tcBorders>
            <w:vAlign w:val="center"/>
            <w:hideMark/>
          </w:tcPr>
          <w:p w14:paraId="24F0D20C"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16 340</w:t>
            </w:r>
          </w:p>
        </w:tc>
        <w:tc>
          <w:tcPr>
            <w:tcW w:w="581" w:type="pct"/>
            <w:tcBorders>
              <w:top w:val="nil"/>
              <w:left w:val="nil"/>
              <w:bottom w:val="nil"/>
              <w:right w:val="nil"/>
            </w:tcBorders>
            <w:vAlign w:val="center"/>
            <w:hideMark/>
          </w:tcPr>
          <w:p w14:paraId="45B6DB71"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5 428</w:t>
            </w:r>
          </w:p>
        </w:tc>
      </w:tr>
      <w:tr w:rsidR="00185B15" w:rsidRPr="00185B15" w14:paraId="5EEAC22E" w14:textId="77777777" w:rsidTr="00185B15">
        <w:trPr>
          <w:trHeight w:val="227"/>
          <w:jc w:val="center"/>
        </w:trPr>
        <w:tc>
          <w:tcPr>
            <w:tcW w:w="3476" w:type="pct"/>
            <w:tcBorders>
              <w:top w:val="nil"/>
              <w:left w:val="nil"/>
              <w:bottom w:val="nil"/>
              <w:right w:val="nil"/>
            </w:tcBorders>
            <w:vAlign w:val="center"/>
            <w:hideMark/>
          </w:tcPr>
          <w:p w14:paraId="04A93835" w14:textId="77777777" w:rsidR="00185B15" w:rsidRPr="00185B15" w:rsidRDefault="00185B15" w:rsidP="00185B15">
            <w:pPr>
              <w:spacing w:after="0" w:line="240" w:lineRule="auto"/>
              <w:rPr>
                <w:rFonts w:ascii="Times New Roman" w:hAnsi="Times New Roman"/>
                <w:color w:val="000000"/>
                <w:sz w:val="18"/>
                <w:szCs w:val="18"/>
                <w:lang w:eastAsia="sk-SK"/>
              </w:rPr>
            </w:pPr>
            <w:r w:rsidRPr="00185B15">
              <w:rPr>
                <w:rFonts w:ascii="Times New Roman" w:hAnsi="Times New Roman"/>
                <w:color w:val="000000"/>
                <w:sz w:val="18"/>
                <w:szCs w:val="18"/>
                <w:lang w:eastAsia="sk-SK"/>
              </w:rPr>
              <w:t>Zamestnanecké  požitky (mimo rezervy MF SR)</w:t>
            </w:r>
          </w:p>
        </w:tc>
        <w:tc>
          <w:tcPr>
            <w:tcW w:w="450" w:type="pct"/>
            <w:tcBorders>
              <w:top w:val="nil"/>
              <w:left w:val="nil"/>
              <w:bottom w:val="nil"/>
              <w:right w:val="nil"/>
            </w:tcBorders>
            <w:vAlign w:val="center"/>
            <w:hideMark/>
          </w:tcPr>
          <w:p w14:paraId="6ADDFC6D"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19 968</w:t>
            </w:r>
          </w:p>
        </w:tc>
        <w:tc>
          <w:tcPr>
            <w:tcW w:w="493" w:type="pct"/>
            <w:tcBorders>
              <w:top w:val="nil"/>
              <w:left w:val="nil"/>
              <w:bottom w:val="nil"/>
              <w:right w:val="nil"/>
            </w:tcBorders>
            <w:vAlign w:val="center"/>
            <w:hideMark/>
          </w:tcPr>
          <w:p w14:paraId="6129E41F"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19 958</w:t>
            </w:r>
          </w:p>
        </w:tc>
        <w:tc>
          <w:tcPr>
            <w:tcW w:w="581" w:type="pct"/>
            <w:tcBorders>
              <w:top w:val="nil"/>
              <w:left w:val="nil"/>
              <w:bottom w:val="nil"/>
              <w:right w:val="nil"/>
            </w:tcBorders>
            <w:vAlign w:val="center"/>
            <w:hideMark/>
          </w:tcPr>
          <w:p w14:paraId="1F21634A"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10</w:t>
            </w:r>
          </w:p>
        </w:tc>
      </w:tr>
      <w:tr w:rsidR="00185B15" w:rsidRPr="00185B15" w14:paraId="07A04719" w14:textId="77777777" w:rsidTr="00185B15">
        <w:trPr>
          <w:trHeight w:val="227"/>
          <w:jc w:val="center"/>
        </w:trPr>
        <w:tc>
          <w:tcPr>
            <w:tcW w:w="3476" w:type="pct"/>
            <w:tcBorders>
              <w:top w:val="nil"/>
              <w:left w:val="nil"/>
              <w:bottom w:val="nil"/>
              <w:right w:val="nil"/>
            </w:tcBorders>
            <w:vAlign w:val="center"/>
            <w:hideMark/>
          </w:tcPr>
          <w:p w14:paraId="6F2856AB" w14:textId="77777777" w:rsidR="00185B15" w:rsidRPr="00185B15" w:rsidRDefault="00185B15" w:rsidP="00185B15">
            <w:pPr>
              <w:spacing w:after="0" w:line="240" w:lineRule="auto"/>
              <w:rPr>
                <w:rFonts w:ascii="Times New Roman" w:hAnsi="Times New Roman"/>
                <w:color w:val="000000"/>
                <w:sz w:val="18"/>
                <w:szCs w:val="18"/>
                <w:lang w:eastAsia="sk-SK"/>
              </w:rPr>
            </w:pPr>
            <w:r w:rsidRPr="00185B15">
              <w:rPr>
                <w:rFonts w:ascii="Times New Roman" w:hAnsi="Times New Roman"/>
                <w:color w:val="000000"/>
                <w:sz w:val="18"/>
                <w:szCs w:val="18"/>
                <w:lang w:eastAsia="sk-SK"/>
              </w:rPr>
              <w:t>Náklady</w:t>
            </w:r>
            <w:r w:rsidRPr="00185B15">
              <w:rPr>
                <w:rFonts w:ascii="Times New Roman" w:hAnsi="Times New Roman"/>
                <w:color w:val="000000"/>
                <w:sz w:val="16"/>
                <w:szCs w:val="16"/>
                <w:lang w:eastAsia="sk-SK"/>
              </w:rPr>
              <w:t> </w:t>
            </w:r>
            <w:r w:rsidRPr="00185B15">
              <w:rPr>
                <w:rFonts w:ascii="Times New Roman" w:hAnsi="Times New Roman"/>
                <w:color w:val="000000"/>
                <w:sz w:val="18"/>
                <w:szCs w:val="18"/>
                <w:lang w:eastAsia="sk-SK"/>
              </w:rPr>
              <w:t xml:space="preserve"> na zostavenie, overenie, zverejnenie účtovnej závierky a výročnej správy*</w:t>
            </w:r>
          </w:p>
        </w:tc>
        <w:tc>
          <w:tcPr>
            <w:tcW w:w="450" w:type="pct"/>
            <w:tcBorders>
              <w:top w:val="nil"/>
              <w:left w:val="nil"/>
              <w:bottom w:val="nil"/>
              <w:right w:val="nil"/>
            </w:tcBorders>
            <w:vAlign w:val="center"/>
            <w:hideMark/>
          </w:tcPr>
          <w:p w14:paraId="7991D6E7"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2 273</w:t>
            </w:r>
          </w:p>
        </w:tc>
        <w:tc>
          <w:tcPr>
            <w:tcW w:w="493" w:type="pct"/>
            <w:tcBorders>
              <w:top w:val="nil"/>
              <w:left w:val="nil"/>
              <w:bottom w:val="nil"/>
              <w:right w:val="nil"/>
            </w:tcBorders>
            <w:vAlign w:val="center"/>
            <w:hideMark/>
          </w:tcPr>
          <w:p w14:paraId="6AEE54A0"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2 357</w:t>
            </w:r>
          </w:p>
        </w:tc>
        <w:tc>
          <w:tcPr>
            <w:tcW w:w="581" w:type="pct"/>
            <w:tcBorders>
              <w:top w:val="nil"/>
              <w:left w:val="nil"/>
              <w:bottom w:val="nil"/>
              <w:right w:val="nil"/>
            </w:tcBorders>
            <w:vAlign w:val="center"/>
            <w:hideMark/>
          </w:tcPr>
          <w:p w14:paraId="54316FF1"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-84</w:t>
            </w:r>
          </w:p>
        </w:tc>
      </w:tr>
      <w:tr w:rsidR="00185B15" w:rsidRPr="00185B15" w14:paraId="25C6C3B4" w14:textId="77777777" w:rsidTr="00185B15">
        <w:trPr>
          <w:trHeight w:val="227"/>
          <w:jc w:val="center"/>
        </w:trPr>
        <w:tc>
          <w:tcPr>
            <w:tcW w:w="3476" w:type="pct"/>
            <w:tcBorders>
              <w:top w:val="nil"/>
              <w:left w:val="nil"/>
              <w:bottom w:val="nil"/>
              <w:right w:val="nil"/>
            </w:tcBorders>
            <w:vAlign w:val="center"/>
            <w:hideMark/>
          </w:tcPr>
          <w:p w14:paraId="2AD435B1" w14:textId="77777777" w:rsidR="00185B15" w:rsidRPr="00185B15" w:rsidRDefault="00185B15" w:rsidP="00185B15">
            <w:pPr>
              <w:spacing w:after="0" w:line="240" w:lineRule="auto"/>
              <w:rPr>
                <w:rFonts w:ascii="Times New Roman" w:hAnsi="Times New Roman"/>
                <w:color w:val="000000"/>
                <w:sz w:val="18"/>
                <w:szCs w:val="18"/>
                <w:lang w:eastAsia="sk-SK"/>
              </w:rPr>
            </w:pPr>
            <w:r w:rsidRPr="00185B15">
              <w:rPr>
                <w:rFonts w:ascii="Times New Roman" w:hAnsi="Times New Roman"/>
                <w:color w:val="000000"/>
                <w:sz w:val="18"/>
                <w:szCs w:val="18"/>
                <w:lang w:eastAsia="sk-SK"/>
              </w:rPr>
              <w:t>Rezerva na nezrovnalosti</w:t>
            </w:r>
          </w:p>
        </w:tc>
        <w:tc>
          <w:tcPr>
            <w:tcW w:w="450" w:type="pct"/>
            <w:tcBorders>
              <w:top w:val="nil"/>
              <w:left w:val="nil"/>
              <w:bottom w:val="nil"/>
              <w:right w:val="nil"/>
            </w:tcBorders>
            <w:vAlign w:val="center"/>
            <w:hideMark/>
          </w:tcPr>
          <w:p w14:paraId="2A1C9634"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883</w:t>
            </w:r>
          </w:p>
        </w:tc>
        <w:tc>
          <w:tcPr>
            <w:tcW w:w="493" w:type="pct"/>
            <w:tcBorders>
              <w:top w:val="nil"/>
              <w:left w:val="nil"/>
              <w:bottom w:val="nil"/>
              <w:right w:val="nil"/>
            </w:tcBorders>
            <w:vAlign w:val="center"/>
            <w:hideMark/>
          </w:tcPr>
          <w:p w14:paraId="25BB06A2"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46 077</w:t>
            </w:r>
          </w:p>
        </w:tc>
        <w:tc>
          <w:tcPr>
            <w:tcW w:w="581" w:type="pct"/>
            <w:tcBorders>
              <w:top w:val="nil"/>
              <w:left w:val="nil"/>
              <w:bottom w:val="nil"/>
              <w:right w:val="nil"/>
            </w:tcBorders>
            <w:vAlign w:val="center"/>
            <w:hideMark/>
          </w:tcPr>
          <w:p w14:paraId="12FA421B"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-45 194</w:t>
            </w:r>
          </w:p>
        </w:tc>
      </w:tr>
      <w:tr w:rsidR="00185B15" w:rsidRPr="00185B15" w14:paraId="0E8B6D96" w14:textId="77777777" w:rsidTr="00185B15">
        <w:trPr>
          <w:trHeight w:val="227"/>
          <w:jc w:val="center"/>
        </w:trPr>
        <w:tc>
          <w:tcPr>
            <w:tcW w:w="3476" w:type="pct"/>
            <w:tcBorders>
              <w:top w:val="nil"/>
              <w:left w:val="nil"/>
              <w:bottom w:val="nil"/>
              <w:right w:val="nil"/>
            </w:tcBorders>
            <w:vAlign w:val="center"/>
            <w:hideMark/>
          </w:tcPr>
          <w:p w14:paraId="554E8537" w14:textId="77777777" w:rsidR="00185B15" w:rsidRPr="00185B15" w:rsidRDefault="00185B15" w:rsidP="00185B15">
            <w:pPr>
              <w:spacing w:after="0" w:line="240" w:lineRule="auto"/>
              <w:rPr>
                <w:rFonts w:ascii="Times New Roman" w:hAnsi="Times New Roman"/>
                <w:color w:val="000000"/>
                <w:sz w:val="18"/>
                <w:szCs w:val="18"/>
                <w:lang w:eastAsia="sk-SK"/>
              </w:rPr>
            </w:pPr>
            <w:r w:rsidRPr="00185B15">
              <w:rPr>
                <w:rFonts w:ascii="Times New Roman" w:hAnsi="Times New Roman"/>
                <w:color w:val="000000"/>
                <w:sz w:val="18"/>
                <w:szCs w:val="18"/>
                <w:lang w:eastAsia="sk-SK"/>
              </w:rPr>
              <w:t>Náklady</w:t>
            </w:r>
            <w:r w:rsidRPr="00185B15">
              <w:rPr>
                <w:rFonts w:ascii="Times New Roman" w:hAnsi="Times New Roman"/>
                <w:color w:val="000000"/>
                <w:sz w:val="16"/>
                <w:szCs w:val="16"/>
                <w:lang w:eastAsia="sk-SK"/>
              </w:rPr>
              <w:t> </w:t>
            </w:r>
            <w:r w:rsidRPr="00185B15">
              <w:rPr>
                <w:rFonts w:ascii="Times New Roman" w:hAnsi="Times New Roman"/>
                <w:color w:val="000000"/>
                <w:sz w:val="18"/>
                <w:szCs w:val="18"/>
                <w:lang w:eastAsia="sk-SK"/>
              </w:rPr>
              <w:t xml:space="preserve"> súvisiace s odstránením znečistenia životného prostredia*</w:t>
            </w:r>
          </w:p>
        </w:tc>
        <w:tc>
          <w:tcPr>
            <w:tcW w:w="450" w:type="pct"/>
            <w:tcBorders>
              <w:top w:val="nil"/>
              <w:left w:val="nil"/>
              <w:bottom w:val="nil"/>
              <w:right w:val="nil"/>
            </w:tcBorders>
            <w:vAlign w:val="center"/>
            <w:hideMark/>
          </w:tcPr>
          <w:p w14:paraId="40596AFE"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285</w:t>
            </w:r>
          </w:p>
        </w:tc>
        <w:tc>
          <w:tcPr>
            <w:tcW w:w="493" w:type="pct"/>
            <w:tcBorders>
              <w:top w:val="nil"/>
              <w:left w:val="nil"/>
              <w:bottom w:val="nil"/>
              <w:right w:val="nil"/>
            </w:tcBorders>
            <w:vAlign w:val="center"/>
            <w:hideMark/>
          </w:tcPr>
          <w:p w14:paraId="416A6E36"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349</w:t>
            </w:r>
          </w:p>
        </w:tc>
        <w:tc>
          <w:tcPr>
            <w:tcW w:w="581" w:type="pct"/>
            <w:tcBorders>
              <w:top w:val="nil"/>
              <w:left w:val="nil"/>
              <w:bottom w:val="nil"/>
              <w:right w:val="nil"/>
            </w:tcBorders>
            <w:vAlign w:val="center"/>
            <w:hideMark/>
          </w:tcPr>
          <w:p w14:paraId="2B12E296"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-64</w:t>
            </w:r>
          </w:p>
        </w:tc>
      </w:tr>
      <w:tr w:rsidR="00185B15" w:rsidRPr="00185B15" w14:paraId="783EE8A1" w14:textId="77777777" w:rsidTr="00185B15">
        <w:trPr>
          <w:trHeight w:val="227"/>
          <w:jc w:val="center"/>
        </w:trPr>
        <w:tc>
          <w:tcPr>
            <w:tcW w:w="3476" w:type="pct"/>
            <w:tcBorders>
              <w:top w:val="nil"/>
              <w:left w:val="nil"/>
              <w:bottom w:val="single" w:sz="8" w:space="0" w:color="auto"/>
              <w:right w:val="nil"/>
            </w:tcBorders>
            <w:vAlign w:val="center"/>
            <w:hideMark/>
          </w:tcPr>
          <w:p w14:paraId="15F7C5D9" w14:textId="77777777" w:rsidR="00185B15" w:rsidRPr="00185B15" w:rsidRDefault="00185B15" w:rsidP="00185B15">
            <w:pPr>
              <w:spacing w:after="0" w:line="240" w:lineRule="auto"/>
              <w:rPr>
                <w:rFonts w:ascii="Times New Roman" w:hAnsi="Times New Roman"/>
                <w:color w:val="000000"/>
                <w:sz w:val="18"/>
                <w:szCs w:val="18"/>
                <w:lang w:eastAsia="sk-SK"/>
              </w:rPr>
            </w:pPr>
            <w:r w:rsidRPr="00185B15">
              <w:rPr>
                <w:rFonts w:ascii="Times New Roman" w:hAnsi="Times New Roman"/>
                <w:color w:val="000000"/>
                <w:sz w:val="18"/>
                <w:szCs w:val="18"/>
                <w:lang w:eastAsia="sk-SK"/>
              </w:rPr>
              <w:t>Ostatné</w:t>
            </w:r>
          </w:p>
        </w:tc>
        <w:tc>
          <w:tcPr>
            <w:tcW w:w="450" w:type="pct"/>
            <w:tcBorders>
              <w:top w:val="nil"/>
              <w:left w:val="nil"/>
              <w:bottom w:val="single" w:sz="8" w:space="0" w:color="auto"/>
              <w:right w:val="nil"/>
            </w:tcBorders>
            <w:vAlign w:val="center"/>
            <w:hideMark/>
          </w:tcPr>
          <w:p w14:paraId="5D6DCBB4" w14:textId="70B66A29" w:rsidR="00185B15" w:rsidRPr="00185B15" w:rsidRDefault="00DA3DCE" w:rsidP="00185B15">
            <w:pPr>
              <w:spacing w:after="0" w:line="240" w:lineRule="auto"/>
              <w:jc w:val="right"/>
              <w:rPr>
                <w:rFonts w:ascii="Times New Roman" w:hAnsi="Times New Roman"/>
                <w:color w:val="000000"/>
                <w:sz w:val="18"/>
                <w:szCs w:val="18"/>
                <w:lang w:eastAsia="sk-SK"/>
              </w:rPr>
            </w:pPr>
            <w:r>
              <w:rPr>
                <w:rFonts w:ascii="Times New Roman" w:hAnsi="Times New Roman"/>
                <w:color w:val="000000"/>
                <w:sz w:val="18"/>
                <w:szCs w:val="18"/>
                <w:lang w:eastAsia="sk-SK"/>
              </w:rPr>
              <w:t>349 230</w:t>
            </w:r>
          </w:p>
        </w:tc>
        <w:tc>
          <w:tcPr>
            <w:tcW w:w="493" w:type="pct"/>
            <w:tcBorders>
              <w:top w:val="nil"/>
              <w:left w:val="nil"/>
              <w:bottom w:val="single" w:sz="8" w:space="0" w:color="auto"/>
              <w:right w:val="nil"/>
            </w:tcBorders>
            <w:vAlign w:val="center"/>
            <w:hideMark/>
          </w:tcPr>
          <w:p w14:paraId="582CA93B" w14:textId="77777777"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361 101</w:t>
            </w:r>
          </w:p>
        </w:tc>
        <w:tc>
          <w:tcPr>
            <w:tcW w:w="581" w:type="pct"/>
            <w:tcBorders>
              <w:top w:val="nil"/>
              <w:left w:val="nil"/>
              <w:bottom w:val="nil"/>
              <w:right w:val="nil"/>
            </w:tcBorders>
            <w:vAlign w:val="center"/>
            <w:hideMark/>
          </w:tcPr>
          <w:p w14:paraId="44652B67" w14:textId="21139245" w:rsidR="00185B15" w:rsidRPr="00185B15" w:rsidRDefault="00185B15" w:rsidP="00185B15">
            <w:pPr>
              <w:spacing w:after="0" w:line="240" w:lineRule="auto"/>
              <w:jc w:val="right"/>
              <w:rPr>
                <w:rFonts w:ascii="Times New Roman" w:hAnsi="Times New Roman"/>
                <w:color w:val="000000"/>
                <w:sz w:val="18"/>
                <w:szCs w:val="18"/>
                <w:lang w:eastAsia="sk-SK"/>
              </w:rPr>
            </w:pPr>
            <w:r w:rsidRPr="00185B15">
              <w:rPr>
                <w:rFonts w:ascii="Times New Roman" w:hAnsi="Times New Roman"/>
                <w:color w:val="000000"/>
                <w:sz w:val="18"/>
                <w:szCs w:val="18"/>
                <w:lang w:eastAsia="sk-SK"/>
              </w:rPr>
              <w:t>-</w:t>
            </w:r>
            <w:r w:rsidR="00DA3DCE">
              <w:rPr>
                <w:rFonts w:ascii="Times New Roman" w:hAnsi="Times New Roman"/>
                <w:color w:val="000000"/>
                <w:sz w:val="18"/>
                <w:szCs w:val="18"/>
                <w:lang w:eastAsia="sk-SK"/>
              </w:rPr>
              <w:t>11 871</w:t>
            </w:r>
          </w:p>
        </w:tc>
      </w:tr>
      <w:tr w:rsidR="00185B15" w:rsidRPr="00185B15" w14:paraId="6E56D0A8" w14:textId="77777777" w:rsidTr="00185B15">
        <w:trPr>
          <w:trHeight w:val="227"/>
          <w:jc w:val="center"/>
        </w:trPr>
        <w:tc>
          <w:tcPr>
            <w:tcW w:w="3476" w:type="pct"/>
            <w:tcBorders>
              <w:top w:val="nil"/>
              <w:left w:val="nil"/>
              <w:bottom w:val="single" w:sz="8" w:space="0" w:color="000000"/>
              <w:right w:val="nil"/>
            </w:tcBorders>
            <w:vAlign w:val="center"/>
            <w:hideMark/>
          </w:tcPr>
          <w:p w14:paraId="206F5D01" w14:textId="77777777" w:rsidR="00185B15" w:rsidRPr="00185B15" w:rsidRDefault="00185B15" w:rsidP="00185B15">
            <w:pPr>
              <w:spacing w:after="0" w:line="240" w:lineRule="auto"/>
              <w:rPr>
                <w:rFonts w:ascii="Times New Roman" w:hAnsi="Times New Roman"/>
                <w:b/>
                <w:bCs/>
                <w:color w:val="000000"/>
                <w:sz w:val="18"/>
                <w:szCs w:val="18"/>
                <w:lang w:eastAsia="sk-SK"/>
              </w:rPr>
            </w:pPr>
            <w:r w:rsidRPr="00185B15">
              <w:rPr>
                <w:rFonts w:ascii="Times New Roman" w:hAnsi="Times New Roman"/>
                <w:b/>
                <w:bCs/>
                <w:color w:val="000000"/>
                <w:sz w:val="18"/>
                <w:szCs w:val="18"/>
                <w:lang w:eastAsia="sk-SK"/>
              </w:rPr>
              <w:t>Spolu</w:t>
            </w:r>
          </w:p>
        </w:tc>
        <w:tc>
          <w:tcPr>
            <w:tcW w:w="450" w:type="pct"/>
            <w:tcBorders>
              <w:top w:val="nil"/>
              <w:left w:val="nil"/>
              <w:bottom w:val="single" w:sz="8" w:space="0" w:color="000000"/>
              <w:right w:val="nil"/>
            </w:tcBorders>
            <w:vAlign w:val="center"/>
            <w:hideMark/>
          </w:tcPr>
          <w:p w14:paraId="6B4FB438" w14:textId="06DF1FC9" w:rsidR="00185B15" w:rsidRPr="00185B15" w:rsidRDefault="00DA3DCE" w:rsidP="00185B15">
            <w:pPr>
              <w:spacing w:after="0" w:line="240" w:lineRule="auto"/>
              <w:jc w:val="right"/>
              <w:rPr>
                <w:rFonts w:ascii="Times New Roman" w:hAnsi="Times New Roman"/>
                <w:b/>
                <w:bCs/>
                <w:color w:val="000000"/>
                <w:sz w:val="18"/>
                <w:szCs w:val="18"/>
                <w:lang w:eastAsia="sk-SK"/>
              </w:rPr>
            </w:pPr>
            <w:r>
              <w:rPr>
                <w:rFonts w:ascii="Times New Roman" w:hAnsi="Times New Roman"/>
                <w:b/>
                <w:bCs/>
                <w:color w:val="000000"/>
                <w:sz w:val="18"/>
                <w:szCs w:val="18"/>
                <w:lang w:eastAsia="sk-SK"/>
              </w:rPr>
              <w:t>1</w:t>
            </w:r>
            <w:r w:rsidR="00116FFF">
              <w:rPr>
                <w:rFonts w:ascii="Times New Roman" w:hAnsi="Times New Roman"/>
                <w:b/>
                <w:bCs/>
                <w:color w:val="000000"/>
                <w:sz w:val="18"/>
                <w:szCs w:val="18"/>
                <w:lang w:eastAsia="sk-SK"/>
              </w:rPr>
              <w:t> 271 463</w:t>
            </w:r>
          </w:p>
        </w:tc>
        <w:tc>
          <w:tcPr>
            <w:tcW w:w="493" w:type="pct"/>
            <w:tcBorders>
              <w:top w:val="nil"/>
              <w:left w:val="nil"/>
              <w:bottom w:val="single" w:sz="8" w:space="0" w:color="000000"/>
              <w:right w:val="nil"/>
            </w:tcBorders>
            <w:vAlign w:val="center"/>
            <w:hideMark/>
          </w:tcPr>
          <w:p w14:paraId="6BC1C5C5" w14:textId="77777777" w:rsidR="00185B15" w:rsidRPr="00185B15" w:rsidRDefault="00185B15" w:rsidP="00185B15">
            <w:pPr>
              <w:spacing w:after="0" w:line="240" w:lineRule="auto"/>
              <w:jc w:val="right"/>
              <w:rPr>
                <w:rFonts w:ascii="Times New Roman" w:hAnsi="Times New Roman"/>
                <w:b/>
                <w:bCs/>
                <w:color w:val="000000"/>
                <w:sz w:val="18"/>
                <w:szCs w:val="18"/>
                <w:lang w:eastAsia="sk-SK"/>
              </w:rPr>
            </w:pPr>
            <w:r w:rsidRPr="00185B15">
              <w:rPr>
                <w:rFonts w:ascii="Times New Roman" w:hAnsi="Times New Roman"/>
                <w:b/>
                <w:bCs/>
                <w:color w:val="000000"/>
                <w:sz w:val="18"/>
                <w:szCs w:val="18"/>
                <w:lang w:eastAsia="sk-SK"/>
              </w:rPr>
              <w:t>1 207 160</w:t>
            </w:r>
          </w:p>
        </w:tc>
        <w:tc>
          <w:tcPr>
            <w:tcW w:w="581" w:type="pct"/>
            <w:tcBorders>
              <w:top w:val="single" w:sz="8" w:space="0" w:color="000000"/>
              <w:left w:val="nil"/>
              <w:bottom w:val="single" w:sz="8" w:space="0" w:color="000000"/>
              <w:right w:val="nil"/>
            </w:tcBorders>
            <w:vAlign w:val="center"/>
            <w:hideMark/>
          </w:tcPr>
          <w:p w14:paraId="03CD1978" w14:textId="38D316C5" w:rsidR="00185B15" w:rsidRPr="00185B15" w:rsidRDefault="00185B15" w:rsidP="00185B15">
            <w:pPr>
              <w:spacing w:after="0" w:line="240" w:lineRule="auto"/>
              <w:jc w:val="right"/>
              <w:rPr>
                <w:rFonts w:ascii="Times New Roman" w:hAnsi="Times New Roman"/>
                <w:b/>
                <w:bCs/>
                <w:color w:val="000000"/>
                <w:sz w:val="18"/>
                <w:szCs w:val="18"/>
                <w:lang w:eastAsia="sk-SK"/>
              </w:rPr>
            </w:pPr>
            <w:r w:rsidRPr="00185B15">
              <w:rPr>
                <w:rFonts w:ascii="Times New Roman" w:hAnsi="Times New Roman"/>
                <w:b/>
                <w:bCs/>
                <w:color w:val="000000"/>
                <w:sz w:val="18"/>
                <w:szCs w:val="18"/>
                <w:lang w:eastAsia="sk-SK"/>
              </w:rPr>
              <w:t>-</w:t>
            </w:r>
            <w:r w:rsidR="00116FFF">
              <w:rPr>
                <w:rFonts w:ascii="Times New Roman" w:hAnsi="Times New Roman"/>
                <w:b/>
                <w:bCs/>
                <w:color w:val="000000"/>
                <w:sz w:val="18"/>
                <w:szCs w:val="18"/>
                <w:lang w:eastAsia="sk-SK"/>
              </w:rPr>
              <w:t>64 303</w:t>
            </w:r>
          </w:p>
        </w:tc>
      </w:tr>
      <w:tr w:rsidR="00185B15" w:rsidRPr="00185B15" w14:paraId="085946CB" w14:textId="77777777" w:rsidTr="0085799C">
        <w:trPr>
          <w:trHeight w:val="227"/>
          <w:jc w:val="center"/>
        </w:trPr>
        <w:tc>
          <w:tcPr>
            <w:tcW w:w="5000" w:type="pct"/>
            <w:gridSpan w:val="4"/>
            <w:tcBorders>
              <w:top w:val="single" w:sz="8" w:space="0" w:color="000000"/>
              <w:left w:val="nil"/>
              <w:bottom w:val="nil"/>
              <w:right w:val="nil"/>
            </w:tcBorders>
            <w:noWrap/>
            <w:vAlign w:val="center"/>
            <w:hideMark/>
          </w:tcPr>
          <w:p w14:paraId="138FA27D" w14:textId="77777777" w:rsidR="00185B15" w:rsidRPr="00185B15" w:rsidRDefault="00185B15" w:rsidP="00185B15">
            <w:pPr>
              <w:spacing w:after="0" w:line="240" w:lineRule="auto"/>
              <w:rPr>
                <w:rFonts w:ascii="Times New Roman" w:hAnsi="Times New Roman"/>
                <w:color w:val="000000"/>
                <w:sz w:val="16"/>
                <w:szCs w:val="16"/>
                <w:lang w:eastAsia="sk-SK"/>
              </w:rPr>
            </w:pPr>
            <w:r w:rsidRPr="00185B15">
              <w:rPr>
                <w:rFonts w:ascii="Times New Roman" w:hAnsi="Times New Roman"/>
                <w:color w:val="000000"/>
                <w:sz w:val="16"/>
                <w:szCs w:val="16"/>
                <w:lang w:eastAsia="sk-SK"/>
              </w:rPr>
              <w:t>*Za ústrednú správu, VUC a vybrané subjekty                                                          Zdroj: MF SR, Centrálny konsolidačný systém</w:t>
            </w:r>
          </w:p>
        </w:tc>
      </w:tr>
    </w:tbl>
    <w:p w14:paraId="5AEF94CA" w14:textId="77777777" w:rsidR="000C4605" w:rsidRPr="0085799C" w:rsidRDefault="000C4605" w:rsidP="00A44BB3">
      <w:pPr>
        <w:spacing w:after="120" w:line="240" w:lineRule="auto"/>
        <w:jc w:val="both"/>
        <w:rPr>
          <w:rFonts w:ascii="Times New Roman" w:hAnsi="Times New Roman"/>
          <w:bCs/>
          <w:szCs w:val="22"/>
          <w:u w:val="single"/>
          <w:lang w:eastAsia="sk-SK"/>
        </w:rPr>
      </w:pPr>
    </w:p>
    <w:p w14:paraId="011E7621" w14:textId="45431446" w:rsidR="00647542" w:rsidRPr="00907622" w:rsidRDefault="00647542" w:rsidP="0085799C">
      <w:pPr>
        <w:spacing w:after="120" w:line="240" w:lineRule="auto"/>
        <w:jc w:val="both"/>
        <w:rPr>
          <w:rFonts w:ascii="Times New Roman" w:hAnsi="Times New Roman"/>
          <w:szCs w:val="22"/>
          <w:lang w:eastAsia="sk-SK"/>
        </w:rPr>
      </w:pPr>
      <w:r w:rsidRPr="00907622">
        <w:rPr>
          <w:rFonts w:ascii="Times New Roman" w:hAnsi="Times New Roman"/>
          <w:i/>
          <w:szCs w:val="22"/>
          <w:u w:val="single"/>
          <w:lang w:eastAsia="sk-SK"/>
        </w:rPr>
        <w:t>Rezerva Všeobecnej zdravotnej poisťovne, a.s.</w:t>
      </w:r>
      <w:r w:rsidRPr="00907622">
        <w:rPr>
          <w:rFonts w:ascii="Times New Roman" w:hAnsi="Times New Roman"/>
          <w:szCs w:val="22"/>
          <w:lang w:eastAsia="sk-SK"/>
        </w:rPr>
        <w:t xml:space="preserve"> je tvorená najmä technickou rezervou na poistné plnenie (na liečbu na území Slovenskej republiky a v cudzine a na výkony pre poistencov čakajúcich na poskytnutie zdravotnej starostlivosti) a inou technickou rezervou. Medziročne je vyššia o</w:t>
      </w:r>
      <w:r w:rsidR="00B047CE">
        <w:rPr>
          <w:rFonts w:ascii="Times New Roman" w:hAnsi="Times New Roman"/>
          <w:szCs w:val="22"/>
          <w:lang w:eastAsia="sk-SK"/>
        </w:rPr>
        <w:t> 12</w:t>
      </w:r>
      <w:r w:rsidR="007230FC">
        <w:rPr>
          <w:rFonts w:ascii="Times New Roman" w:hAnsi="Times New Roman"/>
          <w:szCs w:val="22"/>
          <w:lang w:eastAsia="sk-SK"/>
        </w:rPr>
        <w:t> </w:t>
      </w:r>
      <w:r w:rsidR="00B047CE">
        <w:rPr>
          <w:rFonts w:ascii="Times New Roman" w:hAnsi="Times New Roman"/>
          <w:szCs w:val="22"/>
          <w:lang w:eastAsia="sk-SK"/>
        </w:rPr>
        <w:t>491</w:t>
      </w:r>
      <w:r w:rsidRPr="00907622">
        <w:rPr>
          <w:rFonts w:ascii="Times New Roman" w:hAnsi="Times New Roman"/>
          <w:szCs w:val="22"/>
          <w:lang w:eastAsia="sk-SK"/>
        </w:rPr>
        <w:t xml:space="preserve"> tis. eur. Všeobecná zdravotná poisťovňa, a.s. tvorí technické rezervy na neuhradenú a plánovanú zdravotnú starostlivosť voči poskytovateľom zdravotnej starostlivosti a iné technické rezervy najmä na </w:t>
      </w:r>
      <w:proofErr w:type="spellStart"/>
      <w:r w:rsidRPr="00907622">
        <w:rPr>
          <w:rFonts w:ascii="Times New Roman" w:hAnsi="Times New Roman"/>
          <w:szCs w:val="22"/>
          <w:lang w:eastAsia="sk-SK"/>
        </w:rPr>
        <w:t>vratky</w:t>
      </w:r>
      <w:proofErr w:type="spellEnd"/>
      <w:r w:rsidRPr="00907622">
        <w:rPr>
          <w:rFonts w:ascii="Times New Roman" w:hAnsi="Times New Roman"/>
          <w:szCs w:val="22"/>
          <w:lang w:eastAsia="sk-SK"/>
        </w:rPr>
        <w:t xml:space="preserve"> poistencom za doplatky za lieky a na príspevok na činnosť operačných stredísk tiesňového volania zdravotnej záchrannej služby. </w:t>
      </w:r>
    </w:p>
    <w:p w14:paraId="08A67E39" w14:textId="60ACC055" w:rsidR="00647542" w:rsidRPr="00B46BE0" w:rsidRDefault="00647542" w:rsidP="0085799C">
      <w:pPr>
        <w:spacing w:after="120" w:line="240" w:lineRule="auto"/>
        <w:jc w:val="both"/>
        <w:rPr>
          <w:rFonts w:ascii="Times New Roman" w:hAnsi="Times New Roman"/>
          <w:i/>
          <w:szCs w:val="22"/>
          <w:u w:val="single"/>
          <w:lang w:eastAsia="sk-SK"/>
        </w:rPr>
      </w:pPr>
      <w:r w:rsidRPr="00B46BE0">
        <w:rPr>
          <w:rFonts w:ascii="Times New Roman" w:hAnsi="Times New Roman"/>
          <w:i/>
          <w:szCs w:val="22"/>
          <w:u w:val="single"/>
          <w:lang w:eastAsia="sk-SK"/>
        </w:rPr>
        <w:t>Z krátkodobých rezerv na súdne spory</w:t>
      </w:r>
      <w:r w:rsidRPr="00B46BE0">
        <w:rPr>
          <w:rFonts w:ascii="Times New Roman" w:hAnsi="Times New Roman"/>
          <w:i/>
          <w:szCs w:val="22"/>
          <w:lang w:eastAsia="sk-SK"/>
        </w:rPr>
        <w:t xml:space="preserve"> </w:t>
      </w:r>
      <w:r w:rsidRPr="00B46BE0">
        <w:rPr>
          <w:rFonts w:ascii="Times New Roman" w:hAnsi="Times New Roman"/>
          <w:szCs w:val="22"/>
          <w:lang w:eastAsia="sk-SK"/>
        </w:rPr>
        <w:t>vykazuje najvýznamnejšiu hodnotu Ministerstvo spravodlivosti SR (</w:t>
      </w:r>
      <w:r w:rsidR="00405F4D" w:rsidRPr="0085799C">
        <w:rPr>
          <w:rFonts w:ascii="Times New Roman" w:hAnsi="Times New Roman"/>
          <w:szCs w:val="22"/>
          <w:lang w:eastAsia="sk-SK"/>
        </w:rPr>
        <w:t>120</w:t>
      </w:r>
      <w:r w:rsidRPr="00B46BE0">
        <w:rPr>
          <w:rFonts w:ascii="Times New Roman" w:hAnsi="Times New Roman"/>
          <w:szCs w:val="22"/>
          <w:lang w:eastAsia="sk-SK"/>
        </w:rPr>
        <w:t> </w:t>
      </w:r>
      <w:r w:rsidR="00405F4D" w:rsidRPr="0085799C">
        <w:rPr>
          <w:rFonts w:ascii="Times New Roman" w:hAnsi="Times New Roman"/>
          <w:szCs w:val="22"/>
          <w:lang w:eastAsia="sk-SK"/>
        </w:rPr>
        <w:t>642</w:t>
      </w:r>
      <w:r w:rsidRPr="00B46BE0">
        <w:rPr>
          <w:rFonts w:ascii="Times New Roman" w:hAnsi="Times New Roman"/>
          <w:szCs w:val="22"/>
          <w:lang w:eastAsia="sk-SK"/>
        </w:rPr>
        <w:t> tis. eur)</w:t>
      </w:r>
      <w:r w:rsidR="00832368" w:rsidRPr="0085799C">
        <w:rPr>
          <w:rFonts w:ascii="Times New Roman" w:hAnsi="Times New Roman"/>
          <w:szCs w:val="22"/>
          <w:lang w:eastAsia="sk-SK"/>
        </w:rPr>
        <w:t>,</w:t>
      </w:r>
      <w:r w:rsidRPr="00B46BE0">
        <w:rPr>
          <w:rFonts w:ascii="Times New Roman" w:hAnsi="Times New Roman"/>
          <w:szCs w:val="22"/>
          <w:lang w:eastAsia="sk-SK"/>
        </w:rPr>
        <w:t xml:space="preserve"> Ministerstvo </w:t>
      </w:r>
      <w:r w:rsidR="00405F4D" w:rsidRPr="0085799C">
        <w:rPr>
          <w:rFonts w:ascii="Times New Roman" w:hAnsi="Times New Roman"/>
          <w:szCs w:val="22"/>
          <w:lang w:eastAsia="sk-SK"/>
        </w:rPr>
        <w:t>dopravy</w:t>
      </w:r>
      <w:r w:rsidRPr="00B46BE0">
        <w:rPr>
          <w:rFonts w:ascii="Times New Roman" w:hAnsi="Times New Roman"/>
          <w:szCs w:val="22"/>
          <w:lang w:eastAsia="sk-SK"/>
        </w:rPr>
        <w:t xml:space="preserve"> SR (</w:t>
      </w:r>
      <w:r w:rsidR="00405F4D" w:rsidRPr="0085799C">
        <w:rPr>
          <w:rFonts w:ascii="Times New Roman" w:hAnsi="Times New Roman"/>
          <w:szCs w:val="22"/>
          <w:lang w:eastAsia="sk-SK"/>
        </w:rPr>
        <w:t>73</w:t>
      </w:r>
      <w:r w:rsidR="007230FC">
        <w:rPr>
          <w:rFonts w:ascii="Times New Roman" w:hAnsi="Times New Roman"/>
          <w:szCs w:val="22"/>
          <w:lang w:eastAsia="sk-SK"/>
        </w:rPr>
        <w:t> </w:t>
      </w:r>
      <w:r w:rsidR="00405F4D" w:rsidRPr="0085799C">
        <w:rPr>
          <w:rFonts w:ascii="Times New Roman" w:hAnsi="Times New Roman"/>
          <w:szCs w:val="22"/>
          <w:lang w:eastAsia="sk-SK"/>
        </w:rPr>
        <w:t>620</w:t>
      </w:r>
      <w:r w:rsidRPr="00B46BE0">
        <w:rPr>
          <w:rFonts w:ascii="Times New Roman" w:hAnsi="Times New Roman"/>
          <w:szCs w:val="22"/>
          <w:lang w:eastAsia="sk-SK"/>
        </w:rPr>
        <w:t> tis. eur)</w:t>
      </w:r>
      <w:r w:rsidR="00832368" w:rsidRPr="0085799C">
        <w:rPr>
          <w:rFonts w:ascii="Times New Roman" w:hAnsi="Times New Roman"/>
          <w:szCs w:val="22"/>
          <w:lang w:eastAsia="sk-SK"/>
        </w:rPr>
        <w:t xml:space="preserve"> a Ministerstvo pôdohospodárstva a rozvoja vidieka SR (35 836</w:t>
      </w:r>
      <w:r w:rsidR="007230FC">
        <w:rPr>
          <w:rFonts w:ascii="Times New Roman" w:hAnsi="Times New Roman"/>
          <w:szCs w:val="22"/>
          <w:lang w:eastAsia="sk-SK"/>
        </w:rPr>
        <w:t> </w:t>
      </w:r>
      <w:r w:rsidR="00832368" w:rsidRPr="0085799C">
        <w:rPr>
          <w:rFonts w:ascii="Times New Roman" w:hAnsi="Times New Roman"/>
          <w:szCs w:val="22"/>
          <w:lang w:eastAsia="sk-SK"/>
        </w:rPr>
        <w:t>tis.</w:t>
      </w:r>
      <w:r w:rsidR="007230FC">
        <w:rPr>
          <w:rFonts w:ascii="Times New Roman" w:hAnsi="Times New Roman"/>
          <w:szCs w:val="22"/>
          <w:lang w:eastAsia="sk-SK"/>
        </w:rPr>
        <w:t> </w:t>
      </w:r>
      <w:r w:rsidRPr="0085799C">
        <w:rPr>
          <w:rFonts w:ascii="Times New Roman" w:hAnsi="Times New Roman"/>
          <w:szCs w:val="22"/>
          <w:lang w:eastAsia="sk-SK"/>
        </w:rPr>
        <w:t>eur)</w:t>
      </w:r>
      <w:r w:rsidRPr="00B46BE0">
        <w:rPr>
          <w:rFonts w:ascii="Times New Roman" w:hAnsi="Times New Roman"/>
          <w:szCs w:val="22"/>
          <w:lang w:eastAsia="sk-SK"/>
        </w:rPr>
        <w:t>. Ďalej vykazujú významné krátkodobé rezervy na súdne spory obchodné spoločnosti a</w:t>
      </w:r>
      <w:r w:rsidR="007230FC">
        <w:rPr>
          <w:rFonts w:ascii="Times New Roman" w:hAnsi="Times New Roman"/>
          <w:szCs w:val="22"/>
          <w:lang w:eastAsia="sk-SK"/>
        </w:rPr>
        <w:t xml:space="preserve"> </w:t>
      </w:r>
      <w:r w:rsidRPr="00B46BE0">
        <w:rPr>
          <w:rFonts w:ascii="Times New Roman" w:hAnsi="Times New Roman"/>
          <w:szCs w:val="22"/>
          <w:lang w:eastAsia="sk-SK"/>
        </w:rPr>
        <w:t xml:space="preserve">štátne podniky v sume </w:t>
      </w:r>
      <w:r w:rsidR="00B46BE0" w:rsidRPr="0085799C">
        <w:rPr>
          <w:rFonts w:ascii="Times New Roman" w:hAnsi="Times New Roman"/>
          <w:szCs w:val="22"/>
          <w:lang w:eastAsia="sk-SK"/>
        </w:rPr>
        <w:t>viac než 46</w:t>
      </w:r>
      <w:r w:rsidR="007230FC">
        <w:rPr>
          <w:rFonts w:ascii="Times New Roman" w:hAnsi="Times New Roman"/>
          <w:szCs w:val="22"/>
          <w:lang w:eastAsia="sk-SK"/>
        </w:rPr>
        <w:t> </w:t>
      </w:r>
      <w:r w:rsidR="00B46BE0" w:rsidRPr="0085799C">
        <w:rPr>
          <w:rFonts w:ascii="Times New Roman" w:hAnsi="Times New Roman"/>
          <w:szCs w:val="22"/>
          <w:lang w:eastAsia="sk-SK"/>
        </w:rPr>
        <w:t>903</w:t>
      </w:r>
      <w:r w:rsidRPr="00B46BE0">
        <w:rPr>
          <w:rFonts w:ascii="Times New Roman" w:hAnsi="Times New Roman"/>
          <w:szCs w:val="22"/>
          <w:lang w:eastAsia="sk-SK"/>
        </w:rPr>
        <w:t xml:space="preserve"> tis. eur (v tom Národná diaľničná spoločnosť, a.s. </w:t>
      </w:r>
      <w:r w:rsidR="003230CF" w:rsidRPr="0085799C">
        <w:rPr>
          <w:rFonts w:ascii="Times New Roman" w:hAnsi="Times New Roman"/>
          <w:szCs w:val="22"/>
          <w:lang w:eastAsia="sk-SK"/>
        </w:rPr>
        <w:t>33</w:t>
      </w:r>
      <w:r w:rsidR="007230FC">
        <w:rPr>
          <w:rFonts w:ascii="Times New Roman" w:hAnsi="Times New Roman"/>
          <w:szCs w:val="22"/>
          <w:lang w:eastAsia="sk-SK"/>
        </w:rPr>
        <w:t> </w:t>
      </w:r>
      <w:r w:rsidR="003230CF" w:rsidRPr="0085799C">
        <w:rPr>
          <w:rFonts w:ascii="Times New Roman" w:hAnsi="Times New Roman"/>
          <w:szCs w:val="22"/>
          <w:lang w:eastAsia="sk-SK"/>
        </w:rPr>
        <w:t>664</w:t>
      </w:r>
      <w:r w:rsidRPr="00B46BE0">
        <w:rPr>
          <w:rFonts w:ascii="Times New Roman" w:hAnsi="Times New Roman"/>
          <w:szCs w:val="22"/>
          <w:lang w:eastAsia="sk-SK"/>
        </w:rPr>
        <w:t> tis. eur).</w:t>
      </w:r>
    </w:p>
    <w:p w14:paraId="764506F4" w14:textId="77777777" w:rsidR="00647542" w:rsidRPr="001B00DA" w:rsidRDefault="00647542" w:rsidP="0085799C">
      <w:pPr>
        <w:spacing w:after="120" w:line="240" w:lineRule="auto"/>
        <w:jc w:val="both"/>
        <w:rPr>
          <w:rFonts w:ascii="Times New Roman" w:hAnsi="Times New Roman"/>
          <w:i/>
          <w:szCs w:val="22"/>
          <w:u w:val="single"/>
          <w:lang w:eastAsia="sk-SK"/>
        </w:rPr>
      </w:pPr>
      <w:r w:rsidRPr="001B00DA">
        <w:rPr>
          <w:rFonts w:ascii="Times New Roman" w:hAnsi="Times New Roman"/>
          <w:i/>
          <w:szCs w:val="22"/>
          <w:u w:val="single"/>
          <w:lang w:eastAsia="sk-SK"/>
        </w:rPr>
        <w:t xml:space="preserve">Rezervy na vyraďovanie jadrových elektrární, na likvidáciu a vyraďovanie neenergetických zariadení, skladovanie a trvalé uloženie vyhoretého jadrového paliva </w:t>
      </w:r>
    </w:p>
    <w:p w14:paraId="5128B776" w14:textId="6F1D59B3" w:rsidR="00647542" w:rsidRPr="008640A1" w:rsidRDefault="00647542" w:rsidP="0085799C">
      <w:pPr>
        <w:spacing w:after="120" w:line="240" w:lineRule="auto"/>
        <w:jc w:val="both"/>
        <w:rPr>
          <w:rFonts w:ascii="Times New Roman" w:hAnsi="Times New Roman"/>
          <w:szCs w:val="22"/>
          <w:lang w:eastAsia="sk-SK"/>
        </w:rPr>
      </w:pPr>
      <w:r w:rsidRPr="008640A1">
        <w:rPr>
          <w:rFonts w:ascii="Times New Roman" w:hAnsi="Times New Roman"/>
          <w:szCs w:val="22"/>
          <w:lang w:eastAsia="sk-SK"/>
        </w:rPr>
        <w:t>Hodnota krátkodobej časti rezerv Jadrovej a vyraďovacej spoločnosti, a.s. k 31.</w:t>
      </w:r>
      <w:r w:rsidR="00867606">
        <w:rPr>
          <w:rFonts w:ascii="Times New Roman" w:hAnsi="Times New Roman"/>
          <w:szCs w:val="22"/>
          <w:lang w:eastAsia="sk-SK"/>
        </w:rPr>
        <w:t xml:space="preserve"> </w:t>
      </w:r>
      <w:r w:rsidRPr="008640A1">
        <w:rPr>
          <w:rFonts w:ascii="Times New Roman" w:hAnsi="Times New Roman"/>
          <w:szCs w:val="22"/>
          <w:lang w:eastAsia="sk-SK"/>
        </w:rPr>
        <w:t>12.</w:t>
      </w:r>
      <w:r w:rsidR="00867606">
        <w:rPr>
          <w:rFonts w:ascii="Times New Roman" w:hAnsi="Times New Roman"/>
          <w:szCs w:val="22"/>
          <w:lang w:eastAsia="sk-SK"/>
        </w:rPr>
        <w:t xml:space="preserve"> </w:t>
      </w:r>
      <w:r w:rsidRPr="008640A1">
        <w:rPr>
          <w:rFonts w:ascii="Times New Roman" w:hAnsi="Times New Roman"/>
          <w:szCs w:val="22"/>
          <w:lang w:eastAsia="sk-SK"/>
        </w:rPr>
        <w:t>202</w:t>
      </w:r>
      <w:r w:rsidR="00957F16" w:rsidRPr="0085799C">
        <w:rPr>
          <w:rFonts w:ascii="Times New Roman" w:hAnsi="Times New Roman"/>
          <w:szCs w:val="22"/>
          <w:lang w:eastAsia="sk-SK"/>
        </w:rPr>
        <w:t>4</w:t>
      </w:r>
      <w:r w:rsidRPr="008640A1">
        <w:rPr>
          <w:rFonts w:ascii="Times New Roman" w:hAnsi="Times New Roman"/>
          <w:szCs w:val="22"/>
          <w:lang w:eastAsia="sk-SK"/>
        </w:rPr>
        <w:t xml:space="preserve"> </w:t>
      </w:r>
      <w:r w:rsidR="005A5679" w:rsidRPr="0085799C">
        <w:rPr>
          <w:rFonts w:ascii="Times New Roman" w:hAnsi="Times New Roman"/>
          <w:szCs w:val="22"/>
          <w:lang w:eastAsia="sk-SK"/>
        </w:rPr>
        <w:t xml:space="preserve">bola vo výške </w:t>
      </w:r>
      <w:r w:rsidR="00F53D7F" w:rsidRPr="0085799C">
        <w:rPr>
          <w:rFonts w:ascii="Times New Roman" w:hAnsi="Times New Roman"/>
          <w:szCs w:val="22"/>
          <w:lang w:eastAsia="sk-SK"/>
        </w:rPr>
        <w:t>114</w:t>
      </w:r>
      <w:r w:rsidR="00C72798" w:rsidRPr="0085799C">
        <w:rPr>
          <w:rFonts w:ascii="Times New Roman" w:hAnsi="Times New Roman"/>
          <w:szCs w:val="22"/>
          <w:lang w:eastAsia="sk-SK"/>
        </w:rPr>
        <w:t xml:space="preserve"> 547</w:t>
      </w:r>
      <w:r w:rsidRPr="008640A1">
        <w:rPr>
          <w:rFonts w:ascii="Times New Roman" w:hAnsi="Times New Roman"/>
          <w:szCs w:val="22"/>
          <w:lang w:eastAsia="sk-SK"/>
        </w:rPr>
        <w:t xml:space="preserve"> tis. eur a bola medziročne </w:t>
      </w:r>
      <w:r w:rsidR="00C72798" w:rsidRPr="0085799C">
        <w:rPr>
          <w:rFonts w:ascii="Times New Roman" w:hAnsi="Times New Roman"/>
          <w:szCs w:val="22"/>
          <w:lang w:eastAsia="sk-SK"/>
        </w:rPr>
        <w:t>nižš</w:t>
      </w:r>
      <w:r w:rsidRPr="008640A1">
        <w:rPr>
          <w:rFonts w:ascii="Times New Roman" w:hAnsi="Times New Roman"/>
          <w:szCs w:val="22"/>
          <w:lang w:eastAsia="sk-SK"/>
        </w:rPr>
        <w:t>ia o</w:t>
      </w:r>
      <w:r w:rsidR="007230FC">
        <w:rPr>
          <w:rFonts w:ascii="Times New Roman" w:hAnsi="Times New Roman"/>
          <w:szCs w:val="22"/>
          <w:lang w:eastAsia="sk-SK"/>
        </w:rPr>
        <w:t xml:space="preserve"> </w:t>
      </w:r>
      <w:r w:rsidR="008640A1" w:rsidRPr="0085799C">
        <w:rPr>
          <w:rFonts w:ascii="Times New Roman" w:hAnsi="Times New Roman"/>
          <w:szCs w:val="22"/>
          <w:lang w:eastAsia="sk-SK"/>
        </w:rPr>
        <w:t>20 298</w:t>
      </w:r>
      <w:r w:rsidR="007230FC">
        <w:rPr>
          <w:rFonts w:ascii="Times New Roman" w:hAnsi="Times New Roman"/>
          <w:szCs w:val="22"/>
          <w:lang w:eastAsia="sk-SK"/>
        </w:rPr>
        <w:t> </w:t>
      </w:r>
      <w:r w:rsidRPr="008640A1">
        <w:rPr>
          <w:rFonts w:ascii="Times New Roman" w:hAnsi="Times New Roman"/>
          <w:szCs w:val="22"/>
          <w:lang w:eastAsia="sk-SK"/>
        </w:rPr>
        <w:t>tis. eur. V prípade týchto rezerv je predpokladaná doba vyrovnania záväzku do jedného roka. Ide o rezervu vytvorenú na vyraďovanie a likvidáciu jadrových elektrární A1 a V1.</w:t>
      </w:r>
    </w:p>
    <w:p w14:paraId="221312FE" w14:textId="77777777" w:rsidR="00647542" w:rsidRPr="00334EEE" w:rsidRDefault="00647542" w:rsidP="0085799C">
      <w:pPr>
        <w:spacing w:after="120" w:line="240" w:lineRule="auto"/>
        <w:jc w:val="both"/>
        <w:rPr>
          <w:rFonts w:ascii="Times New Roman" w:hAnsi="Times New Roman"/>
          <w:i/>
          <w:szCs w:val="22"/>
          <w:u w:val="single"/>
          <w:lang w:eastAsia="sk-SK"/>
        </w:rPr>
      </w:pPr>
      <w:r w:rsidRPr="00334EEE">
        <w:rPr>
          <w:rFonts w:ascii="Times New Roman" w:hAnsi="Times New Roman"/>
          <w:i/>
          <w:szCs w:val="22"/>
          <w:u w:val="single"/>
          <w:lang w:eastAsia="sk-SK"/>
        </w:rPr>
        <w:t>Rezerva na nevyfakturované dodávky</w:t>
      </w:r>
    </w:p>
    <w:p w14:paraId="50CC6E0B" w14:textId="63D2981A" w:rsidR="00647542" w:rsidRPr="0085799C" w:rsidRDefault="00647542" w:rsidP="0085799C">
      <w:pPr>
        <w:spacing w:after="120" w:line="240" w:lineRule="auto"/>
        <w:jc w:val="both"/>
        <w:rPr>
          <w:rFonts w:ascii="Times New Roman" w:hAnsi="Times New Roman"/>
          <w:szCs w:val="22"/>
          <w:lang w:eastAsia="sk-SK"/>
        </w:rPr>
      </w:pPr>
      <w:r w:rsidRPr="00334EEE">
        <w:rPr>
          <w:rFonts w:ascii="Times New Roman" w:hAnsi="Times New Roman"/>
          <w:szCs w:val="22"/>
          <w:lang w:eastAsia="sk-SK"/>
        </w:rPr>
        <w:t xml:space="preserve">Celková hodnota budúcich záväzkov za dodaný majetok, tovar alebo prijaté služby, ku ktorým do dňa zostavenia účtovnej závierky nebol doručený účtovný doklad preukazujúci ich presnú výšku, predstavuje </w:t>
      </w:r>
      <w:r w:rsidR="008640A1" w:rsidRPr="0085799C">
        <w:rPr>
          <w:rFonts w:ascii="Times New Roman" w:hAnsi="Times New Roman"/>
          <w:szCs w:val="22"/>
          <w:lang w:eastAsia="sk-SK"/>
        </w:rPr>
        <w:t>138</w:t>
      </w:r>
      <w:r w:rsidR="007230FC">
        <w:rPr>
          <w:rFonts w:ascii="Times New Roman" w:hAnsi="Times New Roman"/>
          <w:szCs w:val="22"/>
          <w:lang w:eastAsia="sk-SK"/>
        </w:rPr>
        <w:t> </w:t>
      </w:r>
      <w:r w:rsidR="008640A1" w:rsidRPr="0085799C">
        <w:rPr>
          <w:rFonts w:ascii="Times New Roman" w:hAnsi="Times New Roman"/>
          <w:szCs w:val="22"/>
          <w:lang w:eastAsia="sk-SK"/>
        </w:rPr>
        <w:t>148</w:t>
      </w:r>
      <w:r w:rsidRPr="00334EEE">
        <w:rPr>
          <w:rFonts w:ascii="Times New Roman" w:hAnsi="Times New Roman"/>
          <w:szCs w:val="22"/>
          <w:lang w:eastAsia="sk-SK"/>
        </w:rPr>
        <w:t> tis. eur a v porovnaní s rokom 202</w:t>
      </w:r>
      <w:r w:rsidR="008640A1" w:rsidRPr="0085799C">
        <w:rPr>
          <w:rFonts w:ascii="Times New Roman" w:hAnsi="Times New Roman"/>
          <w:szCs w:val="22"/>
          <w:lang w:eastAsia="sk-SK"/>
        </w:rPr>
        <w:t>3</w:t>
      </w:r>
      <w:r w:rsidRPr="00334EEE">
        <w:rPr>
          <w:rFonts w:ascii="Times New Roman" w:hAnsi="Times New Roman"/>
          <w:szCs w:val="22"/>
          <w:lang w:eastAsia="sk-SK"/>
        </w:rPr>
        <w:t xml:space="preserve"> boli vyššie o</w:t>
      </w:r>
      <w:r w:rsidR="007230FC">
        <w:rPr>
          <w:rFonts w:ascii="Times New Roman" w:hAnsi="Times New Roman"/>
          <w:szCs w:val="22"/>
          <w:lang w:eastAsia="sk-SK"/>
        </w:rPr>
        <w:t xml:space="preserve"> </w:t>
      </w:r>
      <w:r w:rsidR="008640A1" w:rsidRPr="0085799C">
        <w:rPr>
          <w:rFonts w:ascii="Times New Roman" w:hAnsi="Times New Roman"/>
          <w:szCs w:val="22"/>
          <w:lang w:eastAsia="sk-SK"/>
        </w:rPr>
        <w:t>45</w:t>
      </w:r>
      <w:r w:rsidR="007230FC">
        <w:rPr>
          <w:rFonts w:ascii="Times New Roman" w:hAnsi="Times New Roman"/>
          <w:szCs w:val="22"/>
          <w:lang w:eastAsia="sk-SK"/>
        </w:rPr>
        <w:t> </w:t>
      </w:r>
      <w:r w:rsidR="008640A1" w:rsidRPr="0085799C">
        <w:rPr>
          <w:rFonts w:ascii="Times New Roman" w:hAnsi="Times New Roman"/>
          <w:szCs w:val="22"/>
          <w:lang w:eastAsia="sk-SK"/>
        </w:rPr>
        <w:t>154</w:t>
      </w:r>
      <w:r w:rsidRPr="00334EEE">
        <w:rPr>
          <w:rFonts w:ascii="Times New Roman" w:hAnsi="Times New Roman"/>
          <w:szCs w:val="22"/>
          <w:lang w:eastAsia="sk-SK"/>
        </w:rPr>
        <w:t xml:space="preserve"> tis. eur. </w:t>
      </w:r>
      <w:r w:rsidR="00F22C2F" w:rsidRPr="0085799C">
        <w:rPr>
          <w:rFonts w:ascii="Times New Roman" w:hAnsi="Times New Roman"/>
          <w:szCs w:val="22"/>
          <w:lang w:eastAsia="sk-SK"/>
        </w:rPr>
        <w:t>Viac než 90</w:t>
      </w:r>
      <w:r w:rsidRPr="00334EEE">
        <w:rPr>
          <w:rFonts w:ascii="Times New Roman" w:hAnsi="Times New Roman"/>
          <w:szCs w:val="22"/>
          <w:lang w:eastAsia="sk-SK"/>
        </w:rPr>
        <w:t xml:space="preserve"> % tejto krátkodobej rezervy s predpokladanou dobou vyrovnania do jedného roka je tvorená subjektami ústrednej správy v</w:t>
      </w:r>
      <w:r w:rsidR="007230FC">
        <w:rPr>
          <w:rFonts w:ascii="Times New Roman" w:hAnsi="Times New Roman"/>
          <w:szCs w:val="22"/>
          <w:lang w:eastAsia="sk-SK"/>
        </w:rPr>
        <w:t xml:space="preserve"> </w:t>
      </w:r>
      <w:r w:rsidRPr="00334EEE">
        <w:rPr>
          <w:rFonts w:ascii="Times New Roman" w:hAnsi="Times New Roman"/>
          <w:szCs w:val="22"/>
          <w:lang w:eastAsia="sk-SK"/>
        </w:rPr>
        <w:t xml:space="preserve">objeme </w:t>
      </w:r>
      <w:r w:rsidR="00F22C2F" w:rsidRPr="0085799C">
        <w:rPr>
          <w:rFonts w:ascii="Times New Roman" w:hAnsi="Times New Roman"/>
          <w:szCs w:val="22"/>
          <w:lang w:eastAsia="sk-SK"/>
        </w:rPr>
        <w:t>124 529</w:t>
      </w:r>
      <w:r w:rsidRPr="00334EEE">
        <w:rPr>
          <w:rFonts w:ascii="Times New Roman" w:hAnsi="Times New Roman"/>
          <w:szCs w:val="22"/>
          <w:lang w:eastAsia="sk-SK"/>
        </w:rPr>
        <w:t> tis. eur. Najvyššiu hodnotu (</w:t>
      </w:r>
      <w:r w:rsidR="007B1D89" w:rsidRPr="0085799C">
        <w:rPr>
          <w:rFonts w:ascii="Times New Roman" w:hAnsi="Times New Roman"/>
          <w:szCs w:val="22"/>
          <w:lang w:eastAsia="sk-SK"/>
        </w:rPr>
        <w:t>49</w:t>
      </w:r>
      <w:r w:rsidR="007230FC">
        <w:rPr>
          <w:rFonts w:ascii="Times New Roman" w:hAnsi="Times New Roman"/>
          <w:szCs w:val="22"/>
          <w:lang w:eastAsia="sk-SK"/>
        </w:rPr>
        <w:t> </w:t>
      </w:r>
      <w:r w:rsidR="007B1D89" w:rsidRPr="0085799C">
        <w:rPr>
          <w:rFonts w:ascii="Times New Roman" w:hAnsi="Times New Roman"/>
          <w:szCs w:val="22"/>
          <w:lang w:eastAsia="sk-SK"/>
        </w:rPr>
        <w:t>918</w:t>
      </w:r>
      <w:r w:rsidRPr="00334EEE">
        <w:rPr>
          <w:rFonts w:ascii="Times New Roman" w:hAnsi="Times New Roman"/>
          <w:szCs w:val="22"/>
          <w:lang w:eastAsia="sk-SK"/>
        </w:rPr>
        <w:t> tis. eur)</w:t>
      </w:r>
      <w:r w:rsidR="007B1D89" w:rsidRPr="0085799C">
        <w:rPr>
          <w:rFonts w:ascii="Times New Roman" w:hAnsi="Times New Roman"/>
          <w:szCs w:val="22"/>
          <w:lang w:eastAsia="sk-SK"/>
        </w:rPr>
        <w:t xml:space="preserve"> a</w:t>
      </w:r>
      <w:r w:rsidRPr="00334EEE">
        <w:rPr>
          <w:rFonts w:ascii="Times New Roman" w:hAnsi="Times New Roman"/>
          <w:szCs w:val="22"/>
          <w:lang w:eastAsia="sk-SK"/>
        </w:rPr>
        <w:t xml:space="preserve"> aj najvyššiu medziročn</w:t>
      </w:r>
      <w:r w:rsidR="00334EEE" w:rsidRPr="0085799C">
        <w:rPr>
          <w:rFonts w:ascii="Times New Roman" w:hAnsi="Times New Roman"/>
          <w:szCs w:val="22"/>
          <w:lang w:eastAsia="sk-SK"/>
        </w:rPr>
        <w:t>é zvýšenie</w:t>
      </w:r>
      <w:r w:rsidRPr="00334EEE">
        <w:rPr>
          <w:rFonts w:ascii="Times New Roman" w:hAnsi="Times New Roman"/>
          <w:szCs w:val="22"/>
          <w:lang w:eastAsia="sk-SK"/>
        </w:rPr>
        <w:t xml:space="preserve"> vykazuje </w:t>
      </w:r>
      <w:r w:rsidR="007D1E32">
        <w:rPr>
          <w:rFonts w:ascii="Times New Roman" w:hAnsi="Times New Roman"/>
          <w:szCs w:val="22"/>
          <w:lang w:eastAsia="sk-SK"/>
        </w:rPr>
        <w:t>Železnice SR</w:t>
      </w:r>
      <w:r w:rsidRPr="00334EEE">
        <w:rPr>
          <w:rFonts w:ascii="Times New Roman" w:hAnsi="Times New Roman"/>
          <w:szCs w:val="22"/>
          <w:lang w:eastAsia="sk-SK"/>
        </w:rPr>
        <w:t>, a.s.</w:t>
      </w:r>
    </w:p>
    <w:p w14:paraId="29A3C7BF" w14:textId="70AB64BD" w:rsidR="00647542" w:rsidRPr="002A2A90" w:rsidRDefault="00647542" w:rsidP="0085799C">
      <w:pPr>
        <w:spacing w:after="120" w:line="240" w:lineRule="auto"/>
        <w:jc w:val="both"/>
        <w:rPr>
          <w:rFonts w:ascii="Times New Roman" w:hAnsi="Times New Roman"/>
          <w:i/>
          <w:szCs w:val="22"/>
          <w:u w:val="single"/>
          <w:lang w:eastAsia="sk-SK"/>
        </w:rPr>
      </w:pPr>
      <w:r w:rsidRPr="002A2A90">
        <w:rPr>
          <w:rFonts w:ascii="Times New Roman" w:hAnsi="Times New Roman"/>
          <w:i/>
          <w:szCs w:val="22"/>
          <w:u w:val="single"/>
          <w:lang w:eastAsia="sk-SK"/>
        </w:rPr>
        <w:t xml:space="preserve">Rezerva na </w:t>
      </w:r>
      <w:proofErr w:type="spellStart"/>
      <w:r w:rsidRPr="002A2A90">
        <w:rPr>
          <w:rFonts w:ascii="Times New Roman" w:hAnsi="Times New Roman"/>
          <w:i/>
          <w:szCs w:val="22"/>
          <w:u w:val="single"/>
          <w:lang w:eastAsia="sk-SK"/>
        </w:rPr>
        <w:t>pestovnú</w:t>
      </w:r>
      <w:proofErr w:type="spellEnd"/>
      <w:r w:rsidRPr="002A2A90">
        <w:rPr>
          <w:rFonts w:ascii="Times New Roman" w:hAnsi="Times New Roman"/>
          <w:i/>
          <w:szCs w:val="22"/>
          <w:u w:val="single"/>
          <w:lang w:eastAsia="sk-SK"/>
        </w:rPr>
        <w:t xml:space="preserve"> činnosť</w:t>
      </w:r>
    </w:p>
    <w:p w14:paraId="2BA8F130" w14:textId="19230AA2" w:rsidR="00142042" w:rsidRDefault="00647542" w:rsidP="007230FC">
      <w:pPr>
        <w:spacing w:after="120" w:line="240" w:lineRule="auto"/>
        <w:jc w:val="both"/>
        <w:rPr>
          <w:rFonts w:ascii="Times New Roman" w:hAnsi="Times New Roman"/>
          <w:szCs w:val="22"/>
          <w:lang w:eastAsia="sk-SK"/>
        </w:rPr>
      </w:pPr>
      <w:r w:rsidRPr="002A2A90">
        <w:rPr>
          <w:rFonts w:ascii="Times New Roman" w:hAnsi="Times New Roman"/>
          <w:szCs w:val="22"/>
          <w:lang w:eastAsia="sk-SK"/>
        </w:rPr>
        <w:t xml:space="preserve">Krátkodobá rezerva na </w:t>
      </w:r>
      <w:proofErr w:type="spellStart"/>
      <w:r w:rsidRPr="002A2A90">
        <w:rPr>
          <w:rFonts w:ascii="Times New Roman" w:hAnsi="Times New Roman"/>
          <w:szCs w:val="22"/>
          <w:lang w:eastAsia="sk-SK"/>
        </w:rPr>
        <w:t>pestovnú</w:t>
      </w:r>
      <w:proofErr w:type="spellEnd"/>
      <w:r w:rsidRPr="002A2A90">
        <w:rPr>
          <w:rFonts w:ascii="Times New Roman" w:hAnsi="Times New Roman"/>
          <w:szCs w:val="22"/>
          <w:lang w:eastAsia="sk-SK"/>
        </w:rPr>
        <w:t xml:space="preserve"> činnosť a</w:t>
      </w:r>
      <w:r w:rsidR="002A3F7D">
        <w:rPr>
          <w:rFonts w:ascii="Times New Roman" w:hAnsi="Times New Roman"/>
          <w:szCs w:val="22"/>
          <w:lang w:eastAsia="sk-SK"/>
        </w:rPr>
        <w:t xml:space="preserve"> </w:t>
      </w:r>
      <w:r w:rsidRPr="002A2A90">
        <w:rPr>
          <w:rFonts w:ascii="Times New Roman" w:hAnsi="Times New Roman"/>
          <w:szCs w:val="22"/>
          <w:lang w:eastAsia="sk-SK"/>
        </w:rPr>
        <w:t xml:space="preserve">ochranu lesa vykazovaná </w:t>
      </w:r>
      <w:r w:rsidR="007814C9">
        <w:rPr>
          <w:rFonts w:ascii="Times New Roman" w:hAnsi="Times New Roman"/>
          <w:szCs w:val="22"/>
          <w:lang w:eastAsia="sk-SK"/>
        </w:rPr>
        <w:t xml:space="preserve">účtovnými jednotkami </w:t>
      </w:r>
      <w:r w:rsidRPr="002A2A90">
        <w:rPr>
          <w:rFonts w:ascii="Times New Roman" w:hAnsi="Times New Roman"/>
          <w:szCs w:val="22"/>
          <w:lang w:eastAsia="sk-SK"/>
        </w:rPr>
        <w:t>L</w:t>
      </w:r>
      <w:r w:rsidR="00175C8F">
        <w:rPr>
          <w:rFonts w:ascii="Times New Roman" w:hAnsi="Times New Roman"/>
          <w:szCs w:val="22"/>
          <w:lang w:eastAsia="sk-SK"/>
        </w:rPr>
        <w:t xml:space="preserve">ESY </w:t>
      </w:r>
      <w:r w:rsidR="00264165">
        <w:rPr>
          <w:rFonts w:ascii="Times New Roman" w:hAnsi="Times New Roman"/>
          <w:szCs w:val="22"/>
          <w:lang w:eastAsia="sk-SK"/>
        </w:rPr>
        <w:t>Slovenskej republiky</w:t>
      </w:r>
      <w:r w:rsidRPr="007253B7">
        <w:rPr>
          <w:rFonts w:ascii="Times New Roman" w:hAnsi="Times New Roman"/>
          <w:szCs w:val="22"/>
          <w:lang w:eastAsia="sk-SK"/>
        </w:rPr>
        <w:t>, š</w:t>
      </w:r>
      <w:r w:rsidR="00264165">
        <w:rPr>
          <w:rFonts w:ascii="Times New Roman" w:hAnsi="Times New Roman"/>
          <w:szCs w:val="22"/>
          <w:lang w:eastAsia="sk-SK"/>
        </w:rPr>
        <w:t>tátny podnik</w:t>
      </w:r>
      <w:r w:rsidRPr="002A2A90">
        <w:rPr>
          <w:rFonts w:ascii="Times New Roman" w:hAnsi="Times New Roman"/>
          <w:szCs w:val="22"/>
          <w:lang w:eastAsia="sk-SK"/>
        </w:rPr>
        <w:t xml:space="preserve"> a</w:t>
      </w:r>
      <w:r w:rsidR="002A3F7D">
        <w:rPr>
          <w:rFonts w:ascii="Times New Roman" w:hAnsi="Times New Roman"/>
          <w:szCs w:val="22"/>
          <w:lang w:eastAsia="sk-SK"/>
        </w:rPr>
        <w:t xml:space="preserve"> </w:t>
      </w:r>
      <w:r w:rsidRPr="002A2A90">
        <w:rPr>
          <w:rFonts w:ascii="Times New Roman" w:hAnsi="Times New Roman"/>
          <w:szCs w:val="22"/>
          <w:lang w:eastAsia="sk-SK"/>
        </w:rPr>
        <w:t>Vojenské lesy a majetky SR,</w:t>
      </w:r>
      <w:r w:rsidR="002A3F7D">
        <w:rPr>
          <w:rFonts w:ascii="Times New Roman" w:hAnsi="Times New Roman"/>
          <w:szCs w:val="22"/>
          <w:lang w:eastAsia="sk-SK"/>
        </w:rPr>
        <w:t xml:space="preserve"> </w:t>
      </w:r>
      <w:proofErr w:type="spellStart"/>
      <w:r w:rsidRPr="002A2A90">
        <w:rPr>
          <w:rFonts w:ascii="Times New Roman" w:hAnsi="Times New Roman"/>
          <w:szCs w:val="22"/>
          <w:lang w:eastAsia="sk-SK"/>
        </w:rPr>
        <w:t>š.p</w:t>
      </w:r>
      <w:proofErr w:type="spellEnd"/>
      <w:r w:rsidRPr="002A2A90">
        <w:rPr>
          <w:rFonts w:ascii="Times New Roman" w:hAnsi="Times New Roman"/>
          <w:szCs w:val="22"/>
          <w:lang w:eastAsia="sk-SK"/>
        </w:rPr>
        <w:t xml:space="preserve">. bola medziročne </w:t>
      </w:r>
      <w:r w:rsidR="002A2A90" w:rsidRPr="0085799C">
        <w:rPr>
          <w:rFonts w:ascii="Times New Roman" w:hAnsi="Times New Roman"/>
          <w:szCs w:val="22"/>
          <w:lang w:eastAsia="sk-SK"/>
        </w:rPr>
        <w:t>vyšš</w:t>
      </w:r>
      <w:r w:rsidRPr="002A2A90">
        <w:rPr>
          <w:rFonts w:ascii="Times New Roman" w:hAnsi="Times New Roman"/>
          <w:szCs w:val="22"/>
          <w:lang w:eastAsia="sk-SK"/>
        </w:rPr>
        <w:t>ia</w:t>
      </w:r>
      <w:r w:rsidR="00175C8F">
        <w:rPr>
          <w:rFonts w:ascii="Times New Roman" w:hAnsi="Times New Roman"/>
          <w:szCs w:val="22"/>
          <w:lang w:eastAsia="sk-SK"/>
        </w:rPr>
        <w:t xml:space="preserve"> </w:t>
      </w:r>
      <w:r w:rsidRPr="002A2A90">
        <w:rPr>
          <w:rFonts w:ascii="Times New Roman" w:hAnsi="Times New Roman"/>
          <w:szCs w:val="22"/>
          <w:lang w:eastAsia="sk-SK"/>
        </w:rPr>
        <w:t>o</w:t>
      </w:r>
      <w:r w:rsidR="00175C8F">
        <w:rPr>
          <w:rFonts w:ascii="Times New Roman" w:hAnsi="Times New Roman"/>
          <w:szCs w:val="22"/>
          <w:lang w:eastAsia="sk-SK"/>
        </w:rPr>
        <w:t> </w:t>
      </w:r>
      <w:r w:rsidR="002A2A90" w:rsidRPr="0085799C">
        <w:rPr>
          <w:rFonts w:ascii="Times New Roman" w:hAnsi="Times New Roman"/>
          <w:szCs w:val="22"/>
          <w:lang w:eastAsia="sk-SK"/>
        </w:rPr>
        <w:t>5</w:t>
      </w:r>
      <w:r w:rsidR="00175C8F">
        <w:rPr>
          <w:rFonts w:ascii="Times New Roman" w:hAnsi="Times New Roman"/>
          <w:szCs w:val="22"/>
          <w:lang w:eastAsia="sk-SK"/>
        </w:rPr>
        <w:t> </w:t>
      </w:r>
      <w:r w:rsidR="002A2A90" w:rsidRPr="0085799C">
        <w:rPr>
          <w:rFonts w:ascii="Times New Roman" w:hAnsi="Times New Roman"/>
          <w:szCs w:val="22"/>
          <w:lang w:eastAsia="sk-SK"/>
        </w:rPr>
        <w:t>428</w:t>
      </w:r>
      <w:r w:rsidRPr="002A2A90">
        <w:rPr>
          <w:rFonts w:ascii="Times New Roman" w:hAnsi="Times New Roman"/>
          <w:szCs w:val="22"/>
          <w:lang w:eastAsia="sk-SK"/>
        </w:rPr>
        <w:t> tis. eur, čím dosiahla hodnotu</w:t>
      </w:r>
      <w:r w:rsidR="00175C8F">
        <w:rPr>
          <w:rFonts w:ascii="Times New Roman" w:hAnsi="Times New Roman"/>
          <w:szCs w:val="22"/>
          <w:lang w:eastAsia="sk-SK"/>
        </w:rPr>
        <w:t xml:space="preserve"> </w:t>
      </w:r>
      <w:r w:rsidR="00F165E6" w:rsidRPr="0085799C">
        <w:rPr>
          <w:rFonts w:ascii="Times New Roman" w:hAnsi="Times New Roman"/>
          <w:szCs w:val="22"/>
          <w:lang w:eastAsia="sk-SK"/>
        </w:rPr>
        <w:t>21</w:t>
      </w:r>
      <w:r w:rsidR="00175C8F">
        <w:rPr>
          <w:rFonts w:ascii="Times New Roman" w:hAnsi="Times New Roman"/>
          <w:szCs w:val="22"/>
          <w:lang w:eastAsia="sk-SK"/>
        </w:rPr>
        <w:t> </w:t>
      </w:r>
      <w:r w:rsidR="00F165E6" w:rsidRPr="0085799C">
        <w:rPr>
          <w:rFonts w:ascii="Times New Roman" w:hAnsi="Times New Roman"/>
          <w:szCs w:val="22"/>
          <w:lang w:eastAsia="sk-SK"/>
        </w:rPr>
        <w:t>768</w:t>
      </w:r>
      <w:r w:rsidRPr="002A2A90">
        <w:rPr>
          <w:rFonts w:ascii="Times New Roman" w:hAnsi="Times New Roman"/>
          <w:szCs w:val="22"/>
          <w:lang w:eastAsia="sk-SK"/>
        </w:rPr>
        <w:t> tis. eur</w:t>
      </w:r>
      <w:r w:rsidR="00175C8F">
        <w:rPr>
          <w:rFonts w:ascii="Times New Roman" w:hAnsi="Times New Roman"/>
          <w:szCs w:val="22"/>
          <w:lang w:eastAsia="sk-SK"/>
        </w:rPr>
        <w:t>.</w:t>
      </w:r>
    </w:p>
    <w:p w14:paraId="4686B456" w14:textId="77777777" w:rsidR="00047E5C" w:rsidRPr="007253B7" w:rsidRDefault="00047E5C" w:rsidP="0085799C">
      <w:pPr>
        <w:spacing w:after="120" w:line="240" w:lineRule="auto"/>
        <w:jc w:val="both"/>
        <w:rPr>
          <w:rFonts w:ascii="Times New Roman" w:hAnsi="Times New Roman"/>
          <w:szCs w:val="22"/>
          <w:lang w:eastAsia="sk-SK"/>
        </w:rPr>
      </w:pPr>
    </w:p>
    <w:p w14:paraId="3043946F" w14:textId="68E94CBE" w:rsidR="00647542" w:rsidRPr="007253B7" w:rsidRDefault="00142042" w:rsidP="0085799C">
      <w:pPr>
        <w:pStyle w:val="Nadpis3"/>
      </w:pPr>
      <w:r>
        <w:lastRenderedPageBreak/>
        <w:t xml:space="preserve">C. </w:t>
      </w:r>
      <w:r w:rsidR="00647542" w:rsidRPr="007253B7">
        <w:t>Časové rozlíšenie pasív</w:t>
      </w:r>
    </w:p>
    <w:p w14:paraId="2BA22291" w14:textId="0B681512" w:rsidR="00647542" w:rsidRPr="009E3C89" w:rsidRDefault="00647542" w:rsidP="009E3C89">
      <w:pPr>
        <w:pStyle w:val="Pismenka"/>
        <w:tabs>
          <w:tab w:val="clear" w:pos="426"/>
        </w:tabs>
        <w:spacing w:after="120"/>
        <w:ind w:left="0" w:firstLine="0"/>
        <w:rPr>
          <w:b w:val="0"/>
          <w:sz w:val="22"/>
          <w:szCs w:val="22"/>
        </w:rPr>
      </w:pPr>
      <w:r w:rsidRPr="009E3C89">
        <w:rPr>
          <w:b w:val="0"/>
          <w:bCs w:val="0"/>
          <w:sz w:val="22"/>
          <w:szCs w:val="22"/>
        </w:rPr>
        <w:t>V</w:t>
      </w:r>
      <w:r w:rsidR="002A3F7D" w:rsidRPr="00BB21FD">
        <w:rPr>
          <w:b w:val="0"/>
          <w:sz w:val="22"/>
          <w:szCs w:val="22"/>
        </w:rPr>
        <w:t xml:space="preserve"> </w:t>
      </w:r>
      <w:r w:rsidRPr="009E3C89">
        <w:rPr>
          <w:b w:val="0"/>
          <w:bCs w:val="0"/>
          <w:sz w:val="22"/>
          <w:szCs w:val="22"/>
        </w:rPr>
        <w:t>rámci časového rozlíšenia na strane pasív sa vykazujú výnosy budúcich období a</w:t>
      </w:r>
      <w:r w:rsidR="002A3F7D" w:rsidRPr="009E3C89">
        <w:rPr>
          <w:b w:val="0"/>
          <w:bCs w:val="0"/>
          <w:sz w:val="22"/>
          <w:szCs w:val="22"/>
        </w:rPr>
        <w:t xml:space="preserve"> </w:t>
      </w:r>
      <w:r w:rsidRPr="009E3C89">
        <w:rPr>
          <w:b w:val="0"/>
          <w:bCs w:val="0"/>
          <w:sz w:val="22"/>
          <w:szCs w:val="22"/>
        </w:rPr>
        <w:t>výdavky budúcich období. Položky časového rozlíšenia slúžia na zachytenie časového nesúladu medzi výdavkami a nákladmi a príjmami a výnosmi. Uplatňujú sa v účtovníctve z dôvodu akruálneho princípu účtovania, podľa ktorého sa náklady a</w:t>
      </w:r>
      <w:r w:rsidR="002A3F7D" w:rsidRPr="009E3C89">
        <w:rPr>
          <w:b w:val="0"/>
          <w:bCs w:val="0"/>
          <w:sz w:val="22"/>
          <w:szCs w:val="22"/>
        </w:rPr>
        <w:t xml:space="preserve"> </w:t>
      </w:r>
      <w:r w:rsidRPr="009E3C89">
        <w:rPr>
          <w:b w:val="0"/>
          <w:bCs w:val="0"/>
          <w:sz w:val="22"/>
          <w:szCs w:val="22"/>
        </w:rPr>
        <w:t>výnosy účtujú do obdobia, s ktorým časovo a vecne súvisia (bez</w:t>
      </w:r>
      <w:r w:rsidR="002A3F7D" w:rsidRPr="009E3C89">
        <w:rPr>
          <w:b w:val="0"/>
          <w:bCs w:val="0"/>
          <w:sz w:val="22"/>
          <w:szCs w:val="22"/>
        </w:rPr>
        <w:t xml:space="preserve"> </w:t>
      </w:r>
      <w:r w:rsidRPr="009E3C89">
        <w:rPr>
          <w:b w:val="0"/>
          <w:bCs w:val="0"/>
          <w:sz w:val="22"/>
          <w:szCs w:val="22"/>
        </w:rPr>
        <w:t>ohľadu na</w:t>
      </w:r>
      <w:r w:rsidR="002A3F7D" w:rsidRPr="00BB21FD">
        <w:rPr>
          <w:b w:val="0"/>
          <w:sz w:val="22"/>
          <w:szCs w:val="22"/>
        </w:rPr>
        <w:t xml:space="preserve"> </w:t>
      </w:r>
      <w:r w:rsidRPr="009E3C89">
        <w:rPr>
          <w:b w:val="0"/>
          <w:bCs w:val="0"/>
          <w:sz w:val="22"/>
          <w:szCs w:val="22"/>
        </w:rPr>
        <w:t>hotovostné plnenie príjmov a</w:t>
      </w:r>
      <w:r w:rsidR="002A3F7D" w:rsidRPr="00BB21FD">
        <w:rPr>
          <w:b w:val="0"/>
          <w:sz w:val="22"/>
          <w:szCs w:val="22"/>
        </w:rPr>
        <w:t xml:space="preserve"> </w:t>
      </w:r>
      <w:r w:rsidRPr="009E3C89">
        <w:rPr>
          <w:b w:val="0"/>
          <w:bCs w:val="0"/>
          <w:sz w:val="22"/>
          <w:szCs w:val="22"/>
        </w:rPr>
        <w:t>výdavkov).</w:t>
      </w:r>
    </w:p>
    <w:p w14:paraId="0614F004" w14:textId="396D9D84" w:rsidR="00647542" w:rsidRPr="009E3C89" w:rsidRDefault="00647542" w:rsidP="009E3C89">
      <w:pPr>
        <w:pStyle w:val="Pismenka"/>
        <w:tabs>
          <w:tab w:val="clear" w:pos="426"/>
        </w:tabs>
        <w:spacing w:after="120"/>
        <w:ind w:left="0" w:firstLine="0"/>
        <w:rPr>
          <w:b w:val="0"/>
          <w:sz w:val="22"/>
          <w:szCs w:val="22"/>
        </w:rPr>
      </w:pPr>
      <w:r w:rsidRPr="009E3C89">
        <w:rPr>
          <w:b w:val="0"/>
          <w:sz w:val="22"/>
          <w:szCs w:val="22"/>
        </w:rPr>
        <w:t>Časové rozlíšenie pasív dosiahlo k 31.</w:t>
      </w:r>
      <w:r w:rsidR="00867606">
        <w:rPr>
          <w:b w:val="0"/>
          <w:sz w:val="22"/>
          <w:szCs w:val="22"/>
        </w:rPr>
        <w:t xml:space="preserve"> </w:t>
      </w:r>
      <w:r w:rsidRPr="009E3C89">
        <w:rPr>
          <w:b w:val="0"/>
          <w:sz w:val="22"/>
          <w:szCs w:val="22"/>
        </w:rPr>
        <w:t>12.</w:t>
      </w:r>
      <w:r w:rsidR="00867606">
        <w:rPr>
          <w:b w:val="0"/>
          <w:sz w:val="22"/>
          <w:szCs w:val="22"/>
        </w:rPr>
        <w:t xml:space="preserve"> </w:t>
      </w:r>
      <w:r w:rsidRPr="009E3C89">
        <w:rPr>
          <w:b w:val="0"/>
          <w:sz w:val="22"/>
          <w:szCs w:val="22"/>
        </w:rPr>
        <w:t>202</w:t>
      </w:r>
      <w:r w:rsidR="006F00FE" w:rsidRPr="0085799C">
        <w:rPr>
          <w:b w:val="0"/>
          <w:sz w:val="22"/>
          <w:szCs w:val="22"/>
        </w:rPr>
        <w:t>4</w:t>
      </w:r>
      <w:r w:rsidRPr="009E3C89">
        <w:rPr>
          <w:b w:val="0"/>
          <w:sz w:val="22"/>
          <w:szCs w:val="22"/>
        </w:rPr>
        <w:t xml:space="preserve"> hodnotu </w:t>
      </w:r>
      <w:r w:rsidR="00A0757E" w:rsidRPr="0085799C">
        <w:rPr>
          <w:b w:val="0"/>
          <w:sz w:val="22"/>
          <w:szCs w:val="22"/>
        </w:rPr>
        <w:t>13</w:t>
      </w:r>
      <w:r w:rsidR="009E550E" w:rsidRPr="009E3C89">
        <w:rPr>
          <w:b w:val="0"/>
          <w:sz w:val="22"/>
          <w:szCs w:val="22"/>
        </w:rPr>
        <w:t> </w:t>
      </w:r>
      <w:r w:rsidR="00A0757E" w:rsidRPr="0085799C">
        <w:rPr>
          <w:b w:val="0"/>
          <w:sz w:val="22"/>
          <w:szCs w:val="22"/>
        </w:rPr>
        <w:t>00</w:t>
      </w:r>
      <w:r w:rsidR="00805F55" w:rsidRPr="0085799C">
        <w:rPr>
          <w:b w:val="0"/>
          <w:sz w:val="22"/>
          <w:szCs w:val="22"/>
        </w:rPr>
        <w:t>4</w:t>
      </w:r>
      <w:r w:rsidR="009E550E" w:rsidRPr="009E3C89">
        <w:rPr>
          <w:b w:val="0"/>
          <w:sz w:val="22"/>
          <w:szCs w:val="22"/>
        </w:rPr>
        <w:t> </w:t>
      </w:r>
      <w:r w:rsidR="00805F55" w:rsidRPr="0085799C">
        <w:rPr>
          <w:b w:val="0"/>
          <w:sz w:val="22"/>
          <w:szCs w:val="22"/>
        </w:rPr>
        <w:t>69</w:t>
      </w:r>
      <w:r w:rsidR="00D6641A">
        <w:rPr>
          <w:b w:val="0"/>
          <w:sz w:val="22"/>
          <w:szCs w:val="22"/>
        </w:rPr>
        <w:t>9</w:t>
      </w:r>
      <w:r w:rsidRPr="009E3C89">
        <w:rPr>
          <w:b w:val="0"/>
          <w:sz w:val="22"/>
          <w:szCs w:val="22"/>
        </w:rPr>
        <w:t xml:space="preserve"> tis. eur, z toho výnosy budúcich období </w:t>
      </w:r>
      <w:r w:rsidR="00FC327E" w:rsidRPr="0085799C">
        <w:rPr>
          <w:b w:val="0"/>
          <w:sz w:val="22"/>
          <w:szCs w:val="22"/>
        </w:rPr>
        <w:t>12</w:t>
      </w:r>
      <w:r w:rsidR="002A3F7D" w:rsidRPr="009E3C89">
        <w:rPr>
          <w:b w:val="0"/>
          <w:sz w:val="22"/>
          <w:szCs w:val="22"/>
        </w:rPr>
        <w:t> </w:t>
      </w:r>
      <w:r w:rsidR="00FC327E" w:rsidRPr="0085799C">
        <w:rPr>
          <w:b w:val="0"/>
          <w:sz w:val="22"/>
          <w:szCs w:val="22"/>
        </w:rPr>
        <w:t>962</w:t>
      </w:r>
      <w:r w:rsidR="002A3F7D" w:rsidRPr="009E3C89">
        <w:rPr>
          <w:b w:val="0"/>
          <w:sz w:val="22"/>
          <w:szCs w:val="22"/>
        </w:rPr>
        <w:t> </w:t>
      </w:r>
      <w:r w:rsidR="00FC327E" w:rsidRPr="0085799C">
        <w:rPr>
          <w:b w:val="0"/>
          <w:sz w:val="22"/>
          <w:szCs w:val="22"/>
        </w:rPr>
        <w:t>808</w:t>
      </w:r>
      <w:r w:rsidRPr="009E3C89">
        <w:rPr>
          <w:b w:val="0"/>
          <w:sz w:val="22"/>
          <w:szCs w:val="22"/>
        </w:rPr>
        <w:t xml:space="preserve"> tis. eur a výdavky budúcich období </w:t>
      </w:r>
      <w:r w:rsidR="006B5D38" w:rsidRPr="0085799C">
        <w:rPr>
          <w:b w:val="0"/>
          <w:sz w:val="22"/>
          <w:szCs w:val="22"/>
        </w:rPr>
        <w:t>41</w:t>
      </w:r>
      <w:r w:rsidR="002A3F7D" w:rsidRPr="009E3C89">
        <w:rPr>
          <w:b w:val="0"/>
          <w:sz w:val="22"/>
          <w:szCs w:val="22"/>
        </w:rPr>
        <w:t> </w:t>
      </w:r>
      <w:r w:rsidR="006B5D38" w:rsidRPr="0085799C">
        <w:rPr>
          <w:b w:val="0"/>
          <w:sz w:val="22"/>
          <w:szCs w:val="22"/>
        </w:rPr>
        <w:t>889</w:t>
      </w:r>
      <w:r w:rsidRPr="009E3C89">
        <w:rPr>
          <w:b w:val="0"/>
          <w:sz w:val="22"/>
          <w:szCs w:val="22"/>
        </w:rPr>
        <w:t xml:space="preserve"> tis. eur. Medziročne sa celková hodnota časového rozlíšenia pasív </w:t>
      </w:r>
      <w:r w:rsidR="00CA6E23" w:rsidRPr="0085799C">
        <w:rPr>
          <w:b w:val="0"/>
          <w:bCs w:val="0"/>
          <w:sz w:val="22"/>
          <w:szCs w:val="22"/>
        </w:rPr>
        <w:t>znížila</w:t>
      </w:r>
      <w:r w:rsidR="00CA6E23" w:rsidRPr="009E3C89">
        <w:rPr>
          <w:b w:val="0"/>
          <w:sz w:val="22"/>
          <w:szCs w:val="22"/>
        </w:rPr>
        <w:t xml:space="preserve"> </w:t>
      </w:r>
      <w:r w:rsidRPr="009E3C89">
        <w:rPr>
          <w:b w:val="0"/>
          <w:sz w:val="22"/>
          <w:szCs w:val="22"/>
        </w:rPr>
        <w:t>o</w:t>
      </w:r>
      <w:r w:rsidR="002A3F7D" w:rsidRPr="00BB21FD">
        <w:rPr>
          <w:b w:val="0"/>
          <w:sz w:val="22"/>
          <w:szCs w:val="22"/>
        </w:rPr>
        <w:t xml:space="preserve"> </w:t>
      </w:r>
      <w:r w:rsidR="00CA6E23" w:rsidRPr="0085799C">
        <w:rPr>
          <w:b w:val="0"/>
          <w:bCs w:val="0"/>
          <w:sz w:val="22"/>
          <w:szCs w:val="22"/>
        </w:rPr>
        <w:t>20</w:t>
      </w:r>
      <w:r w:rsidR="002A3F7D" w:rsidRPr="009E3C89">
        <w:rPr>
          <w:b w:val="0"/>
          <w:bCs w:val="0"/>
          <w:sz w:val="22"/>
          <w:szCs w:val="22"/>
        </w:rPr>
        <w:t> </w:t>
      </w:r>
      <w:r w:rsidR="00CA6E23" w:rsidRPr="0085799C">
        <w:rPr>
          <w:b w:val="0"/>
          <w:bCs w:val="0"/>
          <w:sz w:val="22"/>
          <w:szCs w:val="22"/>
        </w:rPr>
        <w:t>026</w:t>
      </w:r>
      <w:r w:rsidRPr="009E3C89">
        <w:rPr>
          <w:b w:val="0"/>
          <w:sz w:val="22"/>
          <w:szCs w:val="22"/>
        </w:rPr>
        <w:t xml:space="preserve"> tis. eur. </w:t>
      </w:r>
    </w:p>
    <w:p w14:paraId="19376B68" w14:textId="3893FED3" w:rsidR="00647542" w:rsidRPr="009E3C89" w:rsidRDefault="00647542" w:rsidP="009E3C89">
      <w:pPr>
        <w:pStyle w:val="Pismenka"/>
        <w:tabs>
          <w:tab w:val="clear" w:pos="426"/>
        </w:tabs>
        <w:spacing w:after="120"/>
        <w:ind w:left="0" w:firstLine="0"/>
        <w:rPr>
          <w:b w:val="0"/>
          <w:sz w:val="22"/>
          <w:szCs w:val="22"/>
        </w:rPr>
      </w:pPr>
      <w:r w:rsidRPr="009E3C89">
        <w:rPr>
          <w:b w:val="0"/>
          <w:sz w:val="22"/>
          <w:szCs w:val="22"/>
        </w:rPr>
        <w:t>Viac ako 5</w:t>
      </w:r>
      <w:r w:rsidR="00393E64" w:rsidRPr="0085799C">
        <w:rPr>
          <w:b w:val="0"/>
          <w:sz w:val="22"/>
          <w:szCs w:val="22"/>
        </w:rPr>
        <w:t>4</w:t>
      </w:r>
      <w:r w:rsidRPr="009E3C89">
        <w:rPr>
          <w:b w:val="0"/>
          <w:sz w:val="22"/>
          <w:szCs w:val="22"/>
        </w:rPr>
        <w:t xml:space="preserve"> % </w:t>
      </w:r>
      <w:r w:rsidRPr="009E3C89">
        <w:rPr>
          <w:b w:val="0"/>
          <w:sz w:val="22"/>
          <w:szCs w:val="22"/>
          <w:u w:val="single"/>
        </w:rPr>
        <w:t>časovo rozlíšených výnosov</w:t>
      </w:r>
      <w:r w:rsidRPr="009E3C89">
        <w:rPr>
          <w:b w:val="0"/>
          <w:sz w:val="22"/>
          <w:szCs w:val="22"/>
        </w:rPr>
        <w:t xml:space="preserve"> vykazujú subjekty územnej samosprávy v celkovej sume </w:t>
      </w:r>
      <w:r w:rsidR="00393E64" w:rsidRPr="0085799C">
        <w:rPr>
          <w:b w:val="0"/>
          <w:sz w:val="22"/>
          <w:szCs w:val="22"/>
        </w:rPr>
        <w:t>7</w:t>
      </w:r>
      <w:r w:rsidR="002A3F7D" w:rsidRPr="009E3C89">
        <w:rPr>
          <w:b w:val="0"/>
          <w:sz w:val="22"/>
          <w:szCs w:val="22"/>
        </w:rPr>
        <w:t> </w:t>
      </w:r>
      <w:r w:rsidR="00393E64" w:rsidRPr="0085799C">
        <w:rPr>
          <w:b w:val="0"/>
          <w:sz w:val="22"/>
          <w:szCs w:val="22"/>
        </w:rPr>
        <w:t>102</w:t>
      </w:r>
      <w:r w:rsidR="002A3F7D" w:rsidRPr="009E3C89">
        <w:rPr>
          <w:b w:val="0"/>
          <w:sz w:val="22"/>
          <w:szCs w:val="22"/>
        </w:rPr>
        <w:t> </w:t>
      </w:r>
      <w:r w:rsidR="00393E64" w:rsidRPr="0085799C">
        <w:rPr>
          <w:b w:val="0"/>
          <w:sz w:val="22"/>
          <w:szCs w:val="22"/>
        </w:rPr>
        <w:t>092</w:t>
      </w:r>
      <w:r w:rsidRPr="009E3C89">
        <w:rPr>
          <w:b w:val="0"/>
          <w:sz w:val="22"/>
          <w:szCs w:val="22"/>
        </w:rPr>
        <w:t xml:space="preserve"> tis. eur, najmä ako prijaté časovo rozlíšené bežné a kapitálové transfery zo štátneho rozpočtu a od iných subjektov, ktoré v súvislosti s nákladmi (odpismi k majetku, spotrebou zásob, prevádzkovými nákladmi) postupne zúčtovávajú do výnosov daného obdobia. Medziročne územná samospráva zaznamenala prírastok v hodnote </w:t>
      </w:r>
      <w:r w:rsidR="00CB5CA5" w:rsidRPr="0085799C">
        <w:rPr>
          <w:b w:val="0"/>
          <w:bCs w:val="0"/>
          <w:sz w:val="22"/>
          <w:szCs w:val="22"/>
        </w:rPr>
        <w:t>269</w:t>
      </w:r>
      <w:r w:rsidR="002A3F7D" w:rsidRPr="009E3C89">
        <w:rPr>
          <w:b w:val="0"/>
          <w:bCs w:val="0"/>
          <w:sz w:val="22"/>
          <w:szCs w:val="22"/>
        </w:rPr>
        <w:t> </w:t>
      </w:r>
      <w:r w:rsidR="00CB5CA5" w:rsidRPr="0085799C">
        <w:rPr>
          <w:b w:val="0"/>
          <w:bCs w:val="0"/>
          <w:sz w:val="22"/>
          <w:szCs w:val="22"/>
        </w:rPr>
        <w:t>380</w:t>
      </w:r>
      <w:r w:rsidR="002A3F7D" w:rsidRPr="009E3C89">
        <w:rPr>
          <w:b w:val="0"/>
          <w:bCs w:val="0"/>
          <w:sz w:val="22"/>
          <w:szCs w:val="22"/>
        </w:rPr>
        <w:t> </w:t>
      </w:r>
      <w:r w:rsidRPr="009E3C89">
        <w:rPr>
          <w:b w:val="0"/>
          <w:sz w:val="22"/>
          <w:szCs w:val="22"/>
        </w:rPr>
        <w:t xml:space="preserve">tis. eur. Uvedené transakcie nie sú zatiaľ predmetom eliminácií v plnej výške z dôvodu </w:t>
      </w:r>
      <w:proofErr w:type="spellStart"/>
      <w:r w:rsidRPr="009E3C89">
        <w:rPr>
          <w:b w:val="0"/>
          <w:sz w:val="22"/>
          <w:szCs w:val="22"/>
        </w:rPr>
        <w:t>obtiažnosti</w:t>
      </w:r>
      <w:proofErr w:type="spellEnd"/>
      <w:r w:rsidRPr="009E3C89">
        <w:rPr>
          <w:b w:val="0"/>
          <w:sz w:val="22"/>
          <w:szCs w:val="22"/>
        </w:rPr>
        <w:t xml:space="preserve"> procesu konsolidácie.</w:t>
      </w:r>
    </w:p>
    <w:p w14:paraId="5DBA5E2C" w14:textId="2D82D1C1" w:rsidR="00043AA5" w:rsidRPr="009E3C89" w:rsidRDefault="00647542" w:rsidP="0085799C">
      <w:pPr>
        <w:spacing w:after="120" w:line="240" w:lineRule="auto"/>
        <w:jc w:val="both"/>
        <w:rPr>
          <w:rFonts w:ascii="Times New Roman" w:hAnsi="Times New Roman"/>
          <w:szCs w:val="22"/>
        </w:rPr>
      </w:pPr>
      <w:r w:rsidRPr="009E3C89">
        <w:rPr>
          <w:rFonts w:ascii="Times New Roman" w:hAnsi="Times New Roman"/>
          <w:szCs w:val="22"/>
          <w:u w:val="single"/>
        </w:rPr>
        <w:t>Ústredná správa vykazuje časovo rozlíšené výnosy</w:t>
      </w:r>
      <w:r w:rsidRPr="009E3C89">
        <w:rPr>
          <w:rFonts w:ascii="Times New Roman" w:hAnsi="Times New Roman"/>
          <w:szCs w:val="22"/>
        </w:rPr>
        <w:t xml:space="preserve"> v hodnote </w:t>
      </w:r>
      <w:r w:rsidR="00792572" w:rsidRPr="0085799C">
        <w:rPr>
          <w:rFonts w:ascii="Times New Roman" w:hAnsi="Times New Roman"/>
        </w:rPr>
        <w:t>4 750 618</w:t>
      </w:r>
      <w:r w:rsidRPr="009E3C89">
        <w:rPr>
          <w:rFonts w:ascii="Times New Roman" w:hAnsi="Times New Roman"/>
          <w:szCs w:val="22"/>
        </w:rPr>
        <w:t xml:space="preserve"> tis. eur, a medziročne sú </w:t>
      </w:r>
      <w:r w:rsidR="005E7F92" w:rsidRPr="0085799C">
        <w:rPr>
          <w:rFonts w:ascii="Times New Roman" w:hAnsi="Times New Roman"/>
        </w:rPr>
        <w:t>niž</w:t>
      </w:r>
      <w:r w:rsidRPr="009E3C89">
        <w:rPr>
          <w:rFonts w:ascii="Times New Roman" w:hAnsi="Times New Roman"/>
          <w:szCs w:val="22"/>
        </w:rPr>
        <w:t>šie o</w:t>
      </w:r>
      <w:r w:rsidR="002A3F7D" w:rsidRPr="009E3C89">
        <w:rPr>
          <w:rFonts w:ascii="Times New Roman" w:hAnsi="Times New Roman"/>
          <w:b/>
          <w:szCs w:val="22"/>
        </w:rPr>
        <w:t> </w:t>
      </w:r>
      <w:r w:rsidR="005E7F92" w:rsidRPr="0085799C">
        <w:rPr>
          <w:rFonts w:ascii="Times New Roman" w:hAnsi="Times New Roman"/>
        </w:rPr>
        <w:t>372</w:t>
      </w:r>
      <w:r w:rsidR="002A3F7D" w:rsidRPr="009E3C89">
        <w:rPr>
          <w:rFonts w:ascii="Times New Roman" w:hAnsi="Times New Roman"/>
          <w:szCs w:val="22"/>
        </w:rPr>
        <w:t> </w:t>
      </w:r>
      <w:r w:rsidR="005E7F92" w:rsidRPr="0085799C">
        <w:rPr>
          <w:rFonts w:ascii="Times New Roman" w:hAnsi="Times New Roman"/>
        </w:rPr>
        <w:t>596</w:t>
      </w:r>
      <w:r w:rsidRPr="009E3C89">
        <w:rPr>
          <w:rFonts w:ascii="Times New Roman" w:hAnsi="Times New Roman"/>
          <w:szCs w:val="22"/>
        </w:rPr>
        <w:t xml:space="preserve"> tis. eur. </w:t>
      </w:r>
      <w:r w:rsidR="00043AA5" w:rsidRPr="0085799C">
        <w:rPr>
          <w:rFonts w:ascii="Times New Roman" w:hAnsi="Times New Roman"/>
        </w:rPr>
        <w:t xml:space="preserve">Významnú položku časovo rozlíšených výnosov vykazuje </w:t>
      </w:r>
      <w:r w:rsidR="00043AA5" w:rsidRPr="0085799C">
        <w:rPr>
          <w:rFonts w:ascii="Times New Roman" w:hAnsi="Times New Roman"/>
          <w:u w:val="single"/>
        </w:rPr>
        <w:t>Ministerstv</w:t>
      </w:r>
      <w:r w:rsidR="407CAB49" w:rsidRPr="009E3C89">
        <w:rPr>
          <w:rFonts w:ascii="Times New Roman" w:hAnsi="Times New Roman"/>
          <w:szCs w:val="22"/>
          <w:u w:val="single"/>
        </w:rPr>
        <w:t>o</w:t>
      </w:r>
      <w:r w:rsidR="00043AA5" w:rsidRPr="0085799C">
        <w:rPr>
          <w:rFonts w:ascii="Times New Roman" w:hAnsi="Times New Roman"/>
          <w:u w:val="single"/>
        </w:rPr>
        <w:t xml:space="preserve"> dopravy SR</w:t>
      </w:r>
      <w:r w:rsidR="00043AA5" w:rsidRPr="0085799C">
        <w:rPr>
          <w:rFonts w:ascii="Times New Roman" w:hAnsi="Times New Roman"/>
        </w:rPr>
        <w:t xml:space="preserve">  v sume 1 613 804 </w:t>
      </w:r>
      <w:r w:rsidR="00633BE0" w:rsidRPr="009E3C89">
        <w:rPr>
          <w:rFonts w:ascii="Times New Roman" w:hAnsi="Times New Roman"/>
          <w:szCs w:val="22"/>
        </w:rPr>
        <w:t>tis. eur</w:t>
      </w:r>
      <w:r w:rsidR="00043AA5" w:rsidRPr="0085799C">
        <w:rPr>
          <w:rFonts w:ascii="Times New Roman" w:hAnsi="Times New Roman"/>
        </w:rPr>
        <w:t xml:space="preserve"> (rok 2023 v sume 1 668 94</w:t>
      </w:r>
      <w:r w:rsidR="00633BE0" w:rsidRPr="009E3C89">
        <w:rPr>
          <w:rFonts w:ascii="Times New Roman" w:hAnsi="Times New Roman"/>
          <w:szCs w:val="22"/>
        </w:rPr>
        <w:t>5</w:t>
      </w:r>
      <w:r w:rsidR="00043AA5" w:rsidRPr="0085799C">
        <w:rPr>
          <w:rFonts w:ascii="Times New Roman" w:hAnsi="Times New Roman"/>
        </w:rPr>
        <w:t> </w:t>
      </w:r>
      <w:r w:rsidR="00633BE0" w:rsidRPr="009E3C89">
        <w:rPr>
          <w:rFonts w:ascii="Times New Roman" w:hAnsi="Times New Roman"/>
          <w:szCs w:val="22"/>
        </w:rPr>
        <w:t>tis. eur</w:t>
      </w:r>
      <w:r w:rsidR="00043AA5" w:rsidRPr="0085799C">
        <w:rPr>
          <w:rFonts w:ascii="Times New Roman" w:hAnsi="Times New Roman"/>
        </w:rPr>
        <w:t>). Medziročný pokles o 55 14</w:t>
      </w:r>
      <w:r w:rsidR="00633BE0" w:rsidRPr="009E3C89">
        <w:rPr>
          <w:rFonts w:ascii="Times New Roman" w:hAnsi="Times New Roman"/>
          <w:szCs w:val="22"/>
        </w:rPr>
        <w:t>1</w:t>
      </w:r>
      <w:r w:rsidR="00043AA5" w:rsidRPr="0085799C">
        <w:rPr>
          <w:rFonts w:ascii="Times New Roman" w:hAnsi="Times New Roman"/>
        </w:rPr>
        <w:t> </w:t>
      </w:r>
      <w:r w:rsidR="00633BE0" w:rsidRPr="009E3C89">
        <w:rPr>
          <w:rFonts w:ascii="Times New Roman" w:hAnsi="Times New Roman"/>
          <w:szCs w:val="22"/>
        </w:rPr>
        <w:t>tis.</w:t>
      </w:r>
      <w:r w:rsidR="00043AA5" w:rsidRPr="0085799C">
        <w:rPr>
          <w:rFonts w:ascii="Times New Roman" w:hAnsi="Times New Roman"/>
        </w:rPr>
        <w:t xml:space="preserve"> eur bol spôsobený </w:t>
      </w:r>
      <w:r w:rsidR="00633BE0" w:rsidRPr="009E3C89">
        <w:rPr>
          <w:rFonts w:ascii="Times New Roman" w:hAnsi="Times New Roman"/>
          <w:szCs w:val="22"/>
        </w:rPr>
        <w:t>najmä</w:t>
      </w:r>
      <w:r w:rsidR="00043AA5" w:rsidRPr="0085799C">
        <w:rPr>
          <w:rFonts w:ascii="Times New Roman" w:hAnsi="Times New Roman"/>
        </w:rPr>
        <w:t xml:space="preserve"> </w:t>
      </w:r>
      <w:r w:rsidR="00043AA5" w:rsidRPr="009E3C89">
        <w:rPr>
          <w:rFonts w:ascii="Times New Roman" w:hAnsi="Times New Roman"/>
          <w:szCs w:val="22"/>
        </w:rPr>
        <w:t>prírastkom zaúčtovaných faktúr týkajúcich sa „Koncesie na projektovanie, výstavbu, financovanie, prevádzku a údržbu úsekov diaľnice D4 Jarovce – Rača a rýchlostnej cesty R7 Prievoz – Holice“</w:t>
      </w:r>
      <w:r w:rsidR="001804DD">
        <w:rPr>
          <w:rFonts w:ascii="Times New Roman" w:hAnsi="Times New Roman"/>
          <w:szCs w:val="22"/>
        </w:rPr>
        <w:t>,</w:t>
      </w:r>
      <w:r w:rsidR="00043AA5" w:rsidRPr="009E3C89">
        <w:rPr>
          <w:rFonts w:ascii="Times New Roman" w:hAnsi="Times New Roman"/>
          <w:szCs w:val="22"/>
        </w:rPr>
        <w:t xml:space="preserve"> Samostatný úsek R7-4 Šamorín – Holice a úbytkom – zaúčtovaním odpisov za rok 2024 za majetok týkajúci sa koncesnej zmluvy. </w:t>
      </w:r>
    </w:p>
    <w:p w14:paraId="51BBB2F2" w14:textId="49071B72" w:rsidR="00043AA5" w:rsidRPr="0085799C" w:rsidRDefault="00043AA5" w:rsidP="0085799C">
      <w:pPr>
        <w:spacing w:after="120" w:line="240" w:lineRule="auto"/>
        <w:jc w:val="both"/>
        <w:rPr>
          <w:rFonts w:ascii="Times New Roman" w:hAnsi="Times New Roman"/>
        </w:rPr>
      </w:pPr>
      <w:r w:rsidRPr="0085799C">
        <w:rPr>
          <w:rFonts w:ascii="Times New Roman" w:hAnsi="Times New Roman"/>
          <w:u w:val="single"/>
        </w:rPr>
        <w:t>Ministerstvo financií SR</w:t>
      </w:r>
      <w:r w:rsidRPr="0085799C">
        <w:rPr>
          <w:rFonts w:ascii="Times New Roman" w:hAnsi="Times New Roman"/>
        </w:rPr>
        <w:t xml:space="preserve"> vykázalo hodnotu 1 072 088 </w:t>
      </w:r>
      <w:r w:rsidR="00633BE0" w:rsidRPr="009E3C89">
        <w:rPr>
          <w:rFonts w:ascii="Times New Roman" w:hAnsi="Times New Roman"/>
          <w:szCs w:val="22"/>
        </w:rPr>
        <w:t>tis.</w:t>
      </w:r>
      <w:r w:rsidR="002A3F7D" w:rsidRPr="0085799C">
        <w:rPr>
          <w:rFonts w:ascii="Times New Roman" w:eastAsiaTheme="minorHAnsi" w:hAnsi="Times New Roman"/>
          <w:color w:val="000000"/>
          <w:szCs w:val="22"/>
        </w:rPr>
        <w:t> </w:t>
      </w:r>
      <w:r w:rsidRPr="0085799C">
        <w:rPr>
          <w:rFonts w:ascii="Times New Roman" w:hAnsi="Times New Roman"/>
        </w:rPr>
        <w:t>eur, z toho pokles o 130 020 </w:t>
      </w:r>
      <w:r w:rsidR="00633BE0" w:rsidRPr="009E3C89">
        <w:rPr>
          <w:rFonts w:ascii="Times New Roman" w:hAnsi="Times New Roman"/>
          <w:szCs w:val="22"/>
        </w:rPr>
        <w:t>tis.</w:t>
      </w:r>
      <w:r w:rsidRPr="0085799C">
        <w:rPr>
          <w:rFonts w:ascii="Times New Roman" w:hAnsi="Times New Roman"/>
        </w:rPr>
        <w:t> eur oproti roku 2023, kedy boli vykázané výnosy budúcich období vo výške 1 202 108 </w:t>
      </w:r>
      <w:r w:rsidR="00633BE0" w:rsidRPr="009E3C89">
        <w:rPr>
          <w:rFonts w:ascii="Times New Roman" w:hAnsi="Times New Roman"/>
          <w:szCs w:val="22"/>
        </w:rPr>
        <w:t>tis.</w:t>
      </w:r>
      <w:r w:rsidRPr="0085799C">
        <w:rPr>
          <w:rFonts w:ascii="Times New Roman" w:hAnsi="Times New Roman"/>
        </w:rPr>
        <w:t> eur. Výnosy budúcich období tvorili najmä prémie zo štátnych dlhopisov vo výške 1 018</w:t>
      </w:r>
      <w:r w:rsidRPr="009E3C89">
        <w:rPr>
          <w:rFonts w:ascii="Times New Roman" w:hAnsi="Times New Roman"/>
          <w:szCs w:val="22"/>
        </w:rPr>
        <w:t> </w:t>
      </w:r>
      <w:r w:rsidRPr="0085799C">
        <w:rPr>
          <w:rFonts w:ascii="Times New Roman" w:hAnsi="Times New Roman"/>
        </w:rPr>
        <w:t>33</w:t>
      </w:r>
      <w:r w:rsidR="00633BE0" w:rsidRPr="009E3C89">
        <w:rPr>
          <w:rFonts w:ascii="Times New Roman" w:hAnsi="Times New Roman"/>
          <w:szCs w:val="22"/>
        </w:rPr>
        <w:t>4 tis.</w:t>
      </w:r>
      <w:r w:rsidRPr="0085799C">
        <w:rPr>
          <w:rFonts w:ascii="Times New Roman" w:hAnsi="Times New Roman"/>
        </w:rPr>
        <w:t> eur a prémia z úveru SURE v sume 3 23</w:t>
      </w:r>
      <w:r w:rsidR="00633BE0" w:rsidRPr="009E3C89">
        <w:rPr>
          <w:rFonts w:ascii="Times New Roman" w:hAnsi="Times New Roman"/>
          <w:szCs w:val="22"/>
        </w:rPr>
        <w:t>4</w:t>
      </w:r>
      <w:r w:rsidRPr="0085799C">
        <w:rPr>
          <w:rFonts w:ascii="Times New Roman" w:hAnsi="Times New Roman"/>
        </w:rPr>
        <w:t> </w:t>
      </w:r>
      <w:r w:rsidR="00633BE0" w:rsidRPr="009E3C89">
        <w:rPr>
          <w:rFonts w:ascii="Times New Roman" w:hAnsi="Times New Roman"/>
          <w:szCs w:val="22"/>
        </w:rPr>
        <w:t>tis.</w:t>
      </w:r>
      <w:r w:rsidRPr="0085799C">
        <w:rPr>
          <w:rFonts w:ascii="Times New Roman" w:hAnsi="Times New Roman"/>
        </w:rPr>
        <w:t> eur. Pokles oproti roku 2023 bol zapríčinený najmä predajom takmer všetkých štátnych dlhopisov s diskontom.</w:t>
      </w:r>
    </w:p>
    <w:p w14:paraId="28CCDC83" w14:textId="3D40B3DC" w:rsidR="00043AA5" w:rsidRPr="00BB21FD" w:rsidRDefault="00043AA5" w:rsidP="0085799C">
      <w:pPr>
        <w:spacing w:after="120" w:line="240" w:lineRule="auto"/>
        <w:jc w:val="both"/>
        <w:rPr>
          <w:rFonts w:ascii="Times New Roman" w:hAnsi="Times New Roman"/>
          <w:szCs w:val="22"/>
        </w:rPr>
      </w:pPr>
      <w:r w:rsidRPr="0085799C">
        <w:rPr>
          <w:rFonts w:ascii="Times New Roman" w:hAnsi="Times New Roman"/>
          <w:u w:val="single"/>
        </w:rPr>
        <w:t>Slovenská elektrizačná prenosová sústava, a.s.</w:t>
      </w:r>
      <w:r w:rsidRPr="0085799C">
        <w:rPr>
          <w:rFonts w:ascii="Times New Roman" w:hAnsi="Times New Roman"/>
        </w:rPr>
        <w:t xml:space="preserve"> eviduje hodnotu 316 412 </w:t>
      </w:r>
      <w:r w:rsidR="00633BE0" w:rsidRPr="009E3C89">
        <w:rPr>
          <w:rFonts w:ascii="Times New Roman" w:hAnsi="Times New Roman"/>
          <w:szCs w:val="22"/>
        </w:rPr>
        <w:t>tis.</w:t>
      </w:r>
      <w:r w:rsidRPr="0085799C">
        <w:rPr>
          <w:rFonts w:ascii="Times New Roman" w:hAnsi="Times New Roman"/>
        </w:rPr>
        <w:t xml:space="preserve"> eur. </w:t>
      </w:r>
      <w:r w:rsidRPr="009E3C89">
        <w:rPr>
          <w:rFonts w:ascii="Times New Roman" w:hAnsi="Times New Roman"/>
          <w:szCs w:val="22"/>
        </w:rPr>
        <w:t>Ide najmä o prijaté granty (80 519 </w:t>
      </w:r>
      <w:r w:rsidR="00633BE0" w:rsidRPr="00BB21FD">
        <w:rPr>
          <w:rFonts w:ascii="Times New Roman" w:hAnsi="Times New Roman"/>
          <w:szCs w:val="22"/>
        </w:rPr>
        <w:t>tis.</w:t>
      </w:r>
      <w:r w:rsidRPr="00BB21FD">
        <w:rPr>
          <w:rFonts w:ascii="Times New Roman" w:hAnsi="Times New Roman"/>
          <w:szCs w:val="22"/>
        </w:rPr>
        <w:t> eur) na modernizáciu elektrickej siete a časovo rozlíšené výnosy z regulovaných činností, ktoré spoločnosti nepatrili v roku 2024. Najvyššiu hodnotu predstavuje grant Lemešany (26 007 </w:t>
      </w:r>
      <w:r w:rsidR="00633BE0" w:rsidRPr="00BB21FD">
        <w:rPr>
          <w:rFonts w:ascii="Times New Roman" w:hAnsi="Times New Roman"/>
          <w:szCs w:val="22"/>
        </w:rPr>
        <w:t>tis.</w:t>
      </w:r>
      <w:r w:rsidRPr="00BB21FD">
        <w:rPr>
          <w:rFonts w:ascii="Times New Roman" w:hAnsi="Times New Roman"/>
          <w:szCs w:val="22"/>
        </w:rPr>
        <w:t> eur), grant Bystričany (47</w:t>
      </w:r>
      <w:r w:rsidR="002A3F7D">
        <w:rPr>
          <w:rFonts w:ascii="Times New Roman" w:hAnsi="Times New Roman"/>
          <w:szCs w:val="22"/>
        </w:rPr>
        <w:t> </w:t>
      </w:r>
      <w:r w:rsidRPr="009E3C89">
        <w:rPr>
          <w:rFonts w:ascii="Times New Roman" w:hAnsi="Times New Roman"/>
          <w:szCs w:val="22"/>
        </w:rPr>
        <w:t>58</w:t>
      </w:r>
      <w:r w:rsidR="00633BE0" w:rsidRPr="00BB21FD">
        <w:rPr>
          <w:rFonts w:ascii="Times New Roman" w:hAnsi="Times New Roman"/>
          <w:szCs w:val="22"/>
        </w:rPr>
        <w:t>3</w:t>
      </w:r>
      <w:r w:rsidR="002A3F7D">
        <w:rPr>
          <w:rFonts w:ascii="Times New Roman" w:hAnsi="Times New Roman"/>
          <w:szCs w:val="22"/>
        </w:rPr>
        <w:t> </w:t>
      </w:r>
      <w:r w:rsidR="00633BE0" w:rsidRPr="00BB21FD">
        <w:rPr>
          <w:rFonts w:ascii="Times New Roman" w:hAnsi="Times New Roman"/>
          <w:szCs w:val="22"/>
        </w:rPr>
        <w:t>tis.</w:t>
      </w:r>
      <w:r w:rsidRPr="00BB21FD">
        <w:rPr>
          <w:rFonts w:ascii="Times New Roman" w:hAnsi="Times New Roman"/>
          <w:szCs w:val="22"/>
        </w:rPr>
        <w:t> eur) a grant Križovany (6 929 </w:t>
      </w:r>
      <w:r w:rsidR="00633BE0" w:rsidRPr="00BB21FD">
        <w:rPr>
          <w:rFonts w:ascii="Times New Roman" w:hAnsi="Times New Roman"/>
          <w:szCs w:val="22"/>
        </w:rPr>
        <w:t>tis.</w:t>
      </w:r>
      <w:r w:rsidRPr="00BB21FD">
        <w:rPr>
          <w:rFonts w:ascii="Times New Roman" w:hAnsi="Times New Roman"/>
          <w:szCs w:val="22"/>
        </w:rPr>
        <w:t xml:space="preserve"> eur), všetky rovnako od Európskej banky pre obnovu a rozvoj. </w:t>
      </w:r>
    </w:p>
    <w:p w14:paraId="563444F6" w14:textId="63B51B45" w:rsidR="00043AA5" w:rsidRPr="0085799C" w:rsidRDefault="00043AA5" w:rsidP="0085799C">
      <w:pPr>
        <w:spacing w:after="120" w:line="240" w:lineRule="auto"/>
        <w:jc w:val="both"/>
        <w:rPr>
          <w:rFonts w:ascii="Times New Roman" w:hAnsi="Times New Roman"/>
        </w:rPr>
      </w:pPr>
      <w:r w:rsidRPr="00676E73">
        <w:rPr>
          <w:rFonts w:ascii="Times New Roman" w:hAnsi="Times New Roman"/>
          <w:u w:val="single"/>
        </w:rPr>
        <w:t>Ministerstvo vnútra SR</w:t>
      </w:r>
      <w:r w:rsidR="006444AD" w:rsidRPr="00676E73">
        <w:rPr>
          <w:rFonts w:ascii="Times New Roman" w:hAnsi="Times New Roman"/>
          <w:szCs w:val="22"/>
        </w:rPr>
        <w:t xml:space="preserve"> </w:t>
      </w:r>
      <w:r w:rsidR="00676E73" w:rsidRPr="00676E73">
        <w:rPr>
          <w:rFonts w:ascii="Times New Roman" w:hAnsi="Times New Roman"/>
          <w:szCs w:val="22"/>
        </w:rPr>
        <w:t xml:space="preserve">vykazuje výnosy budúcich období v hodnote </w:t>
      </w:r>
      <w:r w:rsidRPr="00676E73">
        <w:rPr>
          <w:rFonts w:ascii="Times New Roman" w:hAnsi="Times New Roman"/>
        </w:rPr>
        <w:t>286 72</w:t>
      </w:r>
      <w:r w:rsidR="00633BE0" w:rsidRPr="00676E73">
        <w:rPr>
          <w:rFonts w:ascii="Times New Roman" w:hAnsi="Times New Roman"/>
          <w:szCs w:val="22"/>
        </w:rPr>
        <w:t>4</w:t>
      </w:r>
      <w:r w:rsidRPr="00676E73">
        <w:rPr>
          <w:rFonts w:ascii="Times New Roman" w:hAnsi="Times New Roman"/>
        </w:rPr>
        <w:t> </w:t>
      </w:r>
      <w:r w:rsidR="00633BE0" w:rsidRPr="00676E73">
        <w:rPr>
          <w:rFonts w:ascii="Times New Roman" w:hAnsi="Times New Roman"/>
          <w:szCs w:val="22"/>
        </w:rPr>
        <w:t>tis.</w:t>
      </w:r>
      <w:r w:rsidRPr="00676E73">
        <w:rPr>
          <w:rFonts w:ascii="Times New Roman" w:hAnsi="Times New Roman"/>
        </w:rPr>
        <w:t xml:space="preserve"> eur</w:t>
      </w:r>
      <w:r w:rsidR="00676E73">
        <w:rPr>
          <w:rFonts w:ascii="Times New Roman" w:hAnsi="Times New Roman"/>
        </w:rPr>
        <w:t>,</w:t>
      </w:r>
      <w:r w:rsidR="00676E73" w:rsidRPr="00676E73">
        <w:rPr>
          <w:rFonts w:ascii="Times New Roman" w:hAnsi="Times New Roman"/>
        </w:rPr>
        <w:t xml:space="preserve"> najmä z titulu </w:t>
      </w:r>
      <w:r w:rsidR="00676E73" w:rsidRPr="00A7107D">
        <w:rPr>
          <w:rFonts w:ascii="Times New Roman" w:hAnsi="Times New Roman"/>
          <w:szCs w:val="22"/>
        </w:rPr>
        <w:t>zostatkovej hodnoty majetku nadobudnutého z iných zdrojov ako rozpočtových prostriedkov v sume 2</w:t>
      </w:r>
      <w:r w:rsidR="00676E73">
        <w:rPr>
          <w:rFonts w:ascii="Times New Roman" w:hAnsi="Times New Roman"/>
          <w:szCs w:val="22"/>
        </w:rPr>
        <w:t>79 552</w:t>
      </w:r>
      <w:r w:rsidR="00676E73" w:rsidRPr="00A7107D">
        <w:rPr>
          <w:rFonts w:ascii="Times New Roman" w:hAnsi="Times New Roman"/>
          <w:szCs w:val="22"/>
        </w:rPr>
        <w:t> tis. eur (napríklad z prijatých grantov a majetok v správe ministerstva, získaného prepadnutím alebo zabavením majetku od subjektov mimo súhrnného celku)</w:t>
      </w:r>
      <w:r w:rsidRPr="0085799C">
        <w:rPr>
          <w:rFonts w:ascii="Times New Roman" w:hAnsi="Times New Roman"/>
        </w:rPr>
        <w:t>.</w:t>
      </w:r>
    </w:p>
    <w:p w14:paraId="6D97CFC9" w14:textId="35E41723" w:rsidR="00142042" w:rsidRPr="009E3C89" w:rsidRDefault="00043AA5" w:rsidP="009E3C89">
      <w:pPr>
        <w:spacing w:after="120" w:line="240" w:lineRule="auto"/>
        <w:jc w:val="both"/>
        <w:rPr>
          <w:rFonts w:ascii="Times New Roman" w:hAnsi="Times New Roman"/>
          <w:szCs w:val="22"/>
        </w:rPr>
      </w:pPr>
      <w:r w:rsidRPr="0085799C">
        <w:rPr>
          <w:rFonts w:ascii="Times New Roman" w:hAnsi="Times New Roman"/>
          <w:u w:val="single"/>
        </w:rPr>
        <w:t>Ministerstvo obrany SR</w:t>
      </w:r>
      <w:r w:rsidRPr="0085799C">
        <w:rPr>
          <w:rFonts w:ascii="Times New Roman" w:hAnsi="Times New Roman"/>
        </w:rPr>
        <w:t xml:space="preserve"> vykazuje časovo rozlíšené výnosy v sume 279 9</w:t>
      </w:r>
      <w:r w:rsidR="00633BE0" w:rsidRPr="009E3C89">
        <w:rPr>
          <w:rFonts w:ascii="Times New Roman" w:hAnsi="Times New Roman"/>
          <w:szCs w:val="22"/>
        </w:rPr>
        <w:t>80</w:t>
      </w:r>
      <w:r w:rsidRPr="0085799C">
        <w:rPr>
          <w:rFonts w:ascii="Times New Roman" w:hAnsi="Times New Roman"/>
        </w:rPr>
        <w:t> </w:t>
      </w:r>
      <w:r w:rsidR="00633BE0" w:rsidRPr="009E3C89">
        <w:rPr>
          <w:rFonts w:ascii="Times New Roman" w:hAnsi="Times New Roman"/>
          <w:szCs w:val="22"/>
        </w:rPr>
        <w:t>tis.</w:t>
      </w:r>
      <w:r w:rsidRPr="0085799C">
        <w:rPr>
          <w:rFonts w:ascii="Times New Roman" w:hAnsi="Times New Roman"/>
        </w:rPr>
        <w:t> eur. Na uvedenom účte je vykazované zúčtovanie transferov od subjektov mimo verejnej správy v sume 252 529 </w:t>
      </w:r>
      <w:r w:rsidR="00633BE0" w:rsidRPr="009E3C89">
        <w:rPr>
          <w:rFonts w:ascii="Times New Roman" w:hAnsi="Times New Roman"/>
          <w:szCs w:val="22"/>
        </w:rPr>
        <w:t>tis.</w:t>
      </w:r>
      <w:r w:rsidR="002A3F7D">
        <w:rPr>
          <w:rFonts w:ascii="Times New Roman" w:hAnsi="Times New Roman"/>
          <w:szCs w:val="22"/>
        </w:rPr>
        <w:t> </w:t>
      </w:r>
      <w:r w:rsidRPr="0085799C">
        <w:rPr>
          <w:rFonts w:ascii="Times New Roman" w:hAnsi="Times New Roman"/>
        </w:rPr>
        <w:t>eur</w:t>
      </w:r>
      <w:r w:rsidR="00633BE0" w:rsidRPr="009E3C89">
        <w:rPr>
          <w:rFonts w:ascii="Times New Roman" w:hAnsi="Times New Roman"/>
          <w:szCs w:val="22"/>
        </w:rPr>
        <w:t>,</w:t>
      </w:r>
      <w:r w:rsidRPr="0085799C">
        <w:rPr>
          <w:rFonts w:ascii="Times New Roman" w:hAnsi="Times New Roman"/>
        </w:rPr>
        <w:t xml:space="preserve"> ako aj nespotrebovaný zostatok </w:t>
      </w:r>
      <w:r w:rsidR="0033736D">
        <w:rPr>
          <w:rFonts w:ascii="Times New Roman" w:hAnsi="Times New Roman"/>
        </w:rPr>
        <w:t>prostriedkov</w:t>
      </w:r>
      <w:r w:rsidRPr="0085799C">
        <w:rPr>
          <w:rFonts w:ascii="Times New Roman" w:hAnsi="Times New Roman"/>
        </w:rPr>
        <w:t xml:space="preserve"> od OSN v sume 26 052 </w:t>
      </w:r>
      <w:r w:rsidR="00633BE0" w:rsidRPr="009E3C89">
        <w:rPr>
          <w:rFonts w:ascii="Times New Roman" w:hAnsi="Times New Roman"/>
          <w:szCs w:val="22"/>
        </w:rPr>
        <w:t>tis.</w:t>
      </w:r>
      <w:r w:rsidRPr="0085799C">
        <w:rPr>
          <w:rFonts w:ascii="Times New Roman" w:hAnsi="Times New Roman"/>
        </w:rPr>
        <w:t xml:space="preserve"> eur </w:t>
      </w:r>
      <w:r w:rsidR="0033736D">
        <w:rPr>
          <w:rFonts w:ascii="Times New Roman" w:hAnsi="Times New Roman"/>
        </w:rPr>
        <w:t xml:space="preserve">slúžiacich na zabezpečenie medzinárodných misií </w:t>
      </w:r>
      <w:r w:rsidRPr="0085799C">
        <w:rPr>
          <w:rFonts w:ascii="Times New Roman" w:hAnsi="Times New Roman"/>
        </w:rPr>
        <w:t>a hodnota darovaných spektrometrov v sume 1 39</w:t>
      </w:r>
      <w:r w:rsidR="00D80F9C" w:rsidRPr="009E3C89">
        <w:rPr>
          <w:rFonts w:ascii="Times New Roman" w:hAnsi="Times New Roman"/>
          <w:szCs w:val="22"/>
        </w:rPr>
        <w:t>9</w:t>
      </w:r>
      <w:r w:rsidRPr="0085799C">
        <w:rPr>
          <w:rFonts w:ascii="Times New Roman" w:hAnsi="Times New Roman"/>
        </w:rPr>
        <w:t> </w:t>
      </w:r>
      <w:r w:rsidR="00D80F9C" w:rsidRPr="009E3C89">
        <w:rPr>
          <w:rFonts w:ascii="Times New Roman" w:hAnsi="Times New Roman"/>
          <w:szCs w:val="22"/>
        </w:rPr>
        <w:t>tis.</w:t>
      </w:r>
      <w:r w:rsidR="002A3F7D">
        <w:rPr>
          <w:rFonts w:ascii="Times New Roman" w:hAnsi="Times New Roman"/>
          <w:szCs w:val="22"/>
        </w:rPr>
        <w:t> </w:t>
      </w:r>
      <w:r w:rsidRPr="0085799C">
        <w:rPr>
          <w:rFonts w:ascii="Times New Roman" w:hAnsi="Times New Roman"/>
        </w:rPr>
        <w:t>eur.</w:t>
      </w:r>
    </w:p>
    <w:p w14:paraId="703333E7" w14:textId="77777777" w:rsidR="00142042" w:rsidRPr="00BB21FD" w:rsidRDefault="00142042" w:rsidP="00BB21FD">
      <w:pPr>
        <w:spacing w:after="120" w:line="240" w:lineRule="auto"/>
        <w:jc w:val="both"/>
        <w:rPr>
          <w:rFonts w:ascii="Times New Roman" w:hAnsi="Times New Roman"/>
          <w:szCs w:val="22"/>
        </w:rPr>
      </w:pPr>
    </w:p>
    <w:p w14:paraId="12D28B5F" w14:textId="77777777" w:rsidR="002B5E5D" w:rsidRDefault="002B5E5D">
      <w:pPr>
        <w:spacing w:after="160" w:line="259" w:lineRule="auto"/>
        <w:rPr>
          <w:rFonts w:ascii="Times New Roman" w:eastAsiaTheme="majorEastAsia" w:hAnsi="Times New Roman" w:cstheme="majorBidi"/>
          <w:b/>
          <w:sz w:val="24"/>
          <w:szCs w:val="32"/>
        </w:rPr>
      </w:pPr>
      <w:r>
        <w:br w:type="page"/>
      </w:r>
    </w:p>
    <w:p w14:paraId="174B63B8" w14:textId="506A2321" w:rsidR="006B1AAC" w:rsidRDefault="006B1AAC" w:rsidP="0085799C">
      <w:pPr>
        <w:pStyle w:val="Nadpis2"/>
      </w:pPr>
      <w:r>
        <w:lastRenderedPageBreak/>
        <w:t>INFORMÁCIE O</w:t>
      </w:r>
      <w:r w:rsidR="0008720A">
        <w:t xml:space="preserve"> </w:t>
      </w:r>
      <w:r>
        <w:t>NÁKLADOCH A VÝNOSOCH</w:t>
      </w:r>
    </w:p>
    <w:p w14:paraId="69B64811" w14:textId="0CD818EF" w:rsidR="008C0F9E" w:rsidRPr="0085799C" w:rsidRDefault="00647542" w:rsidP="0085799C">
      <w:pPr>
        <w:pStyle w:val="Nadpis3"/>
        <w:rPr>
          <w:b w:val="0"/>
          <w:bCs/>
          <w:szCs w:val="22"/>
          <w:highlight w:val="yellow"/>
        </w:rPr>
      </w:pPr>
      <w:r w:rsidRPr="007253B7">
        <w:rPr>
          <w:sz w:val="24"/>
          <w:szCs w:val="24"/>
        </w:rPr>
        <w:t>VÝNOSY</w:t>
      </w:r>
    </w:p>
    <w:p w14:paraId="506149A1" w14:textId="0A5867DE" w:rsidR="00647542" w:rsidRPr="009E3C89" w:rsidRDefault="00647542" w:rsidP="009E3C89">
      <w:pPr>
        <w:pStyle w:val="Pismenka"/>
        <w:tabs>
          <w:tab w:val="clear" w:pos="426"/>
        </w:tabs>
        <w:spacing w:after="120"/>
        <w:ind w:left="0" w:firstLine="0"/>
        <w:rPr>
          <w:b w:val="0"/>
          <w:sz w:val="22"/>
          <w:szCs w:val="22"/>
        </w:rPr>
      </w:pPr>
      <w:r w:rsidRPr="009E3C89">
        <w:rPr>
          <w:b w:val="0"/>
          <w:sz w:val="22"/>
          <w:szCs w:val="22"/>
          <w:lang w:eastAsia="en-US"/>
        </w:rPr>
        <w:t>Výnosy súhrnného celku dosiahli k 31.</w:t>
      </w:r>
      <w:r w:rsidR="00867606">
        <w:rPr>
          <w:b w:val="0"/>
          <w:sz w:val="22"/>
          <w:szCs w:val="22"/>
          <w:lang w:eastAsia="en-US"/>
        </w:rPr>
        <w:t xml:space="preserve"> </w:t>
      </w:r>
      <w:r w:rsidRPr="009E3C89">
        <w:rPr>
          <w:b w:val="0"/>
          <w:sz w:val="22"/>
          <w:szCs w:val="22"/>
          <w:lang w:eastAsia="en-US"/>
        </w:rPr>
        <w:t>12.</w:t>
      </w:r>
      <w:r w:rsidR="00867606">
        <w:rPr>
          <w:b w:val="0"/>
          <w:sz w:val="22"/>
          <w:szCs w:val="22"/>
          <w:lang w:eastAsia="en-US"/>
        </w:rPr>
        <w:t xml:space="preserve"> </w:t>
      </w:r>
      <w:r w:rsidRPr="009E3C89">
        <w:rPr>
          <w:b w:val="0"/>
          <w:sz w:val="22"/>
          <w:szCs w:val="22"/>
          <w:lang w:eastAsia="en-US"/>
        </w:rPr>
        <w:t>202</w:t>
      </w:r>
      <w:r w:rsidR="00F40FAB" w:rsidRPr="0085799C">
        <w:rPr>
          <w:b w:val="0"/>
          <w:sz w:val="22"/>
          <w:szCs w:val="22"/>
          <w:lang w:eastAsia="en-US"/>
        </w:rPr>
        <w:t>4</w:t>
      </w:r>
      <w:r w:rsidRPr="009E3C89">
        <w:rPr>
          <w:b w:val="0"/>
          <w:sz w:val="22"/>
          <w:szCs w:val="22"/>
          <w:lang w:eastAsia="en-US"/>
        </w:rPr>
        <w:t xml:space="preserve"> hodnotu </w:t>
      </w:r>
      <w:r w:rsidR="00FD671A" w:rsidRPr="0085799C">
        <w:rPr>
          <w:b w:val="0"/>
          <w:sz w:val="22"/>
          <w:szCs w:val="22"/>
          <w:lang w:eastAsia="en-US"/>
        </w:rPr>
        <w:t>70</w:t>
      </w:r>
      <w:r w:rsidR="00873D8E" w:rsidRPr="009E3C89">
        <w:rPr>
          <w:b w:val="0"/>
          <w:sz w:val="22"/>
          <w:szCs w:val="22"/>
          <w:lang w:eastAsia="en-US"/>
        </w:rPr>
        <w:t> </w:t>
      </w:r>
      <w:r w:rsidR="00FD671A" w:rsidRPr="0085799C">
        <w:rPr>
          <w:b w:val="0"/>
          <w:sz w:val="22"/>
          <w:szCs w:val="22"/>
          <w:lang w:eastAsia="en-US"/>
        </w:rPr>
        <w:t>069</w:t>
      </w:r>
      <w:r w:rsidR="00873D8E" w:rsidRPr="009E3C89">
        <w:rPr>
          <w:b w:val="0"/>
          <w:sz w:val="22"/>
          <w:szCs w:val="22"/>
          <w:lang w:eastAsia="en-US"/>
        </w:rPr>
        <w:t> </w:t>
      </w:r>
      <w:r w:rsidR="00FD671A" w:rsidRPr="0085799C">
        <w:rPr>
          <w:b w:val="0"/>
          <w:sz w:val="22"/>
          <w:szCs w:val="22"/>
          <w:lang w:eastAsia="en-US"/>
        </w:rPr>
        <w:t>86</w:t>
      </w:r>
      <w:r w:rsidR="00D6641A">
        <w:rPr>
          <w:b w:val="0"/>
          <w:sz w:val="22"/>
          <w:szCs w:val="22"/>
          <w:lang w:eastAsia="en-US"/>
        </w:rPr>
        <w:t>4</w:t>
      </w:r>
      <w:r w:rsidRPr="009E3C89">
        <w:rPr>
          <w:b w:val="0"/>
          <w:sz w:val="22"/>
          <w:szCs w:val="22"/>
          <w:lang w:eastAsia="en-US"/>
        </w:rPr>
        <w:t> tis. eur a oproti minulému obdobiu boli nižšie o</w:t>
      </w:r>
      <w:r w:rsidR="000435EE" w:rsidRPr="00BB21FD">
        <w:rPr>
          <w:b w:val="0"/>
          <w:sz w:val="22"/>
          <w:szCs w:val="22"/>
          <w:lang w:eastAsia="en-US"/>
        </w:rPr>
        <w:t> </w:t>
      </w:r>
      <w:r w:rsidR="00EB0D79" w:rsidRPr="0085799C">
        <w:rPr>
          <w:b w:val="0"/>
          <w:sz w:val="22"/>
          <w:szCs w:val="22"/>
          <w:lang w:eastAsia="en-US"/>
        </w:rPr>
        <w:t>1</w:t>
      </w:r>
      <w:r w:rsidR="000435EE" w:rsidRPr="009E3C89">
        <w:rPr>
          <w:b w:val="0"/>
          <w:sz w:val="22"/>
          <w:szCs w:val="22"/>
          <w:lang w:eastAsia="en-US"/>
        </w:rPr>
        <w:t> </w:t>
      </w:r>
      <w:r w:rsidR="00EB0D79" w:rsidRPr="0085799C">
        <w:rPr>
          <w:b w:val="0"/>
          <w:sz w:val="22"/>
          <w:szCs w:val="22"/>
          <w:lang w:eastAsia="en-US"/>
        </w:rPr>
        <w:t>987</w:t>
      </w:r>
      <w:r w:rsidR="000435EE" w:rsidRPr="009E3C89">
        <w:rPr>
          <w:b w:val="0"/>
          <w:sz w:val="22"/>
          <w:szCs w:val="22"/>
          <w:lang w:eastAsia="en-US"/>
        </w:rPr>
        <w:t> </w:t>
      </w:r>
      <w:r w:rsidR="00EB0D79" w:rsidRPr="0085799C">
        <w:rPr>
          <w:b w:val="0"/>
          <w:sz w:val="22"/>
          <w:szCs w:val="22"/>
          <w:lang w:eastAsia="en-US"/>
        </w:rPr>
        <w:t>754</w:t>
      </w:r>
      <w:r w:rsidRPr="009E3C89">
        <w:rPr>
          <w:b w:val="0"/>
          <w:sz w:val="22"/>
          <w:szCs w:val="22"/>
          <w:lang w:eastAsia="en-US"/>
        </w:rPr>
        <w:t> tis. eur. Na medziročnom znížení sa podieľali najmä nižšie výnosy zo zúčtovania rezervy na zamestnanecké požitky zamestnancov štátnych rozpočtových a štátnych príspevkových organizácií o</w:t>
      </w:r>
      <w:r w:rsidR="0008720A">
        <w:rPr>
          <w:b w:val="0"/>
          <w:sz w:val="22"/>
          <w:szCs w:val="22"/>
          <w:lang w:eastAsia="en-US"/>
        </w:rPr>
        <w:t xml:space="preserve"> </w:t>
      </w:r>
      <w:r w:rsidR="005C3451" w:rsidRPr="0085799C">
        <w:rPr>
          <w:b w:val="0"/>
          <w:sz w:val="22"/>
          <w:szCs w:val="22"/>
          <w:lang w:eastAsia="en-US"/>
        </w:rPr>
        <w:t>8</w:t>
      </w:r>
      <w:r w:rsidR="0008720A">
        <w:rPr>
          <w:b w:val="0"/>
          <w:sz w:val="22"/>
          <w:szCs w:val="22"/>
          <w:lang w:eastAsia="en-US"/>
        </w:rPr>
        <w:t> </w:t>
      </w:r>
      <w:r w:rsidR="005C3451" w:rsidRPr="0085799C">
        <w:rPr>
          <w:b w:val="0"/>
          <w:sz w:val="22"/>
          <w:szCs w:val="22"/>
          <w:lang w:eastAsia="en-US"/>
        </w:rPr>
        <w:t>681</w:t>
      </w:r>
      <w:r w:rsidR="0008720A">
        <w:rPr>
          <w:b w:val="0"/>
          <w:sz w:val="22"/>
          <w:szCs w:val="22"/>
          <w:lang w:eastAsia="en-US"/>
        </w:rPr>
        <w:t> </w:t>
      </w:r>
      <w:r w:rsidR="005C3451" w:rsidRPr="0085799C">
        <w:rPr>
          <w:b w:val="0"/>
          <w:sz w:val="22"/>
          <w:szCs w:val="22"/>
          <w:lang w:eastAsia="en-US"/>
        </w:rPr>
        <w:t>834</w:t>
      </w:r>
      <w:r w:rsidRPr="009E3C89">
        <w:rPr>
          <w:b w:val="0"/>
          <w:sz w:val="22"/>
          <w:szCs w:val="22"/>
          <w:lang w:eastAsia="en-US"/>
        </w:rPr>
        <w:t> tis. eur, nižšie výnosy z predaja výrobkov o</w:t>
      </w:r>
      <w:r w:rsidR="002A3F7D">
        <w:rPr>
          <w:b w:val="0"/>
          <w:sz w:val="22"/>
          <w:szCs w:val="22"/>
          <w:lang w:eastAsia="en-US"/>
        </w:rPr>
        <w:t xml:space="preserve"> </w:t>
      </w:r>
      <w:r w:rsidRPr="009E3C89">
        <w:rPr>
          <w:b w:val="0"/>
          <w:sz w:val="22"/>
          <w:szCs w:val="22"/>
          <w:lang w:eastAsia="en-US"/>
        </w:rPr>
        <w:t>1</w:t>
      </w:r>
      <w:r w:rsidR="002A3F7D">
        <w:rPr>
          <w:b w:val="0"/>
          <w:sz w:val="22"/>
          <w:szCs w:val="22"/>
          <w:lang w:eastAsia="en-US"/>
        </w:rPr>
        <w:t> </w:t>
      </w:r>
      <w:r w:rsidR="00686181" w:rsidRPr="0085799C">
        <w:rPr>
          <w:b w:val="0"/>
          <w:sz w:val="22"/>
          <w:szCs w:val="22"/>
          <w:lang w:eastAsia="en-US"/>
        </w:rPr>
        <w:t>231</w:t>
      </w:r>
      <w:r w:rsidR="002A3F7D">
        <w:rPr>
          <w:b w:val="0"/>
          <w:sz w:val="22"/>
          <w:szCs w:val="22"/>
          <w:lang w:eastAsia="en-US"/>
        </w:rPr>
        <w:t> </w:t>
      </w:r>
      <w:r w:rsidR="00686181" w:rsidRPr="0085799C">
        <w:rPr>
          <w:b w:val="0"/>
          <w:sz w:val="22"/>
          <w:szCs w:val="22"/>
          <w:lang w:eastAsia="en-US"/>
        </w:rPr>
        <w:t>787</w:t>
      </w:r>
      <w:r w:rsidRPr="009E3C89">
        <w:rPr>
          <w:b w:val="0"/>
          <w:sz w:val="22"/>
          <w:szCs w:val="22"/>
          <w:lang w:eastAsia="en-US"/>
        </w:rPr>
        <w:t> tis.</w:t>
      </w:r>
      <w:r w:rsidR="002A3F7D">
        <w:rPr>
          <w:b w:val="0"/>
          <w:sz w:val="22"/>
          <w:szCs w:val="22"/>
          <w:lang w:eastAsia="en-US"/>
        </w:rPr>
        <w:t> </w:t>
      </w:r>
      <w:r w:rsidRPr="009E3C89">
        <w:rPr>
          <w:b w:val="0"/>
          <w:sz w:val="22"/>
          <w:szCs w:val="22"/>
          <w:lang w:eastAsia="en-US"/>
        </w:rPr>
        <w:t xml:space="preserve">eur dosiahnuté niekoľkými významnými obchodnými spoločnosťami štátu. Medziročne vyššie boli daňové </w:t>
      </w:r>
      <w:r w:rsidR="0089396C" w:rsidRPr="0085799C">
        <w:rPr>
          <w:b w:val="0"/>
          <w:sz w:val="22"/>
          <w:szCs w:val="22"/>
          <w:lang w:eastAsia="en-US"/>
        </w:rPr>
        <w:t>a colné</w:t>
      </w:r>
      <w:r w:rsidRPr="0085799C">
        <w:rPr>
          <w:b w:val="0"/>
          <w:sz w:val="22"/>
          <w:szCs w:val="22"/>
          <w:lang w:eastAsia="en-US"/>
        </w:rPr>
        <w:t xml:space="preserve"> </w:t>
      </w:r>
      <w:r w:rsidRPr="009E3C89">
        <w:rPr>
          <w:b w:val="0"/>
          <w:sz w:val="22"/>
          <w:szCs w:val="22"/>
          <w:lang w:eastAsia="en-US"/>
        </w:rPr>
        <w:t>výnosy štátu o</w:t>
      </w:r>
      <w:r w:rsidR="0008720A">
        <w:rPr>
          <w:b w:val="0"/>
          <w:sz w:val="22"/>
          <w:szCs w:val="22"/>
          <w:lang w:eastAsia="en-US"/>
        </w:rPr>
        <w:t xml:space="preserve"> </w:t>
      </w:r>
      <w:r w:rsidR="00C91E6A" w:rsidRPr="0085799C">
        <w:rPr>
          <w:b w:val="0"/>
          <w:sz w:val="22"/>
          <w:szCs w:val="22"/>
          <w:lang w:eastAsia="en-US"/>
        </w:rPr>
        <w:t>934 890</w:t>
      </w:r>
      <w:r w:rsidRPr="009E3C89">
        <w:rPr>
          <w:b w:val="0"/>
          <w:sz w:val="22"/>
          <w:szCs w:val="22"/>
          <w:lang w:eastAsia="en-US"/>
        </w:rPr>
        <w:t> tis. eur</w:t>
      </w:r>
      <w:r w:rsidR="00C91E6A" w:rsidRPr="0085799C">
        <w:rPr>
          <w:b w:val="0"/>
          <w:sz w:val="22"/>
          <w:szCs w:val="22"/>
          <w:lang w:eastAsia="en-US"/>
        </w:rPr>
        <w:t xml:space="preserve">, ako aj </w:t>
      </w:r>
      <w:r w:rsidR="0056526C" w:rsidRPr="0085799C">
        <w:rPr>
          <w:b w:val="0"/>
          <w:sz w:val="22"/>
          <w:szCs w:val="22"/>
          <w:lang w:eastAsia="en-US"/>
        </w:rPr>
        <w:t>zmena stavu v</w:t>
      </w:r>
      <w:r w:rsidR="009D6238" w:rsidRPr="0085799C">
        <w:rPr>
          <w:b w:val="0"/>
          <w:sz w:val="22"/>
          <w:szCs w:val="22"/>
          <w:lang w:eastAsia="en-US"/>
        </w:rPr>
        <w:t>ýrobkov o</w:t>
      </w:r>
      <w:r w:rsidR="002A3F7D">
        <w:rPr>
          <w:b w:val="0"/>
          <w:sz w:val="22"/>
          <w:szCs w:val="22"/>
          <w:lang w:eastAsia="en-US"/>
        </w:rPr>
        <w:t xml:space="preserve"> </w:t>
      </w:r>
      <w:r w:rsidR="009D6238" w:rsidRPr="0085799C">
        <w:rPr>
          <w:b w:val="0"/>
          <w:sz w:val="22"/>
          <w:szCs w:val="22"/>
          <w:lang w:eastAsia="en-US"/>
        </w:rPr>
        <w:t>933 670 tis.</w:t>
      </w:r>
      <w:r w:rsidR="002A3F7D">
        <w:rPr>
          <w:b w:val="0"/>
          <w:sz w:val="22"/>
          <w:szCs w:val="22"/>
          <w:lang w:eastAsia="en-US"/>
        </w:rPr>
        <w:t> </w:t>
      </w:r>
      <w:r w:rsidR="009D6238" w:rsidRPr="0085799C">
        <w:rPr>
          <w:b w:val="0"/>
          <w:sz w:val="22"/>
          <w:szCs w:val="22"/>
          <w:lang w:eastAsia="en-US"/>
        </w:rPr>
        <w:t>eur</w:t>
      </w:r>
      <w:r w:rsidRPr="009E3C89">
        <w:rPr>
          <w:b w:val="0"/>
          <w:sz w:val="22"/>
          <w:szCs w:val="22"/>
          <w:lang w:eastAsia="en-US"/>
        </w:rPr>
        <w:t>.</w:t>
      </w:r>
    </w:p>
    <w:p w14:paraId="010A50CC" w14:textId="77777777" w:rsidR="006444AD" w:rsidRPr="009E3C89" w:rsidRDefault="006444AD" w:rsidP="009E3C89">
      <w:pPr>
        <w:pStyle w:val="Pismenka"/>
        <w:tabs>
          <w:tab w:val="clear" w:pos="426"/>
        </w:tabs>
        <w:spacing w:after="120"/>
        <w:ind w:left="0" w:firstLine="0"/>
        <w:rPr>
          <w:b w:val="0"/>
          <w:sz w:val="22"/>
          <w:szCs w:val="22"/>
        </w:rPr>
      </w:pPr>
    </w:p>
    <w:p w14:paraId="3F528FA9" w14:textId="77777777" w:rsidR="00647542" w:rsidRPr="007253B7" w:rsidRDefault="00647542" w:rsidP="0085799C">
      <w:pPr>
        <w:pStyle w:val="Nadpis3"/>
        <w:numPr>
          <w:ilvl w:val="0"/>
          <w:numId w:val="53"/>
        </w:numPr>
        <w:ind w:left="567" w:hanging="566"/>
        <w:rPr>
          <w:sz w:val="24"/>
          <w:szCs w:val="24"/>
        </w:rPr>
      </w:pPr>
      <w:bookmarkStart w:id="57" w:name="_Ref86186924"/>
      <w:r w:rsidRPr="007253B7">
        <w:t>Daňové a colné výnosy a výnosy z poplatkov</w:t>
      </w:r>
      <w:bookmarkEnd w:id="57"/>
    </w:p>
    <w:p w14:paraId="6F36E225" w14:textId="05851F27" w:rsidR="00A87CA7" w:rsidRPr="009E3C89" w:rsidRDefault="00647542" w:rsidP="0085799C">
      <w:pPr>
        <w:pStyle w:val="Odsekzoznamu"/>
        <w:spacing w:after="120" w:line="240" w:lineRule="auto"/>
        <w:ind w:left="0"/>
        <w:contextualSpacing w:val="0"/>
        <w:jc w:val="both"/>
        <w:rPr>
          <w:rFonts w:ascii="Times New Roman" w:hAnsi="Times New Roman"/>
          <w:szCs w:val="22"/>
        </w:rPr>
      </w:pPr>
      <w:r w:rsidRPr="009E3C89">
        <w:rPr>
          <w:rFonts w:ascii="Times New Roman" w:hAnsi="Times New Roman"/>
          <w:bCs/>
          <w:szCs w:val="22"/>
        </w:rPr>
        <w:t>O výnosoch z daní v súhrnnom celku môže účtovať subjekt, ktorý je prijímateľom daňových príjmov. V ústrednej správe za štát je to Ministerstvo financií SR, pričom evidenciu daňových príjmov štátu a pohľadávok z nich zabezpečuje Finančné riaditeľstvo SR. Ide o dane z príjmu právnických osôb a fyzických osôb, spotrebné dane, daň z pridanej hodnoty, daň vyberaná zrážkou, daň z motorových vozidiel a ostatné dane. Ďalšie dane, ako podiel na dani z príjmu fyzických osôb, daň z nehnuteľností (pozemkov, stavieb, z bytov a nebytových priestorov), miestne dane (za psa, za predajné automaty, za ubytovanie atď.) sú príjmom rozpočtov obcí. Výnosy z poplatkov zahŕňajú súdne a správne poplatky (</w:t>
      </w:r>
      <w:r w:rsidR="009D6238" w:rsidRPr="009E3C89">
        <w:rPr>
          <w:rFonts w:ascii="Times New Roman" w:hAnsi="Times New Roman"/>
          <w:bCs/>
          <w:szCs w:val="22"/>
        </w:rPr>
        <w:t>najmä</w:t>
      </w:r>
      <w:r w:rsidRPr="009E3C89">
        <w:rPr>
          <w:rFonts w:ascii="Times New Roman" w:hAnsi="Times New Roman"/>
          <w:bCs/>
          <w:szCs w:val="22"/>
        </w:rPr>
        <w:t xml:space="preserve"> e-kolky), poplatky za znečisťovanie ovzdušia a ostatné.</w:t>
      </w:r>
    </w:p>
    <w:p w14:paraId="63652B3A" w14:textId="77777777" w:rsidR="00A87CA7" w:rsidRPr="009E3C89" w:rsidRDefault="00A87CA7" w:rsidP="009E3C89">
      <w:pPr>
        <w:pStyle w:val="Odsekzoznamu"/>
        <w:spacing w:after="120" w:line="240" w:lineRule="auto"/>
        <w:ind w:left="0"/>
        <w:contextualSpacing w:val="0"/>
        <w:jc w:val="both"/>
        <w:rPr>
          <w:rFonts w:ascii="Times New Roman" w:hAnsi="Times New Roman"/>
          <w:szCs w:val="22"/>
        </w:rPr>
      </w:pPr>
    </w:p>
    <w:p w14:paraId="64CC8DC8" w14:textId="3B4E1328" w:rsidR="00A87CA7" w:rsidRDefault="00A87CA7" w:rsidP="0085799C">
      <w:pPr>
        <w:pStyle w:val="Nadpis4"/>
        <w:numPr>
          <w:ilvl w:val="0"/>
          <w:numId w:val="54"/>
        </w:numPr>
        <w:ind w:left="426" w:hanging="426"/>
      </w:pPr>
      <w:bookmarkStart w:id="58" w:name="_Daňové_výnosy_štátu"/>
      <w:bookmarkEnd w:id="58"/>
      <w:r>
        <w:t xml:space="preserve">Daňové </w:t>
      </w:r>
      <w:r w:rsidR="005C5519">
        <w:t>výnosy štátu</w:t>
      </w:r>
    </w:p>
    <w:p w14:paraId="0F53786F" w14:textId="27C869F0" w:rsidR="00DB3069" w:rsidRPr="009E3C89" w:rsidRDefault="00647542" w:rsidP="00DB3069">
      <w:pPr>
        <w:spacing w:after="120" w:line="240" w:lineRule="auto"/>
        <w:jc w:val="both"/>
        <w:rPr>
          <w:rFonts w:ascii="Times New Roman" w:hAnsi="Times New Roman"/>
          <w:color w:val="000000" w:themeColor="text1"/>
          <w:szCs w:val="22"/>
          <w:lang w:eastAsia="sk-SK"/>
        </w:rPr>
      </w:pPr>
      <w:r w:rsidRPr="009E3C89">
        <w:rPr>
          <w:rFonts w:ascii="Times New Roman" w:hAnsi="Times New Roman"/>
          <w:szCs w:val="22"/>
        </w:rPr>
        <w:t>Daňové výnosy štátu dosiahli k</w:t>
      </w:r>
      <w:r w:rsidR="00D93FC9">
        <w:rPr>
          <w:rFonts w:ascii="Times New Roman" w:hAnsi="Times New Roman"/>
          <w:szCs w:val="22"/>
        </w:rPr>
        <w:t xml:space="preserve"> </w:t>
      </w:r>
      <w:r w:rsidRPr="009E3C89">
        <w:rPr>
          <w:rFonts w:ascii="Times New Roman" w:hAnsi="Times New Roman"/>
          <w:szCs w:val="22"/>
        </w:rPr>
        <w:t>31.</w:t>
      </w:r>
      <w:r w:rsidR="00867606">
        <w:rPr>
          <w:rFonts w:ascii="Times New Roman" w:hAnsi="Times New Roman"/>
          <w:szCs w:val="22"/>
        </w:rPr>
        <w:t xml:space="preserve"> </w:t>
      </w:r>
      <w:r w:rsidRPr="009E3C89">
        <w:rPr>
          <w:rFonts w:ascii="Times New Roman" w:hAnsi="Times New Roman"/>
          <w:szCs w:val="22"/>
        </w:rPr>
        <w:t>12.</w:t>
      </w:r>
      <w:r w:rsidR="00867606">
        <w:rPr>
          <w:rFonts w:ascii="Times New Roman" w:hAnsi="Times New Roman"/>
          <w:szCs w:val="22"/>
        </w:rPr>
        <w:t xml:space="preserve"> </w:t>
      </w:r>
      <w:r w:rsidRPr="009E3C89">
        <w:rPr>
          <w:rFonts w:ascii="Times New Roman" w:hAnsi="Times New Roman"/>
          <w:szCs w:val="22"/>
        </w:rPr>
        <w:t>202</w:t>
      </w:r>
      <w:r w:rsidR="009D6238" w:rsidRPr="0085799C">
        <w:rPr>
          <w:rFonts w:ascii="Times New Roman" w:hAnsi="Times New Roman"/>
          <w:szCs w:val="22"/>
        </w:rPr>
        <w:t>4</w:t>
      </w:r>
      <w:r w:rsidRPr="009E3C89">
        <w:rPr>
          <w:rFonts w:ascii="Times New Roman" w:hAnsi="Times New Roman"/>
          <w:szCs w:val="22"/>
        </w:rPr>
        <w:t xml:space="preserve"> konsolidovanú hodnotu </w:t>
      </w:r>
      <w:r w:rsidR="00DB7853" w:rsidRPr="0085799C">
        <w:rPr>
          <w:rFonts w:ascii="Times New Roman" w:hAnsi="Times New Roman"/>
          <w:szCs w:val="22"/>
        </w:rPr>
        <w:t>18</w:t>
      </w:r>
      <w:r w:rsidR="0008720A">
        <w:rPr>
          <w:rFonts w:ascii="Times New Roman" w:hAnsi="Times New Roman"/>
          <w:szCs w:val="22"/>
        </w:rPr>
        <w:t> </w:t>
      </w:r>
      <w:r w:rsidR="00DB7853" w:rsidRPr="0085799C">
        <w:rPr>
          <w:rFonts w:ascii="Times New Roman" w:hAnsi="Times New Roman"/>
          <w:szCs w:val="22"/>
        </w:rPr>
        <w:t>651</w:t>
      </w:r>
      <w:r w:rsidR="0008720A">
        <w:rPr>
          <w:rFonts w:ascii="Times New Roman" w:hAnsi="Times New Roman"/>
          <w:szCs w:val="22"/>
        </w:rPr>
        <w:t> </w:t>
      </w:r>
      <w:r w:rsidR="00DB7853" w:rsidRPr="0085799C">
        <w:rPr>
          <w:rFonts w:ascii="Times New Roman" w:hAnsi="Times New Roman"/>
          <w:szCs w:val="22"/>
        </w:rPr>
        <w:t>657</w:t>
      </w:r>
      <w:r w:rsidRPr="009E3C89">
        <w:rPr>
          <w:rFonts w:ascii="Times New Roman" w:hAnsi="Times New Roman"/>
          <w:szCs w:val="22"/>
        </w:rPr>
        <w:t xml:space="preserve"> tis. eur, čo je medziročne viac </w:t>
      </w:r>
      <w:r w:rsidR="00796E5B">
        <w:rPr>
          <w:rFonts w:ascii="Times New Roman" w:hAnsi="Times New Roman"/>
          <w:szCs w:val="22"/>
        </w:rPr>
        <w:t>o</w:t>
      </w:r>
      <w:r w:rsidR="00D93FC9">
        <w:rPr>
          <w:rFonts w:ascii="Times New Roman" w:hAnsi="Times New Roman"/>
          <w:szCs w:val="22"/>
        </w:rPr>
        <w:t xml:space="preserve"> </w:t>
      </w:r>
      <w:r w:rsidR="00DB7853" w:rsidRPr="0085799C">
        <w:rPr>
          <w:rFonts w:ascii="Times New Roman" w:hAnsi="Times New Roman"/>
          <w:szCs w:val="22"/>
        </w:rPr>
        <w:t>9</w:t>
      </w:r>
      <w:r w:rsidR="00924D19" w:rsidRPr="0085799C">
        <w:rPr>
          <w:rFonts w:ascii="Times New Roman" w:hAnsi="Times New Roman"/>
          <w:szCs w:val="22"/>
        </w:rPr>
        <w:t>34</w:t>
      </w:r>
      <w:r w:rsidR="00D93FC9">
        <w:rPr>
          <w:rFonts w:ascii="Times New Roman" w:hAnsi="Times New Roman"/>
          <w:szCs w:val="22"/>
        </w:rPr>
        <w:t> </w:t>
      </w:r>
      <w:r w:rsidR="00B14378" w:rsidRPr="0085799C">
        <w:rPr>
          <w:rFonts w:ascii="Times New Roman" w:hAnsi="Times New Roman"/>
          <w:szCs w:val="22"/>
        </w:rPr>
        <w:t>890</w:t>
      </w:r>
      <w:r w:rsidRPr="009E3C89">
        <w:rPr>
          <w:rFonts w:ascii="Times New Roman" w:hAnsi="Times New Roman"/>
          <w:szCs w:val="22"/>
        </w:rPr>
        <w:t xml:space="preserve"> tis. eur. </w:t>
      </w:r>
    </w:p>
    <w:p w14:paraId="02F3B036" w14:textId="0EA5A65F" w:rsidR="00DB3069" w:rsidRPr="00BB21FD" w:rsidRDefault="00DB3069" w:rsidP="00DB3069">
      <w:pPr>
        <w:spacing w:after="120" w:line="240" w:lineRule="auto"/>
        <w:jc w:val="both"/>
        <w:rPr>
          <w:rFonts w:ascii="Times New Roman" w:hAnsi="Times New Roman"/>
          <w:color w:val="000000" w:themeColor="text1"/>
          <w:szCs w:val="22"/>
          <w:lang w:eastAsia="sk-SK"/>
        </w:rPr>
      </w:pPr>
      <w:r w:rsidRPr="009E3C89">
        <w:rPr>
          <w:rFonts w:ascii="Times New Roman" w:hAnsi="Times New Roman"/>
          <w:color w:val="000000" w:themeColor="text1"/>
          <w:szCs w:val="22"/>
          <w:lang w:eastAsia="sk-SK"/>
        </w:rPr>
        <w:t>Najvyššiu hodnotu vykázala daň z pridanej hodnoty (9 951 422 </w:t>
      </w:r>
      <w:r w:rsidRPr="00D518CC">
        <w:rPr>
          <w:rFonts w:ascii="Times New Roman" w:hAnsi="Times New Roman"/>
          <w:color w:val="000000" w:themeColor="text1"/>
          <w:szCs w:val="22"/>
          <w:lang w:eastAsia="sk-SK"/>
        </w:rPr>
        <w:t>tis.</w:t>
      </w:r>
      <w:r w:rsidRPr="00BB21FD">
        <w:rPr>
          <w:rFonts w:ascii="Times New Roman" w:hAnsi="Times New Roman"/>
          <w:color w:val="000000" w:themeColor="text1"/>
          <w:szCs w:val="22"/>
          <w:lang w:eastAsia="sk-SK"/>
        </w:rPr>
        <w:t> eur), daň z</w:t>
      </w:r>
      <w:r w:rsidR="00D93FC9">
        <w:rPr>
          <w:rFonts w:ascii="Times New Roman" w:hAnsi="Times New Roman"/>
          <w:color w:val="000000" w:themeColor="text1"/>
          <w:szCs w:val="22"/>
          <w:lang w:eastAsia="sk-SK"/>
        </w:rPr>
        <w:t xml:space="preserve"> </w:t>
      </w:r>
      <w:r w:rsidRPr="00BB21FD">
        <w:rPr>
          <w:rFonts w:ascii="Times New Roman" w:hAnsi="Times New Roman"/>
          <w:color w:val="000000" w:themeColor="text1"/>
          <w:szCs w:val="22"/>
          <w:lang w:eastAsia="sk-SK"/>
        </w:rPr>
        <w:t>príjmov právnických osôb (4 661 852 tis. eur), spotrebné dane (2 713 496 tis. eur),</w:t>
      </w:r>
      <w:r w:rsidRPr="00BB21FD">
        <w:rPr>
          <w:rFonts w:ascii="Times New Roman" w:hAnsi="Times New Roman"/>
          <w:color w:val="00B050"/>
          <w:szCs w:val="22"/>
          <w:lang w:eastAsia="sk-SK"/>
        </w:rPr>
        <w:t xml:space="preserve"> </w:t>
      </w:r>
      <w:r w:rsidRPr="00BB21FD">
        <w:rPr>
          <w:rFonts w:ascii="Times New Roman" w:hAnsi="Times New Roman"/>
          <w:color w:val="000000" w:themeColor="text1"/>
          <w:szCs w:val="22"/>
          <w:lang w:eastAsia="sk-SK"/>
        </w:rPr>
        <w:t>ostatné daňové príjmy (546 684 tis. eur), daň z príjmov vyberaná zrážkou (508 064 tis. eur) a daň z motorových vozidiel (136 875 tis. eur).</w:t>
      </w:r>
    </w:p>
    <w:p w14:paraId="2308DD38" w14:textId="77777777" w:rsidR="00C34C49" w:rsidRDefault="00647542" w:rsidP="005C5519">
      <w:pPr>
        <w:spacing w:after="120" w:line="240" w:lineRule="auto"/>
        <w:jc w:val="both"/>
        <w:rPr>
          <w:rFonts w:ascii="Times New Roman" w:hAnsi="Times New Roman"/>
          <w:szCs w:val="22"/>
        </w:rPr>
      </w:pPr>
      <w:r w:rsidRPr="009E3C89">
        <w:rPr>
          <w:rFonts w:ascii="Times New Roman" w:hAnsi="Times New Roman"/>
          <w:szCs w:val="22"/>
        </w:rPr>
        <w:t>Daň z</w:t>
      </w:r>
      <w:r w:rsidR="00D93FC9">
        <w:rPr>
          <w:rFonts w:ascii="Times New Roman" w:hAnsi="Times New Roman"/>
          <w:szCs w:val="22"/>
        </w:rPr>
        <w:t xml:space="preserve"> </w:t>
      </w:r>
      <w:r w:rsidRPr="009E3C89">
        <w:rPr>
          <w:rFonts w:ascii="Times New Roman" w:hAnsi="Times New Roman"/>
          <w:szCs w:val="22"/>
        </w:rPr>
        <w:t>príjmov fyzických osôb je podľa zákona č. 564/2004 Z. z. o rozpočtovom určení výnosu dane z príjmov územnej samospráve v znení neskorších predpisov podielovo rozdeľovaná medzi obce a</w:t>
      </w:r>
      <w:r w:rsidR="00D93FC9">
        <w:rPr>
          <w:rFonts w:ascii="Times New Roman" w:hAnsi="Times New Roman"/>
          <w:szCs w:val="22"/>
        </w:rPr>
        <w:t xml:space="preserve"> </w:t>
      </w:r>
      <w:r w:rsidRPr="009E3C89">
        <w:rPr>
          <w:rFonts w:ascii="Times New Roman" w:hAnsi="Times New Roman"/>
          <w:szCs w:val="22"/>
        </w:rPr>
        <w:t>vyššie územné celky. Výnosy z tejto dane sa od roku 2016 rozdeľujú pomerom 70 % v</w:t>
      </w:r>
      <w:r w:rsidR="00D93FC9">
        <w:rPr>
          <w:rFonts w:ascii="Times New Roman" w:hAnsi="Times New Roman"/>
          <w:szCs w:val="22"/>
        </w:rPr>
        <w:t xml:space="preserve"> </w:t>
      </w:r>
      <w:r w:rsidRPr="009E3C89">
        <w:rPr>
          <w:rFonts w:ascii="Times New Roman" w:hAnsi="Times New Roman"/>
          <w:szCs w:val="22"/>
        </w:rPr>
        <w:t>prospech obcí a 30 % v prospech vyšších územných celkov. Za rok 202</w:t>
      </w:r>
      <w:r w:rsidR="00A34CE4" w:rsidRPr="0085799C">
        <w:rPr>
          <w:rFonts w:ascii="Times New Roman" w:hAnsi="Times New Roman"/>
          <w:szCs w:val="22"/>
        </w:rPr>
        <w:t>4</w:t>
      </w:r>
      <w:r w:rsidRPr="009E3C89">
        <w:rPr>
          <w:rFonts w:ascii="Times New Roman" w:hAnsi="Times New Roman"/>
          <w:szCs w:val="22"/>
        </w:rPr>
        <w:t xml:space="preserve"> sa previedlo do rozpočtu obcí a V</w:t>
      </w:r>
      <w:r w:rsidR="00A34CE4" w:rsidRPr="0085799C">
        <w:rPr>
          <w:rFonts w:ascii="Times New Roman" w:hAnsi="Times New Roman"/>
          <w:szCs w:val="22"/>
        </w:rPr>
        <w:t>Ú</w:t>
      </w:r>
      <w:r w:rsidRPr="009E3C89">
        <w:rPr>
          <w:rFonts w:ascii="Times New Roman" w:hAnsi="Times New Roman"/>
          <w:szCs w:val="22"/>
        </w:rPr>
        <w:t>C spolu 3 </w:t>
      </w:r>
      <w:r w:rsidR="00A34CE4" w:rsidRPr="0085799C">
        <w:rPr>
          <w:rFonts w:ascii="Times New Roman" w:hAnsi="Times New Roman"/>
          <w:szCs w:val="22"/>
        </w:rPr>
        <w:t>7</w:t>
      </w:r>
      <w:r w:rsidR="003F3505" w:rsidRPr="0085799C">
        <w:rPr>
          <w:rFonts w:ascii="Times New Roman" w:hAnsi="Times New Roman"/>
          <w:szCs w:val="22"/>
        </w:rPr>
        <w:t>15</w:t>
      </w:r>
      <w:r w:rsidR="00D93FC9" w:rsidRPr="001E40AB">
        <w:rPr>
          <w:rFonts w:ascii="Times New Roman" w:hAnsi="Times New Roman"/>
          <w:szCs w:val="22"/>
        </w:rPr>
        <w:t> </w:t>
      </w:r>
      <w:r w:rsidR="003F3505" w:rsidRPr="0085799C">
        <w:rPr>
          <w:rFonts w:ascii="Times New Roman" w:hAnsi="Times New Roman"/>
          <w:szCs w:val="22"/>
        </w:rPr>
        <w:t>545</w:t>
      </w:r>
      <w:r w:rsidRPr="001E40AB">
        <w:rPr>
          <w:rFonts w:ascii="Times New Roman" w:hAnsi="Times New Roman"/>
          <w:szCs w:val="22"/>
        </w:rPr>
        <w:t> tis. eur z</w:t>
      </w:r>
      <w:r w:rsidR="00D93FC9" w:rsidRPr="001E40AB">
        <w:rPr>
          <w:rFonts w:ascii="Times New Roman" w:hAnsi="Times New Roman"/>
          <w:szCs w:val="22"/>
        </w:rPr>
        <w:t xml:space="preserve"> </w:t>
      </w:r>
      <w:r w:rsidRPr="001E40AB">
        <w:rPr>
          <w:rFonts w:ascii="Times New Roman" w:hAnsi="Times New Roman"/>
          <w:szCs w:val="22"/>
        </w:rPr>
        <w:t>dane z</w:t>
      </w:r>
      <w:r w:rsidR="00D93FC9" w:rsidRPr="001E40AB">
        <w:rPr>
          <w:rFonts w:ascii="Times New Roman" w:hAnsi="Times New Roman"/>
          <w:szCs w:val="22"/>
        </w:rPr>
        <w:t xml:space="preserve"> </w:t>
      </w:r>
      <w:r w:rsidRPr="001E40AB">
        <w:rPr>
          <w:rFonts w:ascii="Times New Roman" w:hAnsi="Times New Roman"/>
          <w:szCs w:val="22"/>
        </w:rPr>
        <w:t>príjmov fyzických osôb.</w:t>
      </w:r>
    </w:p>
    <w:p w14:paraId="778D45AA" w14:textId="4E94DBF3" w:rsidR="00647542" w:rsidRPr="00BB21FD" w:rsidRDefault="000D3F7E" w:rsidP="005C5519">
      <w:pPr>
        <w:spacing w:after="120" w:line="240" w:lineRule="auto"/>
        <w:jc w:val="both"/>
        <w:rPr>
          <w:rFonts w:ascii="Times New Roman" w:hAnsi="Times New Roman"/>
          <w:szCs w:val="22"/>
        </w:rPr>
      </w:pPr>
      <w:r w:rsidRPr="0085799C">
        <w:rPr>
          <w:rFonts w:ascii="Times New Roman" w:hAnsi="Times New Roman"/>
        </w:rPr>
        <w:t>Medziročne došlo k</w:t>
      </w:r>
      <w:r w:rsidR="00D93FC9" w:rsidRPr="001E40AB">
        <w:rPr>
          <w:rFonts w:ascii="Times New Roman" w:hAnsi="Times New Roman"/>
        </w:rPr>
        <w:t xml:space="preserve"> </w:t>
      </w:r>
      <w:r w:rsidRPr="0085799C">
        <w:rPr>
          <w:rFonts w:ascii="Times New Roman" w:hAnsi="Times New Roman"/>
        </w:rPr>
        <w:t>nárastu výnosov zo</w:t>
      </w:r>
      <w:r w:rsidR="00D93FC9" w:rsidRPr="001E40AB">
        <w:rPr>
          <w:rFonts w:ascii="Times New Roman" w:hAnsi="Times New Roman"/>
        </w:rPr>
        <w:t xml:space="preserve"> </w:t>
      </w:r>
      <w:r w:rsidRPr="0085799C">
        <w:rPr>
          <w:rFonts w:ascii="Times New Roman" w:hAnsi="Times New Roman"/>
        </w:rPr>
        <w:t>spotrebných daní o</w:t>
      </w:r>
      <w:r w:rsidR="000542D4" w:rsidRPr="001E40AB">
        <w:rPr>
          <w:rFonts w:ascii="Times New Roman" w:hAnsi="Times New Roman"/>
        </w:rPr>
        <w:t xml:space="preserve"> </w:t>
      </w:r>
      <w:r w:rsidRPr="0085799C">
        <w:rPr>
          <w:rFonts w:ascii="Times New Roman" w:hAnsi="Times New Roman"/>
        </w:rPr>
        <w:t>86 523 </w:t>
      </w:r>
      <w:r w:rsidR="00822894" w:rsidRPr="0085799C">
        <w:rPr>
          <w:rFonts w:ascii="Times New Roman" w:hAnsi="Times New Roman"/>
        </w:rPr>
        <w:t>tis.</w:t>
      </w:r>
      <w:r w:rsidRPr="0085799C">
        <w:rPr>
          <w:rFonts w:ascii="Times New Roman" w:hAnsi="Times New Roman"/>
        </w:rPr>
        <w:t> eur, aj z</w:t>
      </w:r>
      <w:r w:rsidR="009E3C89" w:rsidRPr="001E40AB">
        <w:rPr>
          <w:rFonts w:ascii="Times New Roman" w:hAnsi="Times New Roman"/>
        </w:rPr>
        <w:t xml:space="preserve"> </w:t>
      </w:r>
      <w:r w:rsidRPr="0085799C">
        <w:rPr>
          <w:rFonts w:ascii="Times New Roman" w:hAnsi="Times New Roman"/>
        </w:rPr>
        <w:t xml:space="preserve">dôvodu zvýšenia sadzieb dane z liehu a dane z tabakových výrobkov. </w:t>
      </w:r>
      <w:r w:rsidR="0044429C" w:rsidRPr="0085799C">
        <w:rPr>
          <w:rFonts w:ascii="Times New Roman" w:hAnsi="Times New Roman"/>
          <w:u w:val="single"/>
        </w:rPr>
        <w:t>Výnos z dane z príjmov právnických osôb</w:t>
      </w:r>
      <w:r w:rsidR="0044429C" w:rsidRPr="0085799C">
        <w:rPr>
          <w:rFonts w:ascii="Times New Roman" w:hAnsi="Times New Roman"/>
        </w:rPr>
        <w:t xml:space="preserve"> zaznamenal zvýšenie o</w:t>
      </w:r>
      <w:r w:rsidR="009E3C89" w:rsidRPr="001E40AB">
        <w:rPr>
          <w:rFonts w:ascii="Times New Roman" w:hAnsi="Times New Roman"/>
        </w:rPr>
        <w:t xml:space="preserve"> </w:t>
      </w:r>
      <w:r w:rsidR="0044429C" w:rsidRPr="0085799C">
        <w:rPr>
          <w:rFonts w:ascii="Times New Roman" w:hAnsi="Times New Roman"/>
        </w:rPr>
        <w:t>494 39</w:t>
      </w:r>
      <w:r w:rsidR="005B450D" w:rsidRPr="0085799C">
        <w:rPr>
          <w:rFonts w:ascii="Times New Roman" w:hAnsi="Times New Roman"/>
        </w:rPr>
        <w:t>7</w:t>
      </w:r>
      <w:r w:rsidR="0044429C" w:rsidRPr="0085799C">
        <w:rPr>
          <w:rFonts w:ascii="Times New Roman" w:hAnsi="Times New Roman"/>
        </w:rPr>
        <w:t> </w:t>
      </w:r>
      <w:r w:rsidR="00822894" w:rsidRPr="0085799C">
        <w:rPr>
          <w:rFonts w:ascii="Times New Roman" w:hAnsi="Times New Roman"/>
        </w:rPr>
        <w:t>tis.</w:t>
      </w:r>
      <w:r w:rsidR="0044429C" w:rsidRPr="0085799C">
        <w:rPr>
          <w:rFonts w:ascii="Times New Roman" w:hAnsi="Times New Roman"/>
        </w:rPr>
        <w:t> eur oproti minulému roku, čo bolo ovplyvnené najmä vyššími daňovými povinnosťami vyčíslenými daňovými subjektami v daňových priznaniach za rok 2023 a</w:t>
      </w:r>
      <w:r w:rsidR="00A70D44">
        <w:rPr>
          <w:rFonts w:ascii="Times New Roman" w:hAnsi="Times New Roman"/>
        </w:rPr>
        <w:t xml:space="preserve"> </w:t>
      </w:r>
      <w:r w:rsidR="0044429C" w:rsidRPr="0085799C">
        <w:rPr>
          <w:rFonts w:ascii="Times New Roman" w:hAnsi="Times New Roman"/>
        </w:rPr>
        <w:t>z</w:t>
      </w:r>
      <w:r w:rsidR="00A70D44">
        <w:rPr>
          <w:rFonts w:ascii="Times New Roman" w:hAnsi="Times New Roman"/>
        </w:rPr>
        <w:t xml:space="preserve"> </w:t>
      </w:r>
      <w:r w:rsidR="0044429C" w:rsidRPr="0085799C">
        <w:rPr>
          <w:rFonts w:ascii="Times New Roman" w:hAnsi="Times New Roman"/>
        </w:rPr>
        <w:t>toho vyplývajúce vyššie predpisy preddavkov na rok 2024.</w:t>
      </w:r>
    </w:p>
    <w:p w14:paraId="0C529870" w14:textId="77777777" w:rsidR="005C5519" w:rsidRPr="00BB21FD" w:rsidRDefault="005C5519" w:rsidP="005C5519">
      <w:pPr>
        <w:spacing w:after="120" w:line="240" w:lineRule="auto"/>
        <w:jc w:val="both"/>
        <w:rPr>
          <w:rFonts w:ascii="Times New Roman" w:hAnsi="Times New Roman"/>
          <w:szCs w:val="22"/>
        </w:rPr>
      </w:pPr>
    </w:p>
    <w:p w14:paraId="4D25CAC1" w14:textId="393F7DDC" w:rsidR="005C5519" w:rsidRDefault="005C5519" w:rsidP="0085799C">
      <w:pPr>
        <w:pStyle w:val="Nadpis4"/>
        <w:numPr>
          <w:ilvl w:val="0"/>
          <w:numId w:val="54"/>
        </w:numPr>
        <w:ind w:left="426" w:hanging="426"/>
      </w:pPr>
      <w:bookmarkStart w:id="59" w:name="_Daňové_výnosy_územnej"/>
      <w:bookmarkEnd w:id="59"/>
      <w:r>
        <w:t>Daňové výnosy územnej samosprávy</w:t>
      </w:r>
    </w:p>
    <w:p w14:paraId="04475735" w14:textId="5BA25D33" w:rsidR="00647542" w:rsidRPr="00D518CC" w:rsidRDefault="00647542" w:rsidP="009E3C89">
      <w:pPr>
        <w:spacing w:after="120" w:line="240" w:lineRule="auto"/>
        <w:jc w:val="both"/>
        <w:rPr>
          <w:rFonts w:ascii="Times New Roman" w:hAnsi="Times New Roman"/>
          <w:szCs w:val="22"/>
        </w:rPr>
      </w:pPr>
      <w:bookmarkStart w:id="60" w:name="_Ref86186327"/>
      <w:r w:rsidRPr="009E3C89">
        <w:rPr>
          <w:rFonts w:ascii="Times New Roman" w:hAnsi="Times New Roman"/>
          <w:szCs w:val="22"/>
        </w:rPr>
        <w:t>Daňové výnosy územnej samosprávy dosiahli hodnotu 4</w:t>
      </w:r>
      <w:r w:rsidR="006C77B0" w:rsidRPr="0085799C">
        <w:rPr>
          <w:rFonts w:ascii="Times New Roman" w:hAnsi="Times New Roman"/>
          <w:bCs/>
          <w:szCs w:val="22"/>
        </w:rPr>
        <w:t> 779</w:t>
      </w:r>
      <w:r w:rsidR="009E3C89">
        <w:rPr>
          <w:rFonts w:ascii="Times New Roman" w:hAnsi="Times New Roman"/>
          <w:bCs/>
          <w:szCs w:val="22"/>
        </w:rPr>
        <w:t> </w:t>
      </w:r>
      <w:r w:rsidR="006C77B0" w:rsidRPr="0085799C">
        <w:rPr>
          <w:rFonts w:ascii="Times New Roman" w:hAnsi="Times New Roman"/>
          <w:bCs/>
          <w:szCs w:val="22"/>
        </w:rPr>
        <w:t>515</w:t>
      </w:r>
      <w:r w:rsidRPr="009E3C89">
        <w:rPr>
          <w:rFonts w:ascii="Times New Roman" w:hAnsi="Times New Roman"/>
          <w:szCs w:val="22"/>
        </w:rPr>
        <w:t xml:space="preserve"> tis. eur a medziročne sú </w:t>
      </w:r>
      <w:r w:rsidR="00F91367" w:rsidRPr="0085799C">
        <w:rPr>
          <w:rFonts w:ascii="Times New Roman" w:hAnsi="Times New Roman"/>
          <w:bCs/>
          <w:szCs w:val="22"/>
        </w:rPr>
        <w:t>nižšie</w:t>
      </w:r>
      <w:r w:rsidRPr="009E3C89">
        <w:rPr>
          <w:rFonts w:ascii="Times New Roman" w:hAnsi="Times New Roman"/>
          <w:szCs w:val="22"/>
        </w:rPr>
        <w:t xml:space="preserve"> o</w:t>
      </w:r>
      <w:r w:rsidR="00F91367" w:rsidRPr="0085799C">
        <w:rPr>
          <w:rFonts w:ascii="Times New Roman" w:hAnsi="Times New Roman"/>
          <w:bCs/>
          <w:szCs w:val="22"/>
        </w:rPr>
        <w:t> 41</w:t>
      </w:r>
      <w:r w:rsidR="009E3C89">
        <w:rPr>
          <w:rFonts w:ascii="Times New Roman" w:hAnsi="Times New Roman"/>
          <w:bCs/>
          <w:szCs w:val="22"/>
        </w:rPr>
        <w:t> </w:t>
      </w:r>
      <w:r w:rsidR="00F91367" w:rsidRPr="0085799C">
        <w:rPr>
          <w:rFonts w:ascii="Times New Roman" w:hAnsi="Times New Roman"/>
          <w:bCs/>
          <w:szCs w:val="22"/>
        </w:rPr>
        <w:t>762</w:t>
      </w:r>
      <w:r w:rsidR="009E3C89">
        <w:rPr>
          <w:rFonts w:ascii="Times New Roman" w:hAnsi="Times New Roman"/>
          <w:bCs/>
          <w:szCs w:val="22"/>
        </w:rPr>
        <w:t> </w:t>
      </w:r>
      <w:r w:rsidRPr="009E3C89">
        <w:rPr>
          <w:rFonts w:ascii="Times New Roman" w:hAnsi="Times New Roman"/>
          <w:szCs w:val="22"/>
        </w:rPr>
        <w:t>tis. eur, Obce vykázali celkovú hodnotu 3</w:t>
      </w:r>
      <w:r w:rsidR="009E3C89">
        <w:rPr>
          <w:rFonts w:ascii="Times New Roman" w:hAnsi="Times New Roman"/>
          <w:bCs/>
          <w:szCs w:val="22"/>
        </w:rPr>
        <w:t> </w:t>
      </w:r>
      <w:r w:rsidR="00A66558" w:rsidRPr="0085799C">
        <w:rPr>
          <w:rFonts w:ascii="Times New Roman" w:hAnsi="Times New Roman"/>
          <w:bCs/>
          <w:szCs w:val="22"/>
        </w:rPr>
        <w:t>300</w:t>
      </w:r>
      <w:r w:rsidR="009E3C89">
        <w:rPr>
          <w:rFonts w:ascii="Times New Roman" w:hAnsi="Times New Roman"/>
          <w:bCs/>
          <w:szCs w:val="22"/>
        </w:rPr>
        <w:t> </w:t>
      </w:r>
      <w:r w:rsidR="00A66558" w:rsidRPr="0085799C">
        <w:rPr>
          <w:rFonts w:ascii="Times New Roman" w:hAnsi="Times New Roman"/>
          <w:bCs/>
          <w:szCs w:val="22"/>
        </w:rPr>
        <w:t>679</w:t>
      </w:r>
      <w:r w:rsidRPr="009E3C89">
        <w:rPr>
          <w:rFonts w:ascii="Times New Roman" w:hAnsi="Times New Roman"/>
          <w:szCs w:val="22"/>
        </w:rPr>
        <w:t> tis. eur (202</w:t>
      </w:r>
      <w:r w:rsidR="00914F21" w:rsidRPr="0085799C">
        <w:rPr>
          <w:rFonts w:ascii="Times New Roman" w:hAnsi="Times New Roman"/>
          <w:bCs/>
          <w:szCs w:val="22"/>
        </w:rPr>
        <w:t>3</w:t>
      </w:r>
      <w:r w:rsidRPr="009E3C89">
        <w:rPr>
          <w:rFonts w:ascii="Times New Roman" w:hAnsi="Times New Roman"/>
          <w:szCs w:val="22"/>
        </w:rPr>
        <w:t xml:space="preserve">: </w:t>
      </w:r>
      <w:r w:rsidRPr="00D518CC">
        <w:rPr>
          <w:rFonts w:ascii="Times New Roman" w:hAnsi="Times New Roman"/>
          <w:szCs w:val="22"/>
        </w:rPr>
        <w:t>3 </w:t>
      </w:r>
      <w:r w:rsidR="00914F21" w:rsidRPr="0085799C">
        <w:rPr>
          <w:rFonts w:ascii="Times New Roman" w:hAnsi="Times New Roman"/>
          <w:bCs/>
          <w:szCs w:val="22"/>
        </w:rPr>
        <w:t>192 926 </w:t>
      </w:r>
      <w:r w:rsidRPr="009E3C89">
        <w:rPr>
          <w:rFonts w:ascii="Times New Roman" w:hAnsi="Times New Roman"/>
          <w:szCs w:val="22"/>
        </w:rPr>
        <w:t>tis.</w:t>
      </w:r>
      <w:r w:rsidR="009E3C89">
        <w:rPr>
          <w:rFonts w:ascii="Times New Roman" w:hAnsi="Times New Roman"/>
          <w:szCs w:val="22"/>
        </w:rPr>
        <w:t> </w:t>
      </w:r>
      <w:r w:rsidRPr="009E3C89">
        <w:rPr>
          <w:rFonts w:ascii="Times New Roman" w:hAnsi="Times New Roman"/>
          <w:szCs w:val="22"/>
        </w:rPr>
        <w:t xml:space="preserve">eur) a vyššie územné celky </w:t>
      </w:r>
      <w:r w:rsidRPr="00D518CC">
        <w:rPr>
          <w:rFonts w:ascii="Times New Roman" w:hAnsi="Times New Roman"/>
          <w:szCs w:val="22"/>
        </w:rPr>
        <w:t>1</w:t>
      </w:r>
      <w:r w:rsidR="009E3C89">
        <w:rPr>
          <w:rFonts w:ascii="Times New Roman" w:hAnsi="Times New Roman"/>
          <w:szCs w:val="22"/>
        </w:rPr>
        <w:t> </w:t>
      </w:r>
      <w:r w:rsidR="00A66558" w:rsidRPr="0085799C">
        <w:rPr>
          <w:rFonts w:ascii="Times New Roman" w:hAnsi="Times New Roman"/>
          <w:bCs/>
          <w:szCs w:val="22"/>
        </w:rPr>
        <w:t>138</w:t>
      </w:r>
      <w:r w:rsidR="009E3C89">
        <w:rPr>
          <w:rFonts w:ascii="Times New Roman" w:hAnsi="Times New Roman"/>
          <w:bCs/>
          <w:szCs w:val="22"/>
        </w:rPr>
        <w:t> </w:t>
      </w:r>
      <w:r w:rsidR="00A66558" w:rsidRPr="0085799C">
        <w:rPr>
          <w:rFonts w:ascii="Times New Roman" w:hAnsi="Times New Roman"/>
          <w:bCs/>
          <w:szCs w:val="22"/>
        </w:rPr>
        <w:t>034</w:t>
      </w:r>
      <w:r w:rsidR="009E3C89">
        <w:rPr>
          <w:rFonts w:ascii="Times New Roman" w:hAnsi="Times New Roman"/>
          <w:bCs/>
          <w:szCs w:val="22"/>
        </w:rPr>
        <w:t> </w:t>
      </w:r>
      <w:r w:rsidRPr="009E3C89">
        <w:rPr>
          <w:rFonts w:ascii="Times New Roman" w:hAnsi="Times New Roman"/>
          <w:szCs w:val="22"/>
        </w:rPr>
        <w:t xml:space="preserve">tis. eur (2022: </w:t>
      </w:r>
      <w:r w:rsidRPr="00D518CC">
        <w:rPr>
          <w:rFonts w:ascii="Times New Roman" w:hAnsi="Times New Roman"/>
          <w:szCs w:val="22"/>
        </w:rPr>
        <w:t>1 </w:t>
      </w:r>
      <w:r w:rsidR="00A66558" w:rsidRPr="0085799C">
        <w:rPr>
          <w:rFonts w:ascii="Times New Roman" w:hAnsi="Times New Roman"/>
          <w:bCs/>
          <w:szCs w:val="22"/>
        </w:rPr>
        <w:t>157 536 </w:t>
      </w:r>
      <w:r w:rsidRPr="009E3C89">
        <w:rPr>
          <w:rFonts w:ascii="Times New Roman" w:hAnsi="Times New Roman"/>
          <w:szCs w:val="22"/>
        </w:rPr>
        <w:t>tis.</w:t>
      </w:r>
      <w:r w:rsidR="009E3C89">
        <w:rPr>
          <w:rFonts w:ascii="Times New Roman" w:hAnsi="Times New Roman"/>
          <w:szCs w:val="22"/>
        </w:rPr>
        <w:t> </w:t>
      </w:r>
      <w:r w:rsidRPr="009E3C89">
        <w:rPr>
          <w:rFonts w:ascii="Times New Roman" w:hAnsi="Times New Roman"/>
          <w:szCs w:val="22"/>
        </w:rPr>
        <w:t>eur).</w:t>
      </w:r>
    </w:p>
    <w:p w14:paraId="5E4B6EE6" w14:textId="77777777" w:rsidR="005C5519" w:rsidRPr="00BB21FD" w:rsidRDefault="005C5519" w:rsidP="009E3C89">
      <w:pPr>
        <w:spacing w:after="120" w:line="240" w:lineRule="auto"/>
        <w:jc w:val="both"/>
        <w:rPr>
          <w:rFonts w:ascii="Times New Roman" w:hAnsi="Times New Roman"/>
          <w:szCs w:val="22"/>
        </w:rPr>
      </w:pPr>
    </w:p>
    <w:p w14:paraId="3BAE2C77" w14:textId="313981B3" w:rsidR="005C5519" w:rsidRDefault="005C5519" w:rsidP="0085799C">
      <w:pPr>
        <w:pStyle w:val="Nadpis4"/>
        <w:numPr>
          <w:ilvl w:val="0"/>
          <w:numId w:val="54"/>
        </w:numPr>
        <w:ind w:left="426" w:hanging="426"/>
      </w:pPr>
      <w:bookmarkStart w:id="61" w:name="_Poplatky"/>
      <w:bookmarkEnd w:id="61"/>
      <w:r>
        <w:t>Poplatky</w:t>
      </w:r>
    </w:p>
    <w:p w14:paraId="4561AF0E" w14:textId="30C8EF63" w:rsidR="005C5519" w:rsidRPr="00BB21FD" w:rsidRDefault="00647542" w:rsidP="00BB21FD">
      <w:pPr>
        <w:spacing w:after="120" w:line="240" w:lineRule="auto"/>
        <w:jc w:val="both"/>
        <w:rPr>
          <w:rFonts w:ascii="Times New Roman" w:hAnsi="Times New Roman"/>
          <w:szCs w:val="22"/>
        </w:rPr>
      </w:pPr>
      <w:bookmarkStart w:id="62" w:name="_Ref86186932"/>
      <w:bookmarkEnd w:id="60"/>
      <w:r w:rsidRPr="00BB21FD">
        <w:rPr>
          <w:rFonts w:ascii="Times New Roman" w:hAnsi="Times New Roman"/>
          <w:szCs w:val="22"/>
        </w:rPr>
        <w:t xml:space="preserve">Výnosy z poplatkov </w:t>
      </w:r>
      <w:r w:rsidR="009A0F4B" w:rsidRPr="0085799C">
        <w:rPr>
          <w:rFonts w:ascii="Times New Roman" w:hAnsi="Times New Roman"/>
        </w:rPr>
        <w:t xml:space="preserve">sú vykázané vo výške </w:t>
      </w:r>
      <w:r w:rsidRPr="00BB21FD">
        <w:rPr>
          <w:rFonts w:ascii="Times New Roman" w:hAnsi="Times New Roman"/>
          <w:szCs w:val="22"/>
        </w:rPr>
        <w:t>1</w:t>
      </w:r>
      <w:r w:rsidR="006A2AD6" w:rsidRPr="0085799C">
        <w:rPr>
          <w:rFonts w:ascii="Times New Roman" w:hAnsi="Times New Roman"/>
        </w:rPr>
        <w:t> 265</w:t>
      </w:r>
      <w:r w:rsidR="00D518CC">
        <w:rPr>
          <w:rFonts w:ascii="Times New Roman" w:hAnsi="Times New Roman"/>
          <w:szCs w:val="22"/>
        </w:rPr>
        <w:t> </w:t>
      </w:r>
      <w:r w:rsidR="006A2AD6" w:rsidRPr="0085799C">
        <w:rPr>
          <w:rFonts w:ascii="Times New Roman" w:hAnsi="Times New Roman"/>
        </w:rPr>
        <w:t>310</w:t>
      </w:r>
      <w:r w:rsidRPr="00BB21FD">
        <w:rPr>
          <w:rFonts w:ascii="Times New Roman" w:hAnsi="Times New Roman"/>
          <w:szCs w:val="22"/>
        </w:rPr>
        <w:t> tis. eur, pričom v porovnaní s rokom 202</w:t>
      </w:r>
      <w:r w:rsidR="006A2AD6" w:rsidRPr="0085799C">
        <w:rPr>
          <w:rFonts w:ascii="Times New Roman" w:hAnsi="Times New Roman"/>
        </w:rPr>
        <w:t>3</w:t>
      </w:r>
      <w:r w:rsidRPr="00BB21FD">
        <w:rPr>
          <w:rFonts w:ascii="Times New Roman" w:hAnsi="Times New Roman"/>
          <w:szCs w:val="22"/>
        </w:rPr>
        <w:t xml:space="preserve"> boli </w:t>
      </w:r>
      <w:r w:rsidR="00CA5EFF" w:rsidRPr="0085799C">
        <w:rPr>
          <w:rFonts w:ascii="Times New Roman" w:hAnsi="Times New Roman"/>
        </w:rPr>
        <w:t>niž</w:t>
      </w:r>
      <w:r w:rsidRPr="00BB21FD">
        <w:rPr>
          <w:rFonts w:ascii="Times New Roman" w:hAnsi="Times New Roman"/>
          <w:szCs w:val="22"/>
        </w:rPr>
        <w:t>šie o</w:t>
      </w:r>
      <w:r w:rsidR="00D518CC">
        <w:rPr>
          <w:rFonts w:ascii="Times New Roman" w:hAnsi="Times New Roman"/>
          <w:szCs w:val="22"/>
        </w:rPr>
        <w:t xml:space="preserve"> </w:t>
      </w:r>
      <w:r w:rsidR="00CA5EFF" w:rsidRPr="0085799C">
        <w:rPr>
          <w:rFonts w:ascii="Times New Roman" w:hAnsi="Times New Roman"/>
        </w:rPr>
        <w:t>20</w:t>
      </w:r>
      <w:r w:rsidR="00D518CC">
        <w:rPr>
          <w:rFonts w:ascii="Times New Roman" w:hAnsi="Times New Roman"/>
          <w:szCs w:val="22"/>
        </w:rPr>
        <w:t> </w:t>
      </w:r>
      <w:r w:rsidR="00CA5EFF" w:rsidRPr="0085799C">
        <w:rPr>
          <w:rFonts w:ascii="Times New Roman" w:hAnsi="Times New Roman"/>
        </w:rPr>
        <w:t>560</w:t>
      </w:r>
      <w:r w:rsidRPr="00BB21FD">
        <w:rPr>
          <w:rFonts w:ascii="Times New Roman" w:hAnsi="Times New Roman"/>
          <w:szCs w:val="22"/>
        </w:rPr>
        <w:t xml:space="preserve"> tis. eur. Najvyššiu hodnotu v súhrnnom celku vykazuje </w:t>
      </w:r>
      <w:r w:rsidRPr="0085799C">
        <w:rPr>
          <w:rFonts w:ascii="Times New Roman" w:hAnsi="Times New Roman"/>
          <w:u w:val="single"/>
        </w:rPr>
        <w:t>Ministerstvo financií SR</w:t>
      </w:r>
      <w:r w:rsidRPr="00BB21FD">
        <w:rPr>
          <w:rFonts w:ascii="Times New Roman" w:hAnsi="Times New Roman"/>
          <w:szCs w:val="22"/>
        </w:rPr>
        <w:t xml:space="preserve"> </w:t>
      </w:r>
      <w:r w:rsidR="00EE00C9" w:rsidRPr="0085799C">
        <w:rPr>
          <w:rFonts w:ascii="Times New Roman" w:hAnsi="Times New Roman"/>
        </w:rPr>
        <w:t>589</w:t>
      </w:r>
      <w:r w:rsidR="00D518CC">
        <w:rPr>
          <w:rFonts w:ascii="Times New Roman" w:hAnsi="Times New Roman"/>
          <w:szCs w:val="22"/>
        </w:rPr>
        <w:t> </w:t>
      </w:r>
      <w:r w:rsidR="00EE00C9" w:rsidRPr="0085799C">
        <w:rPr>
          <w:rFonts w:ascii="Times New Roman" w:hAnsi="Times New Roman"/>
        </w:rPr>
        <w:t>045</w:t>
      </w:r>
      <w:r w:rsidRPr="00BB21FD">
        <w:rPr>
          <w:rFonts w:ascii="Times New Roman" w:hAnsi="Times New Roman"/>
          <w:szCs w:val="22"/>
        </w:rPr>
        <w:t xml:space="preserve"> tis. eur z predaja elektronických kolkov, zo súdnych a správnych poplatkov a z odvodu z hazardných hier. </w:t>
      </w:r>
      <w:r w:rsidR="000628AE">
        <w:rPr>
          <w:rFonts w:ascii="Times New Roman" w:hAnsi="Times New Roman"/>
          <w:szCs w:val="22"/>
        </w:rPr>
        <w:t xml:space="preserve">Environmentálny fond </w:t>
      </w:r>
      <w:r w:rsidR="000C2488" w:rsidRPr="00BB21FD">
        <w:rPr>
          <w:rFonts w:ascii="Times New Roman" w:hAnsi="Times New Roman"/>
          <w:color w:val="000000" w:themeColor="text1"/>
          <w:szCs w:val="22"/>
          <w:lang w:eastAsia="sk-SK"/>
        </w:rPr>
        <w:t>vykázal sumu 336</w:t>
      </w:r>
      <w:r w:rsidR="00D6641A">
        <w:rPr>
          <w:rFonts w:ascii="Times New Roman" w:hAnsi="Times New Roman"/>
          <w:color w:val="000000" w:themeColor="text1"/>
          <w:szCs w:val="22"/>
          <w:lang w:eastAsia="sk-SK"/>
        </w:rPr>
        <w:t> </w:t>
      </w:r>
      <w:r w:rsidR="000C2488" w:rsidRPr="00BB21FD">
        <w:rPr>
          <w:rFonts w:ascii="Times New Roman" w:hAnsi="Times New Roman"/>
          <w:color w:val="000000" w:themeColor="text1"/>
          <w:szCs w:val="22"/>
          <w:lang w:eastAsia="sk-SK"/>
        </w:rPr>
        <w:t>26</w:t>
      </w:r>
      <w:r w:rsidR="00D6641A">
        <w:rPr>
          <w:rFonts w:ascii="Times New Roman" w:hAnsi="Times New Roman"/>
          <w:color w:val="000000" w:themeColor="text1"/>
          <w:szCs w:val="22"/>
          <w:lang w:eastAsia="sk-SK"/>
        </w:rPr>
        <w:t>4 tis.</w:t>
      </w:r>
      <w:r w:rsidR="000C2488" w:rsidRPr="00BB21FD">
        <w:rPr>
          <w:rFonts w:ascii="Times New Roman" w:hAnsi="Times New Roman"/>
          <w:color w:val="000000" w:themeColor="text1"/>
          <w:szCs w:val="22"/>
          <w:lang w:eastAsia="sk-SK"/>
        </w:rPr>
        <w:t xml:space="preserve"> eur z predaja emisných kvót, poplatkov za znečisťovanie ovzdušia, poplatkov za skládky a odkaliská a z ďalších druhov poplatkov. </w:t>
      </w:r>
      <w:r w:rsidR="009802B1" w:rsidRPr="00BB21FD">
        <w:rPr>
          <w:rFonts w:ascii="Times New Roman" w:hAnsi="Times New Roman"/>
          <w:color w:val="000000" w:themeColor="text1"/>
          <w:szCs w:val="22"/>
          <w:lang w:eastAsia="sk-SK"/>
        </w:rPr>
        <w:lastRenderedPageBreak/>
        <w:t>Medziročný pokles o 103</w:t>
      </w:r>
      <w:r w:rsidR="00D6641A">
        <w:rPr>
          <w:rFonts w:ascii="Times New Roman" w:hAnsi="Times New Roman"/>
          <w:color w:val="000000" w:themeColor="text1"/>
          <w:szCs w:val="22"/>
          <w:lang w:eastAsia="sk-SK"/>
        </w:rPr>
        <w:t> </w:t>
      </w:r>
      <w:r w:rsidR="009802B1" w:rsidRPr="00BB21FD">
        <w:rPr>
          <w:rFonts w:ascii="Times New Roman" w:hAnsi="Times New Roman"/>
          <w:color w:val="000000" w:themeColor="text1"/>
          <w:szCs w:val="22"/>
          <w:lang w:eastAsia="sk-SK"/>
        </w:rPr>
        <w:t>18</w:t>
      </w:r>
      <w:r w:rsidR="00D6641A">
        <w:rPr>
          <w:rFonts w:ascii="Times New Roman" w:hAnsi="Times New Roman"/>
          <w:color w:val="000000" w:themeColor="text1"/>
          <w:szCs w:val="22"/>
          <w:lang w:eastAsia="sk-SK"/>
        </w:rPr>
        <w:t>2 tis.</w:t>
      </w:r>
      <w:r w:rsidR="009802B1" w:rsidRPr="00BB21FD">
        <w:rPr>
          <w:rFonts w:ascii="Times New Roman" w:hAnsi="Times New Roman"/>
          <w:color w:val="000000" w:themeColor="text1"/>
          <w:szCs w:val="22"/>
          <w:lang w:eastAsia="sk-SK"/>
        </w:rPr>
        <w:t> eur bol spôsobený predovšetkým nižším príjmom z obchodovania s emisnými kvótami skleníkových plynov o 92 mil. eur.</w:t>
      </w:r>
      <w:r w:rsidR="000C2488" w:rsidRPr="00BB21FD">
        <w:rPr>
          <w:rFonts w:ascii="Times New Roman" w:hAnsi="Times New Roman"/>
          <w:color w:val="00B050"/>
          <w:szCs w:val="22"/>
          <w:lang w:eastAsia="sk-SK"/>
        </w:rPr>
        <w:t xml:space="preserve"> </w:t>
      </w:r>
      <w:r w:rsidRPr="00BB21FD">
        <w:rPr>
          <w:rFonts w:ascii="Times New Roman" w:hAnsi="Times New Roman"/>
          <w:szCs w:val="22"/>
        </w:rPr>
        <w:t>Obce dosiahli úhrnom 3</w:t>
      </w:r>
      <w:r w:rsidR="001E7DC3" w:rsidRPr="0085799C">
        <w:rPr>
          <w:rFonts w:ascii="Times New Roman" w:hAnsi="Times New Roman"/>
        </w:rPr>
        <w:t>48</w:t>
      </w:r>
      <w:r w:rsidR="00D518CC">
        <w:rPr>
          <w:rFonts w:ascii="Times New Roman" w:hAnsi="Times New Roman"/>
          <w:szCs w:val="22"/>
        </w:rPr>
        <w:t> </w:t>
      </w:r>
      <w:r w:rsidR="001E7DC3" w:rsidRPr="0085799C">
        <w:rPr>
          <w:rFonts w:ascii="Times New Roman" w:hAnsi="Times New Roman"/>
        </w:rPr>
        <w:t>698</w:t>
      </w:r>
      <w:r w:rsidRPr="00BB21FD">
        <w:rPr>
          <w:rFonts w:ascii="Times New Roman" w:hAnsi="Times New Roman"/>
          <w:szCs w:val="22"/>
        </w:rPr>
        <w:t> tis. eur z úhrad za</w:t>
      </w:r>
      <w:r w:rsidR="001E7DC3" w:rsidRPr="0085799C">
        <w:rPr>
          <w:rFonts w:ascii="Times New Roman" w:hAnsi="Times New Roman"/>
        </w:rPr>
        <w:t xml:space="preserve"> </w:t>
      </w:r>
      <w:r w:rsidR="000C2488" w:rsidRPr="0085799C">
        <w:rPr>
          <w:rFonts w:ascii="Times New Roman" w:hAnsi="Times New Roman"/>
        </w:rPr>
        <w:t>m</w:t>
      </w:r>
      <w:r w:rsidRPr="00BB21FD">
        <w:rPr>
          <w:rFonts w:ascii="Times New Roman" w:hAnsi="Times New Roman"/>
          <w:szCs w:val="22"/>
        </w:rPr>
        <w:t xml:space="preserve">iestne poplatky. </w:t>
      </w:r>
      <w:r w:rsidR="001E7DC3" w:rsidRPr="0085799C">
        <w:rPr>
          <w:rFonts w:ascii="Times New Roman" w:hAnsi="Times New Roman"/>
        </w:rPr>
        <w:t>V</w:t>
      </w:r>
      <w:r w:rsidRPr="00BB21FD">
        <w:rPr>
          <w:rFonts w:ascii="Times New Roman" w:hAnsi="Times New Roman"/>
          <w:szCs w:val="22"/>
        </w:rPr>
        <w:t xml:space="preserve">erejné vysoké školy </w:t>
      </w:r>
      <w:r w:rsidR="001E7DC3" w:rsidRPr="0085799C">
        <w:rPr>
          <w:rFonts w:ascii="Times New Roman" w:hAnsi="Times New Roman"/>
        </w:rPr>
        <w:t xml:space="preserve">vykázali hodnotu </w:t>
      </w:r>
      <w:r w:rsidR="00E90620" w:rsidRPr="0085799C">
        <w:rPr>
          <w:rFonts w:ascii="Times New Roman" w:hAnsi="Times New Roman"/>
        </w:rPr>
        <w:t>43 377</w:t>
      </w:r>
      <w:r w:rsidRPr="00BB21FD">
        <w:rPr>
          <w:rFonts w:ascii="Times New Roman" w:hAnsi="Times New Roman"/>
          <w:szCs w:val="22"/>
        </w:rPr>
        <w:t xml:space="preserve"> tis. eur ako zákonné poplatky za školné a iné poplatky spojené so štúdiom. </w:t>
      </w:r>
      <w:bookmarkEnd w:id="62"/>
    </w:p>
    <w:p w14:paraId="51D136DD" w14:textId="77777777" w:rsidR="005C5519" w:rsidRPr="00BB21FD" w:rsidRDefault="005C5519" w:rsidP="00BB21FD">
      <w:pPr>
        <w:spacing w:after="120" w:line="240" w:lineRule="auto"/>
        <w:jc w:val="both"/>
        <w:rPr>
          <w:rFonts w:ascii="Times New Roman" w:hAnsi="Times New Roman"/>
          <w:szCs w:val="22"/>
        </w:rPr>
      </w:pPr>
    </w:p>
    <w:p w14:paraId="1266F50E" w14:textId="3784BFC7" w:rsidR="009272A3" w:rsidRDefault="009272A3" w:rsidP="000872D1">
      <w:pPr>
        <w:pStyle w:val="Nadpis3"/>
        <w:numPr>
          <w:ilvl w:val="0"/>
          <w:numId w:val="53"/>
        </w:numPr>
        <w:ind w:left="567" w:hanging="567"/>
        <w:rPr>
          <w:szCs w:val="22"/>
        </w:rPr>
      </w:pPr>
      <w:r>
        <w:t>Výnosy z transferov</w:t>
      </w:r>
    </w:p>
    <w:p w14:paraId="625F6089" w14:textId="279476F8" w:rsidR="009272A3" w:rsidRDefault="00D6641A" w:rsidP="005C5519">
      <w:pPr>
        <w:spacing w:after="120" w:line="240" w:lineRule="auto"/>
        <w:jc w:val="both"/>
        <w:rPr>
          <w:rFonts w:ascii="Times New Roman" w:hAnsi="Times New Roman"/>
          <w:szCs w:val="22"/>
        </w:rPr>
      </w:pPr>
      <w:r w:rsidRPr="00A7107D">
        <w:rPr>
          <w:rFonts w:ascii="Times New Roman" w:hAnsi="Times New Roman"/>
          <w:color w:val="000000" w:themeColor="text1"/>
          <w:u w:val="single"/>
          <w:lang w:eastAsia="sk-SK"/>
        </w:rPr>
        <w:t>Výnosy z transferov</w:t>
      </w:r>
      <w:r w:rsidRPr="00A7107D">
        <w:rPr>
          <w:rFonts w:ascii="Times New Roman" w:hAnsi="Times New Roman"/>
          <w:szCs w:val="22"/>
        </w:rPr>
        <w:t xml:space="preserve"> dosiahli hodnotu 8 333 051 tis. eur, medziročne sa znížili o 322 265 tis. eur. Najväčšou mierou sa na týchto výnosoch podieľa ústredná správa v sume 4 972 571 tis. eur a územná samospráva 3 354 000 tis. eur (v tom obce 2 561 982 tis. eur). Ostatné subjekty vykázali 1 133 119 tis. eur. Medzi výnosy z transferov patria aj výnosy od subjektov mimo verejnej správy, fyzických osôb, podnikateľských subjektov mimo súhrnného celku</w:t>
      </w:r>
      <w:r w:rsidRPr="00A7107D">
        <w:rPr>
          <w:rFonts w:ascii="Times New Roman" w:hAnsi="Times New Roman"/>
          <w:bCs/>
          <w:szCs w:val="22"/>
        </w:rPr>
        <w:t>,</w:t>
      </w:r>
      <w:r w:rsidRPr="00A7107D">
        <w:rPr>
          <w:rFonts w:ascii="Times New Roman" w:hAnsi="Times New Roman"/>
          <w:szCs w:val="22"/>
        </w:rPr>
        <w:t xml:space="preserve"> ako aj zahraničných právnických osôb.</w:t>
      </w:r>
    </w:p>
    <w:p w14:paraId="62A1C8C5" w14:textId="7CF9E01A" w:rsidR="005C5519" w:rsidRDefault="00507F8A" w:rsidP="009F2AF6">
      <w:pPr>
        <w:pStyle w:val="Nadpis4"/>
        <w:numPr>
          <w:ilvl w:val="0"/>
          <w:numId w:val="54"/>
        </w:numPr>
        <w:ind w:left="426" w:hanging="426"/>
      </w:pPr>
      <w:bookmarkStart w:id="63" w:name="_Výnosy_z_rozpočtu"/>
      <w:bookmarkEnd w:id="63"/>
      <w:r>
        <w:t>Výnosy z rozpočtu EÚ</w:t>
      </w:r>
    </w:p>
    <w:p w14:paraId="106771A6" w14:textId="4C36CCF3" w:rsidR="00647542" w:rsidRPr="00BB21FD" w:rsidRDefault="00647542" w:rsidP="00BB21FD">
      <w:pPr>
        <w:spacing w:after="120" w:line="240" w:lineRule="auto"/>
        <w:jc w:val="both"/>
        <w:rPr>
          <w:rFonts w:ascii="Times New Roman" w:hAnsi="Times New Roman"/>
          <w:szCs w:val="22"/>
        </w:rPr>
      </w:pPr>
      <w:bookmarkStart w:id="64" w:name="_Ref86186351"/>
      <w:r w:rsidRPr="00BB21FD">
        <w:rPr>
          <w:rFonts w:ascii="Times New Roman" w:hAnsi="Times New Roman"/>
          <w:szCs w:val="22"/>
        </w:rPr>
        <w:t xml:space="preserve">Výnosy zo zúčtovania bežných a kapitálových transferov čerpaných z prostriedkov rozpočtu EÚ alebo zahraničných grantov uzatvorených na základe medzinárodných zmlúv dosiahli </w:t>
      </w:r>
      <w:r w:rsidR="008B4961" w:rsidRPr="0085799C">
        <w:rPr>
          <w:rFonts w:ascii="Times New Roman" w:hAnsi="Times New Roman"/>
          <w:szCs w:val="22"/>
        </w:rPr>
        <w:t>4 979</w:t>
      </w:r>
      <w:r w:rsidR="00D518CC">
        <w:rPr>
          <w:rFonts w:ascii="Times New Roman" w:hAnsi="Times New Roman"/>
          <w:szCs w:val="22"/>
        </w:rPr>
        <w:t> </w:t>
      </w:r>
      <w:r w:rsidR="008B4961" w:rsidRPr="0085799C">
        <w:rPr>
          <w:rFonts w:ascii="Times New Roman" w:hAnsi="Times New Roman"/>
          <w:szCs w:val="22"/>
        </w:rPr>
        <w:t>592</w:t>
      </w:r>
      <w:r w:rsidR="00D518CC">
        <w:rPr>
          <w:rFonts w:ascii="Times New Roman" w:hAnsi="Times New Roman"/>
          <w:szCs w:val="22"/>
        </w:rPr>
        <w:t> </w:t>
      </w:r>
      <w:r w:rsidRPr="00BB21FD">
        <w:rPr>
          <w:rFonts w:ascii="Times New Roman" w:hAnsi="Times New Roman"/>
          <w:szCs w:val="22"/>
        </w:rPr>
        <w:t>tis.</w:t>
      </w:r>
      <w:r w:rsidR="00D518CC">
        <w:rPr>
          <w:rFonts w:ascii="Times New Roman" w:hAnsi="Times New Roman"/>
          <w:szCs w:val="22"/>
        </w:rPr>
        <w:t> </w:t>
      </w:r>
      <w:r w:rsidRPr="00BB21FD">
        <w:rPr>
          <w:rFonts w:ascii="Times New Roman" w:hAnsi="Times New Roman"/>
          <w:szCs w:val="22"/>
        </w:rPr>
        <w:t>eur (202</w:t>
      </w:r>
      <w:r w:rsidR="008F7A4B" w:rsidRPr="0085799C">
        <w:rPr>
          <w:rFonts w:ascii="Times New Roman" w:hAnsi="Times New Roman"/>
          <w:szCs w:val="22"/>
        </w:rPr>
        <w:t>3</w:t>
      </w:r>
      <w:r w:rsidRPr="00BB21FD">
        <w:rPr>
          <w:rFonts w:ascii="Times New Roman" w:hAnsi="Times New Roman"/>
          <w:szCs w:val="22"/>
        </w:rPr>
        <w:t>: </w:t>
      </w:r>
      <w:r w:rsidR="008F7A4B" w:rsidRPr="0085799C">
        <w:rPr>
          <w:rFonts w:ascii="Times New Roman" w:hAnsi="Times New Roman"/>
          <w:szCs w:val="22"/>
        </w:rPr>
        <w:t>4 412 306</w:t>
      </w:r>
      <w:r w:rsidRPr="0085799C">
        <w:rPr>
          <w:rFonts w:ascii="Times New Roman" w:hAnsi="Times New Roman"/>
          <w:szCs w:val="22"/>
        </w:rPr>
        <w:t> </w:t>
      </w:r>
      <w:r w:rsidRPr="00BB21FD">
        <w:rPr>
          <w:rFonts w:ascii="Times New Roman" w:hAnsi="Times New Roman"/>
          <w:szCs w:val="22"/>
        </w:rPr>
        <w:t>tis. eur).</w:t>
      </w:r>
      <w:r w:rsidRPr="0085799C">
        <w:rPr>
          <w:rFonts w:ascii="Times New Roman" w:hAnsi="Times New Roman"/>
          <w:szCs w:val="22"/>
        </w:rPr>
        <w:t xml:space="preserve"> </w:t>
      </w:r>
      <w:r w:rsidR="00D36A99" w:rsidRPr="0085799C">
        <w:rPr>
          <w:rFonts w:ascii="Times New Roman" w:hAnsi="Times New Roman"/>
          <w:szCs w:val="22"/>
        </w:rPr>
        <w:t>Skoro</w:t>
      </w:r>
      <w:r w:rsidRPr="00BB21FD">
        <w:rPr>
          <w:rFonts w:ascii="Times New Roman" w:hAnsi="Times New Roman"/>
          <w:szCs w:val="22"/>
        </w:rPr>
        <w:t xml:space="preserve"> 97 % týchto výnosov je vykazovaných subjektami ústrednej správy (4</w:t>
      </w:r>
      <w:r w:rsidR="00D518CC">
        <w:rPr>
          <w:rFonts w:ascii="Times New Roman" w:hAnsi="Times New Roman"/>
          <w:szCs w:val="22"/>
        </w:rPr>
        <w:t> </w:t>
      </w:r>
      <w:r w:rsidR="00D36A99" w:rsidRPr="0085799C">
        <w:rPr>
          <w:rFonts w:ascii="Times New Roman" w:hAnsi="Times New Roman"/>
          <w:szCs w:val="22"/>
        </w:rPr>
        <w:t>827</w:t>
      </w:r>
      <w:r w:rsidR="00D518CC">
        <w:rPr>
          <w:rFonts w:ascii="Times New Roman" w:hAnsi="Times New Roman"/>
          <w:szCs w:val="22"/>
        </w:rPr>
        <w:t> </w:t>
      </w:r>
      <w:r w:rsidR="00D36A99" w:rsidRPr="0085799C">
        <w:rPr>
          <w:rFonts w:ascii="Times New Roman" w:hAnsi="Times New Roman"/>
          <w:szCs w:val="22"/>
        </w:rPr>
        <w:t>499</w:t>
      </w:r>
      <w:r w:rsidR="00D518CC">
        <w:rPr>
          <w:rFonts w:ascii="Times New Roman" w:hAnsi="Times New Roman"/>
          <w:szCs w:val="22"/>
        </w:rPr>
        <w:t> </w:t>
      </w:r>
      <w:r w:rsidRPr="00BB21FD">
        <w:rPr>
          <w:rFonts w:ascii="Times New Roman" w:hAnsi="Times New Roman"/>
          <w:szCs w:val="22"/>
        </w:rPr>
        <w:t>tis.</w:t>
      </w:r>
      <w:r w:rsidR="00D518CC">
        <w:rPr>
          <w:rFonts w:ascii="Times New Roman" w:hAnsi="Times New Roman"/>
          <w:szCs w:val="22"/>
        </w:rPr>
        <w:t> </w:t>
      </w:r>
      <w:r w:rsidRPr="00BB21FD">
        <w:rPr>
          <w:rFonts w:ascii="Times New Roman" w:hAnsi="Times New Roman"/>
          <w:szCs w:val="22"/>
        </w:rPr>
        <w:t xml:space="preserve">eur). Nasledujú výnosy subjektov územnej samosprávy v hodnote </w:t>
      </w:r>
      <w:r w:rsidR="00DD6778" w:rsidRPr="0085799C">
        <w:rPr>
          <w:rFonts w:ascii="Times New Roman" w:hAnsi="Times New Roman"/>
          <w:szCs w:val="22"/>
        </w:rPr>
        <w:t>65</w:t>
      </w:r>
      <w:r w:rsidR="00D518CC">
        <w:rPr>
          <w:rFonts w:ascii="Times New Roman" w:hAnsi="Times New Roman"/>
          <w:szCs w:val="22"/>
        </w:rPr>
        <w:t> </w:t>
      </w:r>
      <w:r w:rsidR="00DD6778" w:rsidRPr="0085799C">
        <w:rPr>
          <w:rFonts w:ascii="Times New Roman" w:hAnsi="Times New Roman"/>
          <w:szCs w:val="22"/>
        </w:rPr>
        <w:t>350</w:t>
      </w:r>
      <w:r w:rsidRPr="00BB21FD">
        <w:rPr>
          <w:rFonts w:ascii="Times New Roman" w:hAnsi="Times New Roman"/>
          <w:szCs w:val="22"/>
        </w:rPr>
        <w:t xml:space="preserve"> tis. eur a ostatné subjekty verejnej správy vykazujú </w:t>
      </w:r>
      <w:r w:rsidR="00700A61" w:rsidRPr="0085799C">
        <w:rPr>
          <w:rFonts w:ascii="Times New Roman" w:hAnsi="Times New Roman"/>
          <w:bCs/>
          <w:szCs w:val="22"/>
        </w:rPr>
        <w:t>45</w:t>
      </w:r>
      <w:r w:rsidR="00D518CC">
        <w:rPr>
          <w:rFonts w:ascii="Times New Roman" w:hAnsi="Times New Roman"/>
          <w:bCs/>
          <w:szCs w:val="22"/>
        </w:rPr>
        <w:t> </w:t>
      </w:r>
      <w:r w:rsidR="00700A61" w:rsidRPr="0085799C">
        <w:rPr>
          <w:rFonts w:ascii="Times New Roman" w:hAnsi="Times New Roman"/>
          <w:bCs/>
          <w:szCs w:val="22"/>
        </w:rPr>
        <w:t>142</w:t>
      </w:r>
      <w:r w:rsidRPr="00BB21FD">
        <w:rPr>
          <w:rFonts w:ascii="Times New Roman" w:hAnsi="Times New Roman"/>
          <w:szCs w:val="22"/>
        </w:rPr>
        <w:t> tis. eur.</w:t>
      </w:r>
    </w:p>
    <w:p w14:paraId="6BFE0EDC" w14:textId="0A60618D" w:rsidR="00C34C49" w:rsidRDefault="00341C78" w:rsidP="00BB21FD">
      <w:pPr>
        <w:tabs>
          <w:tab w:val="num" w:pos="426"/>
        </w:tabs>
        <w:spacing w:after="120" w:line="240" w:lineRule="auto"/>
        <w:jc w:val="both"/>
        <w:rPr>
          <w:rFonts w:ascii="Times New Roman" w:hAnsi="Times New Roman"/>
          <w:color w:val="000000" w:themeColor="text1"/>
          <w:szCs w:val="22"/>
          <w:lang w:eastAsia="x-none"/>
        </w:rPr>
      </w:pPr>
      <w:r w:rsidRPr="00BB21FD">
        <w:rPr>
          <w:rFonts w:ascii="Times New Roman" w:hAnsi="Times New Roman"/>
          <w:color w:val="000000" w:themeColor="text1"/>
          <w:szCs w:val="22"/>
          <w:lang w:eastAsia="sk-SK"/>
        </w:rPr>
        <w:t xml:space="preserve">V rámci výnosov z transferov tvorili takmer celú hodnotu prostriedky z rozpočtu EÚ </w:t>
      </w:r>
      <w:r w:rsidR="00C34C49">
        <w:rPr>
          <w:rFonts w:ascii="Times New Roman" w:hAnsi="Times New Roman"/>
          <w:color w:val="000000" w:themeColor="text1"/>
          <w:szCs w:val="22"/>
          <w:lang w:eastAsia="sk-SK"/>
        </w:rPr>
        <w:t xml:space="preserve">súvisiace s financovaním </w:t>
      </w:r>
      <w:r w:rsidRPr="00BB21FD">
        <w:rPr>
          <w:rFonts w:ascii="Times New Roman" w:hAnsi="Times New Roman"/>
          <w:color w:val="000000" w:themeColor="text1"/>
          <w:szCs w:val="22"/>
          <w:lang w:eastAsia="sk-SK"/>
        </w:rPr>
        <w:t xml:space="preserve">spoločných programov EÚ a SR (Európske štrukturálne a investičné fondy), ako aj prostriedky v rámci finančného mechanizmu krajín Európskeho hospodárskeho priestoru, Nórskeho finančného mechanizmu a Švajčiarskeho finančného mechanizmu. </w:t>
      </w:r>
      <w:r w:rsidR="00C34C49" w:rsidRPr="00BB21FD">
        <w:rPr>
          <w:rFonts w:ascii="Times New Roman" w:hAnsi="Times New Roman"/>
          <w:color w:val="000000" w:themeColor="text1"/>
          <w:szCs w:val="22"/>
          <w:lang w:eastAsia="x-none"/>
        </w:rPr>
        <w:t xml:space="preserve">Najvyšší medziročný </w:t>
      </w:r>
      <w:r w:rsidR="00C34C49" w:rsidRPr="00BB21FD">
        <w:rPr>
          <w:rFonts w:ascii="Times New Roman" w:hAnsi="Times New Roman"/>
          <w:color w:val="000000" w:themeColor="text1"/>
          <w:szCs w:val="22"/>
          <w:lang w:val="x-none" w:eastAsia="x-none"/>
        </w:rPr>
        <w:t>nárast zaznamenal</w:t>
      </w:r>
      <w:r w:rsidR="00C34C49" w:rsidRPr="00BB21FD">
        <w:rPr>
          <w:rFonts w:ascii="Times New Roman" w:hAnsi="Times New Roman"/>
          <w:color w:val="000000" w:themeColor="text1"/>
          <w:szCs w:val="22"/>
          <w:lang w:eastAsia="x-none"/>
        </w:rPr>
        <w:t>a</w:t>
      </w:r>
      <w:r w:rsidR="00C34C49" w:rsidRPr="00BB21FD">
        <w:rPr>
          <w:rFonts w:ascii="Times New Roman" w:hAnsi="Times New Roman"/>
          <w:color w:val="000000" w:themeColor="text1"/>
          <w:szCs w:val="22"/>
          <w:lang w:val="x-none" w:eastAsia="x-none"/>
        </w:rPr>
        <w:t xml:space="preserve"> </w:t>
      </w:r>
      <w:r w:rsidR="00C34C49" w:rsidRPr="0085799C">
        <w:rPr>
          <w:rFonts w:ascii="Times New Roman" w:hAnsi="Times New Roman"/>
          <w:color w:val="000000" w:themeColor="text1"/>
          <w:u w:val="single"/>
          <w:lang w:eastAsia="sk-SK"/>
        </w:rPr>
        <w:t>Pôdohospodárska platobná agentúra</w:t>
      </w:r>
      <w:r w:rsidR="00C34C49" w:rsidRPr="00BB21FD">
        <w:rPr>
          <w:rFonts w:ascii="Times New Roman" w:hAnsi="Times New Roman"/>
          <w:color w:val="000000" w:themeColor="text1"/>
          <w:szCs w:val="22"/>
          <w:lang w:eastAsia="x-none"/>
        </w:rPr>
        <w:t>,</w:t>
      </w:r>
      <w:r w:rsidR="00C34C49" w:rsidRPr="00BB21FD">
        <w:rPr>
          <w:rFonts w:ascii="Times New Roman" w:hAnsi="Times New Roman"/>
          <w:b/>
          <w:i/>
          <w:color w:val="000000" w:themeColor="text1"/>
          <w:szCs w:val="22"/>
          <w:lang w:eastAsia="x-none"/>
        </w:rPr>
        <w:t xml:space="preserve"> </w:t>
      </w:r>
      <w:r w:rsidR="00C34C49" w:rsidRPr="00BB21FD">
        <w:rPr>
          <w:rFonts w:ascii="Times New Roman" w:hAnsi="Times New Roman"/>
          <w:color w:val="000000" w:themeColor="text1"/>
          <w:szCs w:val="22"/>
          <w:lang w:eastAsia="x-none"/>
        </w:rPr>
        <w:t>a to</w:t>
      </w:r>
      <w:r w:rsidR="00C34C49" w:rsidRPr="00BB21FD">
        <w:rPr>
          <w:rFonts w:ascii="Times New Roman" w:hAnsi="Times New Roman"/>
          <w:color w:val="000000" w:themeColor="text1"/>
          <w:szCs w:val="22"/>
          <w:lang w:val="x-none" w:eastAsia="x-none"/>
        </w:rPr>
        <w:t xml:space="preserve"> hodnotu </w:t>
      </w:r>
      <w:r w:rsidR="00C34C49" w:rsidRPr="00BB21FD">
        <w:rPr>
          <w:rFonts w:ascii="Times New Roman" w:hAnsi="Times New Roman"/>
          <w:color w:val="000000" w:themeColor="text1"/>
          <w:szCs w:val="22"/>
          <w:lang w:eastAsia="x-none"/>
        </w:rPr>
        <w:t>4</w:t>
      </w:r>
      <w:r w:rsidR="00C34C49" w:rsidRPr="00BB21FD">
        <w:rPr>
          <w:rFonts w:ascii="Times New Roman" w:hAnsi="Times New Roman"/>
          <w:color w:val="000000" w:themeColor="text1"/>
          <w:szCs w:val="22"/>
          <w:lang w:val="x-none" w:eastAsia="x-none"/>
        </w:rPr>
        <w:t>2</w:t>
      </w:r>
      <w:r w:rsidR="00C34C49" w:rsidRPr="00BB21FD">
        <w:rPr>
          <w:rFonts w:ascii="Times New Roman" w:hAnsi="Times New Roman"/>
          <w:color w:val="000000" w:themeColor="text1"/>
          <w:szCs w:val="22"/>
          <w:lang w:eastAsia="x-none"/>
        </w:rPr>
        <w:t>3</w:t>
      </w:r>
      <w:r w:rsidR="00C34C49" w:rsidRPr="00BB21FD">
        <w:rPr>
          <w:rFonts w:ascii="Times New Roman" w:hAnsi="Times New Roman"/>
          <w:color w:val="000000" w:themeColor="text1"/>
          <w:szCs w:val="22"/>
          <w:lang w:val="x-none" w:eastAsia="x-none"/>
        </w:rPr>
        <w:t> </w:t>
      </w:r>
      <w:r w:rsidR="00C34C49" w:rsidRPr="00BB21FD">
        <w:rPr>
          <w:rFonts w:ascii="Times New Roman" w:hAnsi="Times New Roman"/>
          <w:color w:val="000000" w:themeColor="text1"/>
          <w:szCs w:val="22"/>
          <w:lang w:eastAsia="x-none"/>
        </w:rPr>
        <w:t>738</w:t>
      </w:r>
      <w:r w:rsidR="00C34C49">
        <w:rPr>
          <w:rFonts w:ascii="Times New Roman" w:hAnsi="Times New Roman"/>
          <w:bCs/>
          <w:color w:val="000000" w:themeColor="text1"/>
          <w:szCs w:val="22"/>
          <w:lang w:eastAsia="x-none"/>
        </w:rPr>
        <w:t> </w:t>
      </w:r>
      <w:r w:rsidR="00C34C49" w:rsidRPr="00BB21FD">
        <w:rPr>
          <w:rFonts w:ascii="Times New Roman" w:hAnsi="Times New Roman"/>
          <w:color w:val="000000" w:themeColor="text1"/>
          <w:szCs w:val="22"/>
          <w:lang w:eastAsia="x-none"/>
        </w:rPr>
        <w:t>tis.</w:t>
      </w:r>
      <w:r w:rsidR="00C34C49">
        <w:rPr>
          <w:rFonts w:ascii="Times New Roman" w:hAnsi="Times New Roman"/>
          <w:bCs/>
          <w:color w:val="000000" w:themeColor="text1"/>
          <w:szCs w:val="22"/>
          <w:lang w:eastAsia="x-none"/>
        </w:rPr>
        <w:t> </w:t>
      </w:r>
      <w:r w:rsidR="00C34C49" w:rsidRPr="00BB21FD">
        <w:rPr>
          <w:rFonts w:ascii="Times New Roman" w:hAnsi="Times New Roman"/>
          <w:color w:val="000000" w:themeColor="text1"/>
          <w:szCs w:val="22"/>
          <w:lang w:val="x-none" w:eastAsia="x-none"/>
        </w:rPr>
        <w:t>eur</w:t>
      </w:r>
      <w:r w:rsidR="00C34C49" w:rsidRPr="00BB21FD">
        <w:rPr>
          <w:rFonts w:ascii="Times New Roman" w:hAnsi="Times New Roman"/>
          <w:color w:val="000000" w:themeColor="text1"/>
          <w:szCs w:val="22"/>
          <w:lang w:eastAsia="x-none"/>
        </w:rPr>
        <w:t>, ktorá na tejto položke vykazuje refundované finančné prostriedky od EÚ vyplácané prijímateľom.</w:t>
      </w:r>
    </w:p>
    <w:p w14:paraId="7867B10E" w14:textId="77777777" w:rsidR="00507F8A" w:rsidRPr="00BB21FD" w:rsidRDefault="00507F8A" w:rsidP="00BB21FD">
      <w:pPr>
        <w:tabs>
          <w:tab w:val="num" w:pos="426"/>
        </w:tabs>
        <w:spacing w:after="120" w:line="240" w:lineRule="auto"/>
        <w:jc w:val="both"/>
        <w:rPr>
          <w:rFonts w:ascii="Times New Roman" w:hAnsi="Times New Roman"/>
          <w:color w:val="000000" w:themeColor="text1"/>
          <w:szCs w:val="22"/>
          <w:lang w:eastAsia="x-none"/>
        </w:rPr>
      </w:pPr>
    </w:p>
    <w:p w14:paraId="36C52947" w14:textId="471CDB45" w:rsidR="00507F8A" w:rsidRPr="0085799C" w:rsidRDefault="002217F0" w:rsidP="0085799C">
      <w:pPr>
        <w:pStyle w:val="Nadpis4"/>
        <w:numPr>
          <w:ilvl w:val="0"/>
          <w:numId w:val="54"/>
        </w:numPr>
        <w:ind w:left="426" w:hanging="426"/>
        <w:rPr>
          <w:b w:val="0"/>
        </w:rPr>
      </w:pPr>
      <w:bookmarkStart w:id="65" w:name="_Výnosy_z_ostatných"/>
      <w:bookmarkEnd w:id="65"/>
      <w:r>
        <w:t>Výnosy z ostatných transferov</w:t>
      </w:r>
    </w:p>
    <w:p w14:paraId="76EC29B1" w14:textId="6EE690FE" w:rsidR="00647542" w:rsidRPr="00625A52" w:rsidRDefault="00647542" w:rsidP="00625A52">
      <w:pPr>
        <w:spacing w:after="120" w:line="240" w:lineRule="auto"/>
        <w:jc w:val="both"/>
        <w:rPr>
          <w:rFonts w:ascii="Times New Roman" w:hAnsi="Times New Roman"/>
          <w:szCs w:val="22"/>
        </w:rPr>
      </w:pPr>
      <w:bookmarkStart w:id="66" w:name="_Ref86186942"/>
      <w:bookmarkEnd w:id="64"/>
      <w:r w:rsidRPr="00625A52">
        <w:rPr>
          <w:rFonts w:ascii="Times New Roman" w:hAnsi="Times New Roman"/>
          <w:szCs w:val="22"/>
        </w:rPr>
        <w:t xml:space="preserve">Výnosy z ostatných transferov dosiahli hodnotu </w:t>
      </w:r>
      <w:r w:rsidR="00FA6947" w:rsidRPr="0085799C">
        <w:rPr>
          <w:rFonts w:ascii="Times New Roman" w:hAnsi="Times New Roman"/>
          <w:szCs w:val="22"/>
        </w:rPr>
        <w:t>3</w:t>
      </w:r>
      <w:r w:rsidR="007558D2">
        <w:rPr>
          <w:rFonts w:ascii="Times New Roman" w:hAnsi="Times New Roman"/>
          <w:szCs w:val="22"/>
        </w:rPr>
        <w:t> </w:t>
      </w:r>
      <w:r w:rsidR="00FA6947" w:rsidRPr="0085799C">
        <w:rPr>
          <w:rFonts w:ascii="Times New Roman" w:hAnsi="Times New Roman"/>
          <w:szCs w:val="22"/>
        </w:rPr>
        <w:t>398</w:t>
      </w:r>
      <w:r w:rsidR="007558D2">
        <w:rPr>
          <w:rFonts w:ascii="Times New Roman" w:hAnsi="Times New Roman"/>
          <w:szCs w:val="22"/>
        </w:rPr>
        <w:t> </w:t>
      </w:r>
      <w:r w:rsidR="00FA6947" w:rsidRPr="0085799C">
        <w:rPr>
          <w:rFonts w:ascii="Times New Roman" w:hAnsi="Times New Roman"/>
          <w:szCs w:val="22"/>
        </w:rPr>
        <w:t>602</w:t>
      </w:r>
      <w:r w:rsidRPr="00625A52">
        <w:rPr>
          <w:rFonts w:ascii="Times New Roman" w:hAnsi="Times New Roman"/>
          <w:szCs w:val="22"/>
        </w:rPr>
        <w:t xml:space="preserve"> tis. eur a medziročne boli </w:t>
      </w:r>
      <w:r w:rsidR="00FA6947" w:rsidRPr="0085799C">
        <w:rPr>
          <w:rFonts w:ascii="Times New Roman" w:hAnsi="Times New Roman"/>
          <w:szCs w:val="22"/>
        </w:rPr>
        <w:t>nižšie</w:t>
      </w:r>
      <w:r w:rsidR="00FA6947" w:rsidRPr="00625A52">
        <w:rPr>
          <w:rFonts w:ascii="Times New Roman" w:hAnsi="Times New Roman"/>
          <w:szCs w:val="22"/>
        </w:rPr>
        <w:t xml:space="preserve"> </w:t>
      </w:r>
      <w:r w:rsidRPr="00625A52">
        <w:rPr>
          <w:rFonts w:ascii="Times New Roman" w:hAnsi="Times New Roman"/>
          <w:szCs w:val="22"/>
        </w:rPr>
        <w:t>o</w:t>
      </w:r>
      <w:r w:rsidR="007558D2">
        <w:rPr>
          <w:rFonts w:ascii="Times New Roman" w:hAnsi="Times New Roman"/>
          <w:szCs w:val="22"/>
        </w:rPr>
        <w:t xml:space="preserve"> </w:t>
      </w:r>
      <w:r w:rsidR="006268F8" w:rsidRPr="0085799C">
        <w:rPr>
          <w:rFonts w:ascii="Times New Roman" w:hAnsi="Times New Roman"/>
          <w:szCs w:val="22"/>
        </w:rPr>
        <w:t>844</w:t>
      </w:r>
      <w:r w:rsidR="007558D2">
        <w:rPr>
          <w:rFonts w:ascii="Times New Roman" w:hAnsi="Times New Roman"/>
          <w:szCs w:val="22"/>
        </w:rPr>
        <w:t> </w:t>
      </w:r>
      <w:r w:rsidR="006268F8" w:rsidRPr="0085799C">
        <w:rPr>
          <w:rFonts w:ascii="Times New Roman" w:hAnsi="Times New Roman"/>
          <w:szCs w:val="22"/>
        </w:rPr>
        <w:t>408</w:t>
      </w:r>
      <w:r w:rsidRPr="00625A52">
        <w:rPr>
          <w:rFonts w:ascii="Times New Roman" w:hAnsi="Times New Roman"/>
          <w:szCs w:val="22"/>
        </w:rPr>
        <w:t> tis. eur. Tvorené sú najmä výnosmi samosprávy z prostriedkov získaných zo štátneho rozpočtu a od iných subjektov verejnej správy (2</w:t>
      </w:r>
      <w:r w:rsidR="004D46BA" w:rsidRPr="0085799C">
        <w:rPr>
          <w:rFonts w:ascii="Times New Roman" w:hAnsi="Times New Roman"/>
          <w:szCs w:val="22"/>
        </w:rPr>
        <w:t> </w:t>
      </w:r>
      <w:r w:rsidR="00F80E3A" w:rsidRPr="0085799C">
        <w:rPr>
          <w:rFonts w:ascii="Times New Roman" w:hAnsi="Times New Roman"/>
          <w:szCs w:val="22"/>
        </w:rPr>
        <w:t>7</w:t>
      </w:r>
      <w:r w:rsidR="004D46BA" w:rsidRPr="0085799C">
        <w:rPr>
          <w:rFonts w:ascii="Times New Roman" w:hAnsi="Times New Roman"/>
          <w:szCs w:val="22"/>
        </w:rPr>
        <w:t>60 838</w:t>
      </w:r>
      <w:r w:rsidRPr="00625A52">
        <w:rPr>
          <w:rFonts w:ascii="Times New Roman" w:hAnsi="Times New Roman"/>
          <w:szCs w:val="22"/>
        </w:rPr>
        <w:t> tis. eur)</w:t>
      </w:r>
      <w:r w:rsidR="006F432A" w:rsidRPr="0085799C">
        <w:rPr>
          <w:rFonts w:ascii="Times New Roman" w:hAnsi="Times New Roman"/>
          <w:szCs w:val="22"/>
        </w:rPr>
        <w:t xml:space="preserve"> a</w:t>
      </w:r>
      <w:r w:rsidRPr="00625A52">
        <w:rPr>
          <w:rFonts w:ascii="Times New Roman" w:hAnsi="Times New Roman"/>
          <w:szCs w:val="22"/>
        </w:rPr>
        <w:t xml:space="preserve"> výnosmi ostatných subjektov verejnej správy z transferov z prostriedkov štátneho rozpočtu </w:t>
      </w:r>
      <w:r w:rsidR="00B642B6" w:rsidRPr="0085799C">
        <w:rPr>
          <w:rFonts w:ascii="Times New Roman" w:hAnsi="Times New Roman"/>
          <w:szCs w:val="22"/>
        </w:rPr>
        <w:t>(1 133</w:t>
      </w:r>
      <w:r w:rsidR="007558D2">
        <w:rPr>
          <w:rFonts w:ascii="Times New Roman" w:hAnsi="Times New Roman"/>
          <w:szCs w:val="22"/>
        </w:rPr>
        <w:t> </w:t>
      </w:r>
      <w:r w:rsidR="00B642B6" w:rsidRPr="0085799C">
        <w:rPr>
          <w:rFonts w:ascii="Times New Roman" w:hAnsi="Times New Roman"/>
          <w:szCs w:val="22"/>
        </w:rPr>
        <w:t>119</w:t>
      </w:r>
      <w:r w:rsidR="007558D2">
        <w:rPr>
          <w:rFonts w:ascii="Times New Roman" w:hAnsi="Times New Roman"/>
          <w:szCs w:val="22"/>
        </w:rPr>
        <w:t> </w:t>
      </w:r>
      <w:r w:rsidR="00B642B6" w:rsidRPr="0085799C">
        <w:rPr>
          <w:rFonts w:ascii="Times New Roman" w:hAnsi="Times New Roman"/>
          <w:szCs w:val="22"/>
        </w:rPr>
        <w:t>tis.</w:t>
      </w:r>
      <w:r w:rsidR="007558D2">
        <w:rPr>
          <w:rFonts w:ascii="Times New Roman" w:hAnsi="Times New Roman"/>
          <w:szCs w:val="22"/>
        </w:rPr>
        <w:t> </w:t>
      </w:r>
      <w:r w:rsidR="00B642B6" w:rsidRPr="0085799C">
        <w:rPr>
          <w:rFonts w:ascii="Times New Roman" w:hAnsi="Times New Roman"/>
          <w:szCs w:val="22"/>
        </w:rPr>
        <w:t>eur)</w:t>
      </w:r>
      <w:r w:rsidRPr="00625A52">
        <w:rPr>
          <w:rFonts w:ascii="Times New Roman" w:hAnsi="Times New Roman"/>
          <w:szCs w:val="22"/>
        </w:rPr>
        <w:t xml:space="preserve">. Tieto výnosy vzhľadom na </w:t>
      </w:r>
      <w:proofErr w:type="spellStart"/>
      <w:r w:rsidRPr="00625A52">
        <w:rPr>
          <w:rFonts w:ascii="Times New Roman" w:hAnsi="Times New Roman"/>
          <w:szCs w:val="22"/>
        </w:rPr>
        <w:t>obtiažnosť</w:t>
      </w:r>
      <w:proofErr w:type="spellEnd"/>
      <w:r w:rsidRPr="00625A52">
        <w:rPr>
          <w:rFonts w:ascii="Times New Roman" w:hAnsi="Times New Roman"/>
          <w:szCs w:val="22"/>
        </w:rPr>
        <w:t xml:space="preserve"> procesu ich vzájomného odsúhlasenia neboli, až na vzťah Environmentálneho fondu voči obciam, predmetom eliminácie pri zostavení súhrnnej účtovnej závierky. Celkové výnosy z transferov získaných od subjektov nezaradených do sektora verejnej správy predstavujú </w:t>
      </w:r>
      <w:r w:rsidRPr="00625A52">
        <w:rPr>
          <w:rFonts w:ascii="Times New Roman" w:hAnsi="Times New Roman"/>
          <w:bCs/>
          <w:szCs w:val="22"/>
        </w:rPr>
        <w:t>2</w:t>
      </w:r>
      <w:r w:rsidR="00DD31D4" w:rsidRPr="0085799C">
        <w:rPr>
          <w:rFonts w:ascii="Times New Roman" w:hAnsi="Times New Roman"/>
          <w:bCs/>
          <w:szCs w:val="22"/>
        </w:rPr>
        <w:t>82</w:t>
      </w:r>
      <w:r w:rsidR="007558D2">
        <w:rPr>
          <w:rFonts w:ascii="Times New Roman" w:hAnsi="Times New Roman"/>
          <w:bCs/>
          <w:szCs w:val="22"/>
        </w:rPr>
        <w:t> </w:t>
      </w:r>
      <w:r w:rsidR="00DD31D4" w:rsidRPr="0085799C">
        <w:rPr>
          <w:rFonts w:ascii="Times New Roman" w:hAnsi="Times New Roman"/>
          <w:bCs/>
          <w:szCs w:val="22"/>
        </w:rPr>
        <w:t>364</w:t>
      </w:r>
      <w:r w:rsidRPr="00625A52">
        <w:rPr>
          <w:rFonts w:ascii="Times New Roman" w:hAnsi="Times New Roman"/>
          <w:szCs w:val="22"/>
        </w:rPr>
        <w:t> tis. eur.</w:t>
      </w:r>
    </w:p>
    <w:p w14:paraId="581BC94A" w14:textId="110C3A89" w:rsidR="009272A3" w:rsidRPr="00625A52" w:rsidRDefault="00647542" w:rsidP="00625A52">
      <w:pPr>
        <w:pStyle w:val="Pismenka"/>
        <w:tabs>
          <w:tab w:val="clear" w:pos="426"/>
        </w:tabs>
        <w:spacing w:after="120"/>
        <w:ind w:left="0" w:firstLine="0"/>
        <w:rPr>
          <w:b w:val="0"/>
          <w:bCs w:val="0"/>
          <w:sz w:val="22"/>
          <w:szCs w:val="22"/>
        </w:rPr>
      </w:pPr>
      <w:r w:rsidRPr="0085799C">
        <w:rPr>
          <w:b w:val="0"/>
          <w:sz w:val="22"/>
          <w:szCs w:val="22"/>
        </w:rPr>
        <w:t xml:space="preserve">Územná samospráva vykazuje </w:t>
      </w:r>
      <w:r w:rsidR="00DD31D4" w:rsidRPr="0085799C">
        <w:rPr>
          <w:b w:val="0"/>
          <w:sz w:val="22"/>
          <w:szCs w:val="22"/>
        </w:rPr>
        <w:t>najmä</w:t>
      </w:r>
      <w:r w:rsidRPr="0085799C">
        <w:rPr>
          <w:b w:val="0"/>
          <w:sz w:val="22"/>
          <w:szCs w:val="22"/>
        </w:rPr>
        <w:t xml:space="preserve"> výnosy z prostriedkov štátneho rozpočtu, ktoré predstavujú bežné a kapitálové transfery pre obce, vyššie územné celky a ich rozpočtové a príspevkové organizácie, pričom tieto transfery sú zo zdroja štátneho rozpočtu ako aj európskych prostriedkov zapojených do štátneho rozpočtu (napríklad štrukturálne fondy, </w:t>
      </w:r>
      <w:r w:rsidR="00DD31D4" w:rsidRPr="0085799C">
        <w:rPr>
          <w:b w:val="0"/>
          <w:sz w:val="22"/>
          <w:szCs w:val="22"/>
        </w:rPr>
        <w:t>K</w:t>
      </w:r>
      <w:r w:rsidRPr="0085799C">
        <w:rPr>
          <w:b w:val="0"/>
          <w:sz w:val="22"/>
          <w:szCs w:val="22"/>
        </w:rPr>
        <w:t>ohézny fond</w:t>
      </w:r>
      <w:r w:rsidR="00DD31D4" w:rsidRPr="0085799C">
        <w:rPr>
          <w:b w:val="0"/>
          <w:sz w:val="22"/>
          <w:szCs w:val="22"/>
        </w:rPr>
        <w:t>, Plán obnovy a odolnosti</w:t>
      </w:r>
      <w:r w:rsidRPr="0085799C">
        <w:rPr>
          <w:b w:val="0"/>
          <w:sz w:val="22"/>
          <w:szCs w:val="22"/>
        </w:rPr>
        <w:t>). Tieto</w:t>
      </w:r>
      <w:r w:rsidR="007558D2">
        <w:rPr>
          <w:b w:val="0"/>
          <w:sz w:val="22"/>
          <w:szCs w:val="22"/>
        </w:rPr>
        <w:t xml:space="preserve"> </w:t>
      </w:r>
      <w:r w:rsidRPr="0085799C">
        <w:rPr>
          <w:b w:val="0"/>
          <w:sz w:val="22"/>
          <w:szCs w:val="22"/>
        </w:rPr>
        <w:t>výnosy neboli predmetom úplnej eliminácie.</w:t>
      </w:r>
    </w:p>
    <w:p w14:paraId="594B76F6" w14:textId="77777777" w:rsidR="009272A3" w:rsidRPr="00625A52" w:rsidRDefault="009272A3" w:rsidP="00625A52">
      <w:pPr>
        <w:pStyle w:val="Pismenka"/>
        <w:tabs>
          <w:tab w:val="clear" w:pos="426"/>
        </w:tabs>
        <w:spacing w:after="120"/>
        <w:ind w:left="0" w:firstLine="0"/>
        <w:rPr>
          <w:b w:val="0"/>
          <w:bCs w:val="0"/>
          <w:sz w:val="22"/>
          <w:szCs w:val="22"/>
        </w:rPr>
      </w:pPr>
    </w:p>
    <w:p w14:paraId="7B4E0A2E" w14:textId="22935D4A" w:rsidR="009272A3" w:rsidRDefault="009272A3" w:rsidP="0085799C">
      <w:pPr>
        <w:pStyle w:val="Nadpis3"/>
        <w:numPr>
          <w:ilvl w:val="0"/>
          <w:numId w:val="53"/>
        </w:numPr>
        <w:ind w:left="567" w:hanging="567"/>
      </w:pPr>
      <w:r>
        <w:t>Tržby</w:t>
      </w:r>
      <w:r w:rsidR="00647542">
        <w:t xml:space="preserve"> za vlastné výkony a</w:t>
      </w:r>
      <w:r>
        <w:t xml:space="preserve"> tovar</w:t>
      </w:r>
    </w:p>
    <w:p w14:paraId="6C4F9E91" w14:textId="71FDB0B2" w:rsidR="0012104C" w:rsidRPr="00D6641A" w:rsidRDefault="00647542" w:rsidP="00625A52">
      <w:pPr>
        <w:pStyle w:val="Pismenka"/>
        <w:tabs>
          <w:tab w:val="clear" w:pos="426"/>
        </w:tabs>
        <w:spacing w:after="120"/>
        <w:ind w:left="0" w:firstLine="0"/>
        <w:rPr>
          <w:b w:val="0"/>
          <w:bCs w:val="0"/>
          <w:sz w:val="22"/>
          <w:szCs w:val="22"/>
        </w:rPr>
      </w:pPr>
      <w:r w:rsidRPr="00A7107D">
        <w:rPr>
          <w:b w:val="0"/>
          <w:bCs w:val="0"/>
          <w:sz w:val="22"/>
          <w:szCs w:val="22"/>
        </w:rPr>
        <w:t>V</w:t>
      </w:r>
      <w:r w:rsidR="007558D2" w:rsidRPr="00A7107D">
        <w:rPr>
          <w:b w:val="0"/>
          <w:bCs w:val="0"/>
          <w:sz w:val="22"/>
          <w:szCs w:val="22"/>
        </w:rPr>
        <w:t xml:space="preserve"> </w:t>
      </w:r>
      <w:r w:rsidRPr="00A7107D">
        <w:rPr>
          <w:b w:val="0"/>
          <w:bCs w:val="0"/>
          <w:sz w:val="22"/>
          <w:szCs w:val="22"/>
        </w:rPr>
        <w:t xml:space="preserve">rámci tržieb za vlastné výkony a tovar sú rozhodujúcou položkou </w:t>
      </w:r>
      <w:r w:rsidRPr="00A7107D">
        <w:rPr>
          <w:b w:val="0"/>
          <w:bCs w:val="0"/>
          <w:sz w:val="22"/>
          <w:szCs w:val="22"/>
          <w:u w:val="single"/>
        </w:rPr>
        <w:t>výnosy z</w:t>
      </w:r>
      <w:r w:rsidR="007558D2" w:rsidRPr="00A7107D">
        <w:rPr>
          <w:b w:val="0"/>
          <w:bCs w:val="0"/>
          <w:sz w:val="22"/>
          <w:szCs w:val="22"/>
          <w:u w:val="single"/>
        </w:rPr>
        <w:t xml:space="preserve"> </w:t>
      </w:r>
      <w:r w:rsidRPr="00A7107D">
        <w:rPr>
          <w:b w:val="0"/>
          <w:bCs w:val="0"/>
          <w:sz w:val="22"/>
          <w:szCs w:val="22"/>
          <w:u w:val="single"/>
        </w:rPr>
        <w:t>preda</w:t>
      </w:r>
      <w:r w:rsidR="00800516" w:rsidRPr="00A7107D">
        <w:rPr>
          <w:b w:val="0"/>
          <w:bCs w:val="0"/>
          <w:sz w:val="22"/>
          <w:szCs w:val="22"/>
          <w:u w:val="single"/>
        </w:rPr>
        <w:t>ja</w:t>
      </w:r>
      <w:r w:rsidRPr="00A7107D">
        <w:rPr>
          <w:b w:val="0"/>
          <w:bCs w:val="0"/>
          <w:sz w:val="22"/>
          <w:szCs w:val="22"/>
          <w:u w:val="single"/>
        </w:rPr>
        <w:t xml:space="preserve"> služieb</w:t>
      </w:r>
      <w:r w:rsidRPr="00A7107D">
        <w:rPr>
          <w:b w:val="0"/>
          <w:bCs w:val="0"/>
          <w:sz w:val="22"/>
          <w:szCs w:val="22"/>
        </w:rPr>
        <w:t xml:space="preserve"> v</w:t>
      </w:r>
      <w:r w:rsidR="007558D2" w:rsidRPr="00A7107D">
        <w:rPr>
          <w:b w:val="0"/>
          <w:bCs w:val="0"/>
          <w:sz w:val="22"/>
          <w:szCs w:val="22"/>
        </w:rPr>
        <w:t xml:space="preserve"> </w:t>
      </w:r>
      <w:r w:rsidRPr="00A7107D">
        <w:rPr>
          <w:b w:val="0"/>
          <w:bCs w:val="0"/>
          <w:sz w:val="22"/>
          <w:szCs w:val="22"/>
        </w:rPr>
        <w:t>hodnote 21</w:t>
      </w:r>
      <w:r w:rsidR="007558D2" w:rsidRPr="00A7107D">
        <w:rPr>
          <w:b w:val="0"/>
          <w:bCs w:val="0"/>
          <w:sz w:val="22"/>
          <w:szCs w:val="22"/>
        </w:rPr>
        <w:t> </w:t>
      </w:r>
      <w:r w:rsidR="001F39C0" w:rsidRPr="00A7107D">
        <w:rPr>
          <w:b w:val="0"/>
          <w:bCs w:val="0"/>
          <w:sz w:val="22"/>
          <w:szCs w:val="22"/>
        </w:rPr>
        <w:t>571</w:t>
      </w:r>
      <w:r w:rsidR="007558D2" w:rsidRPr="00A7107D">
        <w:rPr>
          <w:b w:val="0"/>
          <w:bCs w:val="0"/>
          <w:sz w:val="22"/>
          <w:szCs w:val="22"/>
        </w:rPr>
        <w:t> </w:t>
      </w:r>
      <w:r w:rsidR="001F39C0" w:rsidRPr="00A7107D">
        <w:rPr>
          <w:b w:val="0"/>
          <w:bCs w:val="0"/>
          <w:sz w:val="22"/>
          <w:szCs w:val="22"/>
        </w:rPr>
        <w:t>170</w:t>
      </w:r>
      <w:r w:rsidRPr="00A7107D">
        <w:rPr>
          <w:b w:val="0"/>
          <w:bCs w:val="0"/>
          <w:sz w:val="22"/>
          <w:szCs w:val="22"/>
        </w:rPr>
        <w:t> tis.</w:t>
      </w:r>
      <w:r w:rsidR="007558D2" w:rsidRPr="00A7107D">
        <w:rPr>
          <w:b w:val="0"/>
          <w:bCs w:val="0"/>
          <w:sz w:val="22"/>
          <w:szCs w:val="22"/>
        </w:rPr>
        <w:t> </w:t>
      </w:r>
      <w:r w:rsidRPr="00A7107D">
        <w:rPr>
          <w:b w:val="0"/>
          <w:bCs w:val="0"/>
          <w:sz w:val="22"/>
          <w:szCs w:val="22"/>
        </w:rPr>
        <w:t>eur. Tieto výnosy boli vyššie oproti roku 202</w:t>
      </w:r>
      <w:r w:rsidR="001F39C0" w:rsidRPr="00A7107D">
        <w:rPr>
          <w:b w:val="0"/>
          <w:bCs w:val="0"/>
          <w:sz w:val="22"/>
          <w:szCs w:val="22"/>
        </w:rPr>
        <w:t>3</w:t>
      </w:r>
      <w:r w:rsidRPr="00A7107D">
        <w:rPr>
          <w:b w:val="0"/>
          <w:bCs w:val="0"/>
          <w:sz w:val="22"/>
          <w:szCs w:val="22"/>
        </w:rPr>
        <w:t xml:space="preserve"> o</w:t>
      </w:r>
      <w:r w:rsidR="007558D2" w:rsidRPr="00A7107D">
        <w:rPr>
          <w:b w:val="0"/>
          <w:bCs w:val="0"/>
          <w:sz w:val="22"/>
          <w:szCs w:val="22"/>
        </w:rPr>
        <w:t> </w:t>
      </w:r>
      <w:r w:rsidR="001F39C0" w:rsidRPr="00A7107D">
        <w:rPr>
          <w:b w:val="0"/>
          <w:bCs w:val="0"/>
          <w:sz w:val="22"/>
          <w:szCs w:val="22"/>
        </w:rPr>
        <w:t>115</w:t>
      </w:r>
      <w:r w:rsidR="007558D2" w:rsidRPr="00A7107D">
        <w:rPr>
          <w:b w:val="0"/>
          <w:bCs w:val="0"/>
          <w:sz w:val="22"/>
          <w:szCs w:val="22"/>
        </w:rPr>
        <w:t> </w:t>
      </w:r>
      <w:r w:rsidR="001F39C0" w:rsidRPr="00A7107D">
        <w:rPr>
          <w:b w:val="0"/>
          <w:bCs w:val="0"/>
          <w:sz w:val="22"/>
          <w:szCs w:val="22"/>
        </w:rPr>
        <w:t>846</w:t>
      </w:r>
      <w:r w:rsidRPr="00A7107D">
        <w:rPr>
          <w:b w:val="0"/>
          <w:bCs w:val="0"/>
          <w:sz w:val="22"/>
          <w:szCs w:val="22"/>
        </w:rPr>
        <w:t xml:space="preserve"> tis. eur. Výnosy </w:t>
      </w:r>
      <w:r w:rsidRPr="00A7107D">
        <w:rPr>
          <w:b w:val="0"/>
          <w:bCs w:val="0"/>
          <w:sz w:val="22"/>
          <w:szCs w:val="22"/>
          <w:u w:val="single"/>
        </w:rPr>
        <w:t>za predaný tovar</w:t>
      </w:r>
      <w:r w:rsidRPr="00A7107D">
        <w:rPr>
          <w:b w:val="0"/>
          <w:bCs w:val="0"/>
          <w:sz w:val="22"/>
          <w:szCs w:val="22"/>
        </w:rPr>
        <w:t xml:space="preserve"> </w:t>
      </w:r>
      <w:r w:rsidR="001F39C0" w:rsidRPr="00A7107D">
        <w:rPr>
          <w:b w:val="0"/>
          <w:bCs w:val="0"/>
          <w:sz w:val="22"/>
          <w:szCs w:val="22"/>
        </w:rPr>
        <w:t>sú vykázané v hodnote</w:t>
      </w:r>
      <w:r w:rsidRPr="00A7107D">
        <w:rPr>
          <w:b w:val="0"/>
          <w:bCs w:val="0"/>
          <w:sz w:val="22"/>
          <w:szCs w:val="22"/>
        </w:rPr>
        <w:t xml:space="preserve"> </w:t>
      </w:r>
      <w:r w:rsidR="00FC649C" w:rsidRPr="00A7107D">
        <w:rPr>
          <w:b w:val="0"/>
          <w:bCs w:val="0"/>
          <w:sz w:val="22"/>
          <w:szCs w:val="22"/>
        </w:rPr>
        <w:t>4 368</w:t>
      </w:r>
      <w:r w:rsidR="007558D2" w:rsidRPr="00A7107D">
        <w:rPr>
          <w:b w:val="0"/>
          <w:bCs w:val="0"/>
          <w:sz w:val="22"/>
          <w:szCs w:val="22"/>
        </w:rPr>
        <w:t> </w:t>
      </w:r>
      <w:r w:rsidR="00FC649C" w:rsidRPr="00A7107D">
        <w:rPr>
          <w:b w:val="0"/>
          <w:bCs w:val="0"/>
          <w:sz w:val="22"/>
          <w:szCs w:val="22"/>
        </w:rPr>
        <w:t>670</w:t>
      </w:r>
      <w:r w:rsidRPr="00A7107D">
        <w:rPr>
          <w:b w:val="0"/>
          <w:bCs w:val="0"/>
          <w:sz w:val="22"/>
          <w:szCs w:val="22"/>
        </w:rPr>
        <w:t xml:space="preserve"> tis. eur a </w:t>
      </w:r>
      <w:r w:rsidRPr="00A7107D">
        <w:rPr>
          <w:b w:val="0"/>
          <w:bCs w:val="0"/>
          <w:sz w:val="22"/>
          <w:szCs w:val="22"/>
          <w:u w:val="single"/>
        </w:rPr>
        <w:t>za predané výrobky</w:t>
      </w:r>
      <w:r w:rsidRPr="00A7107D">
        <w:rPr>
          <w:b w:val="0"/>
          <w:bCs w:val="0"/>
          <w:sz w:val="22"/>
          <w:szCs w:val="22"/>
        </w:rPr>
        <w:t xml:space="preserve"> </w:t>
      </w:r>
      <w:r w:rsidR="00FC649C" w:rsidRPr="00A7107D">
        <w:rPr>
          <w:b w:val="0"/>
          <w:bCs w:val="0"/>
          <w:sz w:val="22"/>
          <w:szCs w:val="22"/>
        </w:rPr>
        <w:t>3</w:t>
      </w:r>
      <w:r w:rsidR="007558D2" w:rsidRPr="00A7107D">
        <w:rPr>
          <w:b w:val="0"/>
          <w:bCs w:val="0"/>
          <w:sz w:val="22"/>
          <w:szCs w:val="22"/>
        </w:rPr>
        <w:t> </w:t>
      </w:r>
      <w:r w:rsidR="00FC649C" w:rsidRPr="00A7107D">
        <w:rPr>
          <w:b w:val="0"/>
          <w:bCs w:val="0"/>
          <w:sz w:val="22"/>
          <w:szCs w:val="22"/>
        </w:rPr>
        <w:t>503</w:t>
      </w:r>
      <w:r w:rsidR="007558D2" w:rsidRPr="00A7107D">
        <w:rPr>
          <w:b w:val="0"/>
          <w:bCs w:val="0"/>
          <w:sz w:val="22"/>
          <w:szCs w:val="22"/>
        </w:rPr>
        <w:t> </w:t>
      </w:r>
      <w:r w:rsidR="00FC649C" w:rsidRPr="00A7107D">
        <w:rPr>
          <w:b w:val="0"/>
          <w:bCs w:val="0"/>
          <w:sz w:val="22"/>
          <w:szCs w:val="22"/>
        </w:rPr>
        <w:t>151</w:t>
      </w:r>
      <w:r w:rsidRPr="00A7107D">
        <w:rPr>
          <w:b w:val="0"/>
          <w:bCs w:val="0"/>
          <w:sz w:val="22"/>
          <w:szCs w:val="22"/>
        </w:rPr>
        <w:t> tis. eur.</w:t>
      </w:r>
    </w:p>
    <w:p w14:paraId="52324DD4" w14:textId="77777777" w:rsidR="0012104C" w:rsidRPr="00FB70AF" w:rsidRDefault="0012104C" w:rsidP="00FB70AF">
      <w:pPr>
        <w:pStyle w:val="Pismenka"/>
        <w:tabs>
          <w:tab w:val="clear" w:pos="426"/>
        </w:tabs>
        <w:spacing w:after="120"/>
        <w:ind w:left="0" w:firstLine="0"/>
        <w:rPr>
          <w:b w:val="0"/>
          <w:bCs w:val="0"/>
          <w:sz w:val="22"/>
          <w:szCs w:val="22"/>
        </w:rPr>
      </w:pPr>
    </w:p>
    <w:p w14:paraId="633AF0DC" w14:textId="77777777" w:rsidR="002B5E5D" w:rsidRDefault="002B5E5D">
      <w:pPr>
        <w:spacing w:after="160" w:line="259" w:lineRule="auto"/>
        <w:rPr>
          <w:rFonts w:ascii="Times New Roman" w:eastAsiaTheme="majorEastAsia" w:hAnsi="Times New Roman" w:cstheme="majorBidi"/>
          <w:b/>
          <w:i/>
          <w:iCs/>
          <w:u w:val="single"/>
        </w:rPr>
      </w:pPr>
      <w:bookmarkStart w:id="67" w:name="_Služby"/>
      <w:bookmarkEnd w:id="67"/>
      <w:r>
        <w:br w:type="page"/>
      </w:r>
    </w:p>
    <w:p w14:paraId="4F27D5BF" w14:textId="323981F2" w:rsidR="0012104C" w:rsidRDefault="0012104C" w:rsidP="0085799C">
      <w:pPr>
        <w:pStyle w:val="Nadpis4"/>
        <w:numPr>
          <w:ilvl w:val="0"/>
          <w:numId w:val="54"/>
        </w:numPr>
        <w:ind w:left="426" w:hanging="426"/>
      </w:pPr>
      <w:r>
        <w:lastRenderedPageBreak/>
        <w:t>Služby</w:t>
      </w:r>
    </w:p>
    <w:bookmarkEnd w:id="66"/>
    <w:p w14:paraId="4145371C" w14:textId="162F7142" w:rsidR="0012104C" w:rsidRPr="00FB70AF" w:rsidRDefault="00647542" w:rsidP="00FB70AF">
      <w:pPr>
        <w:spacing w:after="120" w:line="240" w:lineRule="auto"/>
        <w:jc w:val="both"/>
        <w:rPr>
          <w:rFonts w:ascii="Times New Roman" w:hAnsi="Times New Roman"/>
          <w:color w:val="000000" w:themeColor="text1"/>
          <w:szCs w:val="22"/>
          <w:lang w:eastAsia="sk-SK"/>
        </w:rPr>
      </w:pPr>
      <w:r w:rsidRPr="00FB70AF">
        <w:rPr>
          <w:rFonts w:ascii="Times New Roman" w:hAnsi="Times New Roman"/>
          <w:szCs w:val="22"/>
        </w:rPr>
        <w:t>Výnosy zo služieb sú tvorené najmä Sociálnou poisťovňou (1</w:t>
      </w:r>
      <w:r w:rsidR="00776CA5" w:rsidRPr="0085799C">
        <w:rPr>
          <w:rFonts w:ascii="Times New Roman" w:hAnsi="Times New Roman"/>
          <w:szCs w:val="22"/>
        </w:rPr>
        <w:t>4</w:t>
      </w:r>
      <w:r w:rsidR="007558D2">
        <w:rPr>
          <w:rFonts w:ascii="Times New Roman" w:hAnsi="Times New Roman"/>
          <w:szCs w:val="22"/>
        </w:rPr>
        <w:t> </w:t>
      </w:r>
      <w:r w:rsidR="005E1269" w:rsidRPr="0085799C">
        <w:rPr>
          <w:rFonts w:ascii="Times New Roman" w:hAnsi="Times New Roman"/>
          <w:szCs w:val="22"/>
        </w:rPr>
        <w:t>953</w:t>
      </w:r>
      <w:r w:rsidR="007558D2">
        <w:rPr>
          <w:rFonts w:ascii="Times New Roman" w:hAnsi="Times New Roman"/>
          <w:szCs w:val="22"/>
        </w:rPr>
        <w:t> </w:t>
      </w:r>
      <w:r w:rsidR="005E1269" w:rsidRPr="0085799C">
        <w:rPr>
          <w:rFonts w:ascii="Times New Roman" w:hAnsi="Times New Roman"/>
          <w:szCs w:val="22"/>
        </w:rPr>
        <w:t>985</w:t>
      </w:r>
      <w:r w:rsidRPr="00FB70AF">
        <w:rPr>
          <w:rFonts w:ascii="Times New Roman" w:hAnsi="Times New Roman"/>
          <w:szCs w:val="22"/>
        </w:rPr>
        <w:t> tis. eur)</w:t>
      </w:r>
      <w:r w:rsidR="0019337A" w:rsidRPr="0085799C">
        <w:rPr>
          <w:rFonts w:ascii="Times New Roman" w:hAnsi="Times New Roman"/>
          <w:szCs w:val="22"/>
        </w:rPr>
        <w:t xml:space="preserve"> a</w:t>
      </w:r>
      <w:r w:rsidRPr="00FB70AF">
        <w:rPr>
          <w:rFonts w:ascii="Times New Roman" w:hAnsi="Times New Roman"/>
          <w:szCs w:val="22"/>
        </w:rPr>
        <w:t xml:space="preserve"> Všeobecnou zdravotnou poisťovňou, a.s. (</w:t>
      </w:r>
      <w:r w:rsidR="00CC7752" w:rsidRPr="0085799C">
        <w:rPr>
          <w:rFonts w:ascii="Times New Roman" w:hAnsi="Times New Roman"/>
          <w:szCs w:val="22"/>
        </w:rPr>
        <w:t>4 194</w:t>
      </w:r>
      <w:r w:rsidR="007558D2">
        <w:rPr>
          <w:rFonts w:ascii="Times New Roman" w:hAnsi="Times New Roman"/>
          <w:szCs w:val="22"/>
        </w:rPr>
        <w:t> </w:t>
      </w:r>
      <w:r w:rsidR="00CC7752" w:rsidRPr="0085799C">
        <w:rPr>
          <w:rFonts w:ascii="Times New Roman" w:hAnsi="Times New Roman"/>
          <w:szCs w:val="22"/>
        </w:rPr>
        <w:t>970</w:t>
      </w:r>
      <w:r w:rsidR="007558D2">
        <w:rPr>
          <w:rFonts w:ascii="Times New Roman" w:hAnsi="Times New Roman"/>
          <w:szCs w:val="22"/>
        </w:rPr>
        <w:t> </w:t>
      </w:r>
      <w:r w:rsidRPr="00FB70AF">
        <w:rPr>
          <w:rFonts w:ascii="Times New Roman" w:hAnsi="Times New Roman"/>
          <w:szCs w:val="22"/>
        </w:rPr>
        <w:t>tis. eur)</w:t>
      </w:r>
      <w:r w:rsidR="0019337A" w:rsidRPr="0085799C">
        <w:rPr>
          <w:rFonts w:ascii="Times New Roman" w:hAnsi="Times New Roman"/>
          <w:szCs w:val="22"/>
        </w:rPr>
        <w:t xml:space="preserve">. </w:t>
      </w:r>
      <w:r w:rsidR="00697B63" w:rsidRPr="0085799C">
        <w:rPr>
          <w:rFonts w:ascii="Times New Roman" w:hAnsi="Times New Roman"/>
          <w:szCs w:val="22"/>
        </w:rPr>
        <w:t xml:space="preserve">U Sociálnej poisťovne a Všeobecnej zdravotnej poisťovne, a.s. ide o vykázanie príspevkov zo zdravotných odvodov, ktoré plynú do jednotlivých fondov a na technické účty poistenia. </w:t>
      </w:r>
      <w:r w:rsidR="009872D3" w:rsidRPr="00FB70AF">
        <w:rPr>
          <w:rFonts w:ascii="Times New Roman" w:hAnsi="Times New Roman"/>
          <w:color w:val="000000" w:themeColor="text1"/>
          <w:szCs w:val="22"/>
          <w:lang w:eastAsia="sk-SK"/>
        </w:rPr>
        <w:t>Nárast hodnot</w:t>
      </w:r>
      <w:r w:rsidR="00697B63" w:rsidRPr="00FB70AF">
        <w:rPr>
          <w:rFonts w:ascii="Times New Roman" w:hAnsi="Times New Roman"/>
          <w:color w:val="000000" w:themeColor="text1"/>
          <w:szCs w:val="22"/>
          <w:lang w:eastAsia="sk-SK"/>
        </w:rPr>
        <w:t>y za poskytované služby Všeobecnou zdravotnou poisťovňou</w:t>
      </w:r>
      <w:r w:rsidR="009872D3" w:rsidRPr="00FB70AF">
        <w:rPr>
          <w:rFonts w:ascii="Times New Roman" w:hAnsi="Times New Roman"/>
          <w:color w:val="000000" w:themeColor="text1"/>
          <w:szCs w:val="22"/>
          <w:lang w:eastAsia="sk-SK"/>
        </w:rPr>
        <w:t xml:space="preserve"> tvoril najmä vyšší predpis poistného za zamestnávateľa a zamestnancov, a to vplyvom vysokého rastu nominálnych miezd (6,9 % v národnom hospodárstve). </w:t>
      </w:r>
    </w:p>
    <w:p w14:paraId="7355E646" w14:textId="77777777" w:rsidR="00796E5B" w:rsidRDefault="00286C18" w:rsidP="0085799C">
      <w:pPr>
        <w:spacing w:after="120" w:line="240" w:lineRule="auto"/>
        <w:jc w:val="both"/>
        <w:rPr>
          <w:rFonts w:ascii="Times New Roman" w:hAnsi="Times New Roman"/>
          <w:szCs w:val="22"/>
        </w:rPr>
      </w:pPr>
      <w:r w:rsidRPr="007558D2">
        <w:rPr>
          <w:rFonts w:ascii="Times New Roman" w:hAnsi="Times New Roman"/>
          <w:color w:val="000000" w:themeColor="text1"/>
          <w:szCs w:val="22"/>
          <w:lang w:eastAsia="sk-SK"/>
        </w:rPr>
        <w:t xml:space="preserve">Významné hodnoty za výnosy z poskytnutých služieb vykazujú aj </w:t>
      </w:r>
      <w:r w:rsidR="00647542" w:rsidRPr="007558D2">
        <w:rPr>
          <w:rFonts w:ascii="Times New Roman" w:hAnsi="Times New Roman"/>
          <w:szCs w:val="22"/>
        </w:rPr>
        <w:t>štátn</w:t>
      </w:r>
      <w:r w:rsidRPr="0085799C">
        <w:rPr>
          <w:rFonts w:ascii="Times New Roman" w:hAnsi="Times New Roman"/>
          <w:szCs w:val="22"/>
        </w:rPr>
        <w:t>e</w:t>
      </w:r>
      <w:r w:rsidR="00647542" w:rsidRPr="007558D2">
        <w:rPr>
          <w:rFonts w:ascii="Times New Roman" w:hAnsi="Times New Roman"/>
          <w:szCs w:val="22"/>
        </w:rPr>
        <w:t xml:space="preserve"> obchodn</w:t>
      </w:r>
      <w:r w:rsidRPr="0085799C">
        <w:rPr>
          <w:rFonts w:ascii="Times New Roman" w:hAnsi="Times New Roman"/>
          <w:szCs w:val="22"/>
        </w:rPr>
        <w:t>é</w:t>
      </w:r>
      <w:r w:rsidR="00647542" w:rsidRPr="007558D2">
        <w:rPr>
          <w:rFonts w:ascii="Times New Roman" w:hAnsi="Times New Roman"/>
          <w:szCs w:val="22"/>
        </w:rPr>
        <w:t xml:space="preserve"> spoločnos</w:t>
      </w:r>
      <w:r w:rsidRPr="0085799C">
        <w:rPr>
          <w:rFonts w:ascii="Times New Roman" w:hAnsi="Times New Roman"/>
          <w:szCs w:val="22"/>
        </w:rPr>
        <w:t>ti, akým</w:t>
      </w:r>
      <w:r w:rsidR="00796E5B">
        <w:rPr>
          <w:rFonts w:ascii="Times New Roman" w:hAnsi="Times New Roman"/>
          <w:szCs w:val="22"/>
        </w:rPr>
        <w:t>i</w:t>
      </w:r>
      <w:r w:rsidRPr="0085799C">
        <w:rPr>
          <w:rFonts w:ascii="Times New Roman" w:hAnsi="Times New Roman"/>
          <w:szCs w:val="22"/>
        </w:rPr>
        <w:t xml:space="preserve"> sú </w:t>
      </w:r>
      <w:r w:rsidR="00647542" w:rsidRPr="007558D2">
        <w:rPr>
          <w:rFonts w:ascii="Times New Roman" w:hAnsi="Times New Roman"/>
          <w:szCs w:val="22"/>
        </w:rPr>
        <w:t xml:space="preserve"> napríklad spoločnosť Slovenská elektrizačná a prenosová sústava, a.s. (</w:t>
      </w:r>
      <w:r w:rsidR="0079339F" w:rsidRPr="0085799C">
        <w:rPr>
          <w:rFonts w:ascii="Times New Roman" w:hAnsi="Times New Roman"/>
          <w:szCs w:val="22"/>
        </w:rPr>
        <w:t>1</w:t>
      </w:r>
      <w:r w:rsidR="007558D2">
        <w:rPr>
          <w:rFonts w:ascii="Times New Roman" w:hAnsi="Times New Roman"/>
          <w:szCs w:val="22"/>
        </w:rPr>
        <w:t> </w:t>
      </w:r>
      <w:r w:rsidR="0079339F" w:rsidRPr="0085799C">
        <w:rPr>
          <w:rFonts w:ascii="Times New Roman" w:hAnsi="Times New Roman"/>
          <w:szCs w:val="22"/>
        </w:rPr>
        <w:t>186</w:t>
      </w:r>
      <w:r w:rsidR="007558D2">
        <w:rPr>
          <w:rFonts w:ascii="Times New Roman" w:hAnsi="Times New Roman"/>
          <w:szCs w:val="22"/>
        </w:rPr>
        <w:t> </w:t>
      </w:r>
      <w:r w:rsidR="0079339F" w:rsidRPr="0085799C">
        <w:rPr>
          <w:rFonts w:ascii="Times New Roman" w:hAnsi="Times New Roman"/>
          <w:szCs w:val="22"/>
        </w:rPr>
        <w:t>999</w:t>
      </w:r>
      <w:r w:rsidR="00647542" w:rsidRPr="007558D2">
        <w:rPr>
          <w:rFonts w:ascii="Times New Roman" w:hAnsi="Times New Roman"/>
          <w:szCs w:val="22"/>
        </w:rPr>
        <w:t xml:space="preserve"> tis. eur), </w:t>
      </w:r>
      <w:r w:rsidR="00CC4300" w:rsidRPr="0085799C">
        <w:rPr>
          <w:rFonts w:ascii="Times New Roman" w:hAnsi="Times New Roman"/>
          <w:szCs w:val="22"/>
        </w:rPr>
        <w:t>TIPOS, a.s. (418</w:t>
      </w:r>
      <w:r w:rsidR="007558D2">
        <w:rPr>
          <w:rFonts w:ascii="Times New Roman" w:hAnsi="Times New Roman"/>
          <w:szCs w:val="22"/>
        </w:rPr>
        <w:t> </w:t>
      </w:r>
      <w:r w:rsidR="00CC4300" w:rsidRPr="0085799C">
        <w:rPr>
          <w:rFonts w:ascii="Times New Roman" w:hAnsi="Times New Roman"/>
          <w:szCs w:val="22"/>
        </w:rPr>
        <w:t>612</w:t>
      </w:r>
      <w:r w:rsidR="007558D2">
        <w:rPr>
          <w:rFonts w:ascii="Times New Roman" w:hAnsi="Times New Roman"/>
          <w:szCs w:val="22"/>
        </w:rPr>
        <w:t> </w:t>
      </w:r>
      <w:r w:rsidR="00CC4300" w:rsidRPr="0085799C">
        <w:rPr>
          <w:rFonts w:ascii="Times New Roman" w:hAnsi="Times New Roman"/>
          <w:szCs w:val="22"/>
        </w:rPr>
        <w:t>tis.</w:t>
      </w:r>
      <w:r w:rsidR="007558D2">
        <w:rPr>
          <w:rFonts w:ascii="Times New Roman" w:hAnsi="Times New Roman"/>
          <w:szCs w:val="22"/>
        </w:rPr>
        <w:t> </w:t>
      </w:r>
      <w:r w:rsidR="00647542" w:rsidRPr="0085799C">
        <w:rPr>
          <w:rFonts w:ascii="Times New Roman" w:hAnsi="Times New Roman"/>
          <w:szCs w:val="22"/>
        </w:rPr>
        <w:t xml:space="preserve">eur), </w:t>
      </w:r>
      <w:r w:rsidR="00647542" w:rsidRPr="007558D2">
        <w:rPr>
          <w:rFonts w:ascii="Times New Roman" w:hAnsi="Times New Roman"/>
          <w:szCs w:val="22"/>
        </w:rPr>
        <w:t>Národná diaľničná spoločnosť, a.s. (3</w:t>
      </w:r>
      <w:r w:rsidR="00CC4300" w:rsidRPr="0085799C">
        <w:rPr>
          <w:rFonts w:ascii="Times New Roman" w:hAnsi="Times New Roman"/>
          <w:szCs w:val="22"/>
        </w:rPr>
        <w:t>59</w:t>
      </w:r>
      <w:r w:rsidR="007558D2">
        <w:rPr>
          <w:rFonts w:ascii="Times New Roman" w:hAnsi="Times New Roman"/>
          <w:szCs w:val="22"/>
        </w:rPr>
        <w:t> </w:t>
      </w:r>
      <w:r w:rsidR="00CC4300" w:rsidRPr="0085799C">
        <w:rPr>
          <w:rFonts w:ascii="Times New Roman" w:hAnsi="Times New Roman"/>
          <w:szCs w:val="22"/>
        </w:rPr>
        <w:t>782</w:t>
      </w:r>
      <w:r w:rsidR="00647542" w:rsidRPr="007558D2">
        <w:rPr>
          <w:rFonts w:ascii="Times New Roman" w:hAnsi="Times New Roman"/>
          <w:szCs w:val="22"/>
        </w:rPr>
        <w:t> tis. eur),</w:t>
      </w:r>
      <w:r w:rsidR="00431EE4" w:rsidRPr="0085799C">
        <w:rPr>
          <w:rFonts w:ascii="Times New Roman" w:hAnsi="Times New Roman"/>
          <w:szCs w:val="22"/>
        </w:rPr>
        <w:t xml:space="preserve"> </w:t>
      </w:r>
      <w:r w:rsidR="00CC4300" w:rsidRPr="0085799C">
        <w:rPr>
          <w:rFonts w:ascii="Times New Roman" w:hAnsi="Times New Roman"/>
          <w:szCs w:val="22"/>
        </w:rPr>
        <w:t>Slovenská pošta</w:t>
      </w:r>
      <w:r w:rsidR="00431EE4" w:rsidRPr="0085799C">
        <w:rPr>
          <w:rFonts w:ascii="Times New Roman" w:hAnsi="Times New Roman"/>
          <w:szCs w:val="22"/>
        </w:rPr>
        <w:t xml:space="preserve">, a.s. </w:t>
      </w:r>
      <w:r w:rsidR="00CC4300" w:rsidRPr="0085799C">
        <w:rPr>
          <w:rFonts w:ascii="Times New Roman" w:hAnsi="Times New Roman"/>
          <w:szCs w:val="22"/>
        </w:rPr>
        <w:t>(</w:t>
      </w:r>
      <w:r w:rsidR="00193A71" w:rsidRPr="0085799C">
        <w:rPr>
          <w:rFonts w:ascii="Times New Roman" w:hAnsi="Times New Roman"/>
          <w:szCs w:val="22"/>
        </w:rPr>
        <w:t>302</w:t>
      </w:r>
      <w:r w:rsidR="007558D2">
        <w:rPr>
          <w:rFonts w:ascii="Times New Roman" w:hAnsi="Times New Roman"/>
          <w:szCs w:val="22"/>
        </w:rPr>
        <w:t> </w:t>
      </w:r>
      <w:r w:rsidR="00193A71" w:rsidRPr="0085799C">
        <w:rPr>
          <w:rFonts w:ascii="Times New Roman" w:hAnsi="Times New Roman"/>
          <w:szCs w:val="22"/>
        </w:rPr>
        <w:t>416</w:t>
      </w:r>
      <w:r w:rsidR="00CC4300" w:rsidRPr="0085799C">
        <w:rPr>
          <w:rFonts w:ascii="Times New Roman" w:hAnsi="Times New Roman"/>
          <w:szCs w:val="22"/>
        </w:rPr>
        <w:t> tis. </w:t>
      </w:r>
      <w:r w:rsidR="00647542" w:rsidRPr="0085799C">
        <w:rPr>
          <w:rFonts w:ascii="Times New Roman" w:hAnsi="Times New Roman"/>
          <w:szCs w:val="22"/>
        </w:rPr>
        <w:t>eur</w:t>
      </w:r>
      <w:r w:rsidR="00CC4300" w:rsidRPr="0085799C">
        <w:rPr>
          <w:rFonts w:ascii="Times New Roman" w:hAnsi="Times New Roman"/>
          <w:szCs w:val="22"/>
        </w:rPr>
        <w:t>)</w:t>
      </w:r>
      <w:r w:rsidR="00193A71" w:rsidRPr="0085799C">
        <w:rPr>
          <w:rFonts w:ascii="Times New Roman" w:hAnsi="Times New Roman"/>
          <w:szCs w:val="22"/>
        </w:rPr>
        <w:t xml:space="preserve"> a</w:t>
      </w:r>
      <w:r w:rsidR="00CC4300" w:rsidRPr="0085799C">
        <w:rPr>
          <w:rFonts w:ascii="Times New Roman" w:hAnsi="Times New Roman"/>
          <w:szCs w:val="22"/>
        </w:rPr>
        <w:t xml:space="preserve"> </w:t>
      </w:r>
      <w:r w:rsidR="00647542" w:rsidRPr="007558D2">
        <w:rPr>
          <w:rFonts w:ascii="Times New Roman" w:hAnsi="Times New Roman"/>
          <w:szCs w:val="22"/>
        </w:rPr>
        <w:t>Železničná spoločnosť Cargo Slovakia, a.s. (2</w:t>
      </w:r>
      <w:r w:rsidR="00193A71" w:rsidRPr="0085799C">
        <w:rPr>
          <w:rFonts w:ascii="Times New Roman" w:hAnsi="Times New Roman"/>
          <w:szCs w:val="22"/>
        </w:rPr>
        <w:t>76</w:t>
      </w:r>
      <w:r w:rsidR="00A70D44">
        <w:rPr>
          <w:rFonts w:ascii="Times New Roman" w:hAnsi="Times New Roman"/>
          <w:szCs w:val="22"/>
        </w:rPr>
        <w:t> </w:t>
      </w:r>
      <w:r w:rsidR="00193A71" w:rsidRPr="0085799C">
        <w:rPr>
          <w:rFonts w:ascii="Times New Roman" w:hAnsi="Times New Roman"/>
          <w:szCs w:val="22"/>
        </w:rPr>
        <w:t>175</w:t>
      </w:r>
      <w:r w:rsidR="00647542" w:rsidRPr="007558D2">
        <w:rPr>
          <w:rFonts w:ascii="Times New Roman" w:hAnsi="Times New Roman"/>
          <w:szCs w:val="22"/>
        </w:rPr>
        <w:t> tis. eur). V</w:t>
      </w:r>
      <w:r w:rsidR="00A70D44">
        <w:rPr>
          <w:rFonts w:ascii="Times New Roman" w:hAnsi="Times New Roman"/>
          <w:szCs w:val="22"/>
        </w:rPr>
        <w:t xml:space="preserve"> </w:t>
      </w:r>
      <w:r w:rsidR="00647542" w:rsidRPr="007558D2">
        <w:rPr>
          <w:rFonts w:ascii="Times New Roman" w:hAnsi="Times New Roman"/>
          <w:szCs w:val="22"/>
        </w:rPr>
        <w:t xml:space="preserve">prípade štátnych obchodných spoločností a štátnych podnikov ide o tržby z ich podnikateľských aktivít, napríklad výnosy Tipos-u sú z predaných žrebov a lotérií, výnosy Národnej diaľničnej spoločnosti, a.s. </w:t>
      </w:r>
      <w:r w:rsidR="00647542" w:rsidRPr="0085799C">
        <w:rPr>
          <w:rFonts w:ascii="Times New Roman" w:hAnsi="Times New Roman"/>
          <w:szCs w:val="22"/>
        </w:rPr>
        <w:t>pochádzajú z predaja diaľni</w:t>
      </w:r>
      <w:r w:rsidR="00901079" w:rsidRPr="0085799C">
        <w:rPr>
          <w:rFonts w:ascii="Times New Roman" w:hAnsi="Times New Roman"/>
          <w:szCs w:val="22"/>
        </w:rPr>
        <w:t>čn</w:t>
      </w:r>
      <w:r w:rsidR="00647542" w:rsidRPr="0085799C">
        <w:rPr>
          <w:rFonts w:ascii="Times New Roman" w:hAnsi="Times New Roman"/>
          <w:szCs w:val="22"/>
        </w:rPr>
        <w:t>ých známok a z výberu elektronického mýta, výnosy železničných spoločností pochádzajú z prepravných výkonov tovarov a osôb.</w:t>
      </w:r>
    </w:p>
    <w:p w14:paraId="1316A564" w14:textId="4B879FF5" w:rsidR="0012104C" w:rsidRPr="00D3023D" w:rsidRDefault="00647542" w:rsidP="0085799C">
      <w:pPr>
        <w:spacing w:after="120" w:line="240" w:lineRule="auto"/>
        <w:jc w:val="both"/>
        <w:rPr>
          <w:szCs w:val="22"/>
        </w:rPr>
      </w:pPr>
      <w:r w:rsidRPr="0085799C">
        <w:rPr>
          <w:rFonts w:ascii="Times New Roman" w:hAnsi="Times New Roman"/>
          <w:szCs w:val="22"/>
        </w:rPr>
        <w:t>Výnosy za predané služby v územnej samospráve dosiahli spolu 1</w:t>
      </w:r>
      <w:r w:rsidR="007E17ED">
        <w:rPr>
          <w:rFonts w:ascii="Times New Roman" w:hAnsi="Times New Roman"/>
          <w:szCs w:val="22"/>
        </w:rPr>
        <w:t> </w:t>
      </w:r>
      <w:r w:rsidR="002704BF" w:rsidRPr="0085799C">
        <w:rPr>
          <w:rFonts w:ascii="Times New Roman" w:hAnsi="Times New Roman"/>
          <w:szCs w:val="22"/>
        </w:rPr>
        <w:t>319</w:t>
      </w:r>
      <w:r w:rsidR="007E17ED">
        <w:rPr>
          <w:rFonts w:ascii="Times New Roman" w:hAnsi="Times New Roman"/>
          <w:szCs w:val="22"/>
        </w:rPr>
        <w:t> </w:t>
      </w:r>
      <w:r w:rsidR="002704BF" w:rsidRPr="0085799C">
        <w:rPr>
          <w:rFonts w:ascii="Times New Roman" w:hAnsi="Times New Roman"/>
          <w:szCs w:val="22"/>
        </w:rPr>
        <w:t>395</w:t>
      </w:r>
      <w:r w:rsidRPr="0085799C">
        <w:rPr>
          <w:rFonts w:ascii="Times New Roman" w:hAnsi="Times New Roman"/>
          <w:szCs w:val="22"/>
        </w:rPr>
        <w:t> tis. eur, z</w:t>
      </w:r>
      <w:r w:rsidR="007E17ED">
        <w:rPr>
          <w:rFonts w:ascii="Times New Roman" w:hAnsi="Times New Roman"/>
          <w:szCs w:val="22"/>
        </w:rPr>
        <w:t xml:space="preserve"> </w:t>
      </w:r>
      <w:r w:rsidRPr="0085799C">
        <w:rPr>
          <w:rFonts w:ascii="Times New Roman" w:hAnsi="Times New Roman"/>
          <w:szCs w:val="22"/>
        </w:rPr>
        <w:t xml:space="preserve">toho v konsolidovaných celkoch obcí </w:t>
      </w:r>
      <w:r w:rsidR="002704BF" w:rsidRPr="0085799C">
        <w:rPr>
          <w:rFonts w:ascii="Times New Roman" w:hAnsi="Times New Roman"/>
          <w:szCs w:val="22"/>
        </w:rPr>
        <w:t>865</w:t>
      </w:r>
      <w:r w:rsidR="00A70D44">
        <w:rPr>
          <w:rFonts w:ascii="Times New Roman" w:hAnsi="Times New Roman"/>
          <w:szCs w:val="22"/>
        </w:rPr>
        <w:t> </w:t>
      </w:r>
      <w:r w:rsidR="002704BF" w:rsidRPr="0085799C">
        <w:rPr>
          <w:rFonts w:ascii="Times New Roman" w:hAnsi="Times New Roman"/>
          <w:szCs w:val="22"/>
        </w:rPr>
        <w:t>433</w:t>
      </w:r>
      <w:r w:rsidRPr="0085799C">
        <w:rPr>
          <w:rFonts w:ascii="Times New Roman" w:hAnsi="Times New Roman"/>
          <w:szCs w:val="22"/>
        </w:rPr>
        <w:t> tis.</w:t>
      </w:r>
      <w:r w:rsidR="00A70D44">
        <w:rPr>
          <w:rFonts w:ascii="Times New Roman" w:hAnsi="Times New Roman"/>
          <w:szCs w:val="22"/>
        </w:rPr>
        <w:t> </w:t>
      </w:r>
      <w:r w:rsidRPr="0085799C">
        <w:rPr>
          <w:rFonts w:ascii="Times New Roman" w:hAnsi="Times New Roman"/>
          <w:szCs w:val="22"/>
        </w:rPr>
        <w:t>eur a konsolidovaných celkoch V</w:t>
      </w:r>
      <w:r w:rsidR="00454828" w:rsidRPr="0085799C">
        <w:rPr>
          <w:rFonts w:ascii="Times New Roman" w:hAnsi="Times New Roman"/>
          <w:szCs w:val="22"/>
        </w:rPr>
        <w:t>Ú</w:t>
      </w:r>
      <w:r w:rsidRPr="0085799C">
        <w:rPr>
          <w:rFonts w:ascii="Times New Roman" w:hAnsi="Times New Roman"/>
          <w:szCs w:val="22"/>
        </w:rPr>
        <w:t xml:space="preserve">C </w:t>
      </w:r>
      <w:r w:rsidR="002704BF" w:rsidRPr="0085799C">
        <w:rPr>
          <w:rFonts w:ascii="Times New Roman" w:hAnsi="Times New Roman"/>
          <w:szCs w:val="22"/>
        </w:rPr>
        <w:t>453</w:t>
      </w:r>
      <w:r w:rsidR="00A70D44">
        <w:rPr>
          <w:rFonts w:ascii="Times New Roman" w:hAnsi="Times New Roman"/>
          <w:szCs w:val="22"/>
        </w:rPr>
        <w:t> </w:t>
      </w:r>
      <w:r w:rsidR="002704BF" w:rsidRPr="0085799C">
        <w:rPr>
          <w:rFonts w:ascii="Times New Roman" w:hAnsi="Times New Roman"/>
          <w:szCs w:val="22"/>
        </w:rPr>
        <w:t>962</w:t>
      </w:r>
      <w:r w:rsidR="00A70D44">
        <w:rPr>
          <w:rFonts w:ascii="Times New Roman" w:hAnsi="Times New Roman"/>
          <w:szCs w:val="22"/>
        </w:rPr>
        <w:t> </w:t>
      </w:r>
      <w:r w:rsidRPr="0085799C">
        <w:rPr>
          <w:rFonts w:ascii="Times New Roman" w:hAnsi="Times New Roman"/>
          <w:szCs w:val="22"/>
        </w:rPr>
        <w:t>tis. eur. Rovnako ako v ústrednej správe, výnosy samosprávy sú ovplyvnené hospodárením obchodných spoločností, napríklad dopravných podnikov, teplárenských a vodárenských spoločností.</w:t>
      </w:r>
    </w:p>
    <w:p w14:paraId="211EBD11" w14:textId="77777777" w:rsidR="00D47CD6" w:rsidRPr="00FB70AF" w:rsidRDefault="00D47CD6" w:rsidP="00FB70AF">
      <w:pPr>
        <w:spacing w:after="120" w:line="240" w:lineRule="auto"/>
        <w:jc w:val="both"/>
        <w:rPr>
          <w:rFonts w:ascii="Times New Roman" w:hAnsi="Times New Roman"/>
          <w:szCs w:val="22"/>
          <w:lang w:eastAsia="sk-SK"/>
        </w:rPr>
      </w:pPr>
    </w:p>
    <w:p w14:paraId="3973A141" w14:textId="26BF3630" w:rsidR="0012104C" w:rsidRPr="0085799C" w:rsidRDefault="0012104C" w:rsidP="0085799C">
      <w:pPr>
        <w:pStyle w:val="Nadpis4"/>
        <w:numPr>
          <w:ilvl w:val="0"/>
          <w:numId w:val="54"/>
        </w:numPr>
        <w:ind w:left="426" w:hanging="426"/>
        <w:rPr>
          <w:b w:val="0"/>
          <w:lang w:eastAsia="sk-SK"/>
        </w:rPr>
      </w:pPr>
      <w:bookmarkStart w:id="68" w:name="_Výrobky_1"/>
      <w:bookmarkEnd w:id="68"/>
      <w:r>
        <w:rPr>
          <w:lang w:eastAsia="sk-SK"/>
        </w:rPr>
        <w:t>Výrobky</w:t>
      </w:r>
    </w:p>
    <w:p w14:paraId="40E41799" w14:textId="7A589AAD" w:rsidR="00C1107E" w:rsidRPr="00FB70AF" w:rsidRDefault="00647542" w:rsidP="00FB70AF">
      <w:pPr>
        <w:spacing w:after="120" w:line="240" w:lineRule="auto"/>
        <w:jc w:val="both"/>
        <w:rPr>
          <w:rFonts w:ascii="Times New Roman" w:hAnsi="Times New Roman"/>
          <w:color w:val="000000" w:themeColor="text1"/>
          <w:szCs w:val="22"/>
          <w:lang w:eastAsia="sk-SK"/>
        </w:rPr>
      </w:pPr>
      <w:bookmarkStart w:id="69" w:name="_Ref86186386"/>
      <w:r w:rsidRPr="0085799C">
        <w:rPr>
          <w:rFonts w:ascii="Times New Roman" w:hAnsi="Times New Roman"/>
          <w:szCs w:val="22"/>
        </w:rPr>
        <w:t xml:space="preserve">Tržby za vlastné výrobky dosiahli </w:t>
      </w:r>
      <w:r w:rsidR="00392DFB" w:rsidRPr="00A7107D">
        <w:rPr>
          <w:rFonts w:ascii="Times New Roman" w:hAnsi="Times New Roman"/>
          <w:bCs/>
          <w:szCs w:val="22"/>
        </w:rPr>
        <w:t>3</w:t>
      </w:r>
      <w:r w:rsidR="007E17ED" w:rsidRPr="00A7107D">
        <w:rPr>
          <w:rFonts w:ascii="Times New Roman" w:hAnsi="Times New Roman"/>
          <w:bCs/>
          <w:szCs w:val="22"/>
        </w:rPr>
        <w:t> </w:t>
      </w:r>
      <w:r w:rsidR="00392DFB" w:rsidRPr="00A7107D">
        <w:rPr>
          <w:rFonts w:ascii="Times New Roman" w:hAnsi="Times New Roman"/>
          <w:bCs/>
          <w:szCs w:val="22"/>
        </w:rPr>
        <w:t>503</w:t>
      </w:r>
      <w:r w:rsidR="007E17ED" w:rsidRPr="00A7107D">
        <w:rPr>
          <w:rFonts w:ascii="Times New Roman" w:hAnsi="Times New Roman"/>
          <w:bCs/>
          <w:szCs w:val="22"/>
        </w:rPr>
        <w:t> </w:t>
      </w:r>
      <w:r w:rsidR="00392DFB" w:rsidRPr="00A7107D">
        <w:rPr>
          <w:rFonts w:ascii="Times New Roman" w:hAnsi="Times New Roman"/>
          <w:bCs/>
          <w:szCs w:val="22"/>
        </w:rPr>
        <w:t>151</w:t>
      </w:r>
      <w:r w:rsidRPr="00D6641A">
        <w:rPr>
          <w:rFonts w:ascii="Times New Roman" w:hAnsi="Times New Roman"/>
          <w:bCs/>
          <w:szCs w:val="22"/>
        </w:rPr>
        <w:t xml:space="preserve"> tis. eur a medziročne boli </w:t>
      </w:r>
      <w:r w:rsidR="00392DFB" w:rsidRPr="00A7107D">
        <w:rPr>
          <w:rFonts w:ascii="Times New Roman" w:hAnsi="Times New Roman"/>
          <w:bCs/>
          <w:szCs w:val="22"/>
        </w:rPr>
        <w:t xml:space="preserve">nižšie o 1 231 787 </w:t>
      </w:r>
      <w:r w:rsidRPr="00D6641A">
        <w:rPr>
          <w:rFonts w:ascii="Times New Roman" w:hAnsi="Times New Roman"/>
          <w:bCs/>
          <w:szCs w:val="22"/>
        </w:rPr>
        <w:t>tis</w:t>
      </w:r>
      <w:r w:rsidRPr="0085799C">
        <w:rPr>
          <w:rFonts w:ascii="Times New Roman" w:hAnsi="Times New Roman"/>
          <w:szCs w:val="22"/>
        </w:rPr>
        <w:t>. eur. Významnú hodnotu týchto tržieb</w:t>
      </w:r>
      <w:r w:rsidR="00563377" w:rsidRPr="0085799C">
        <w:rPr>
          <w:rFonts w:ascii="Times New Roman" w:hAnsi="Times New Roman"/>
          <w:b/>
          <w:szCs w:val="22"/>
        </w:rPr>
        <w:t>,</w:t>
      </w:r>
      <w:r w:rsidRPr="0085799C">
        <w:rPr>
          <w:rFonts w:ascii="Times New Roman" w:hAnsi="Times New Roman"/>
          <w:szCs w:val="22"/>
        </w:rPr>
        <w:t xml:space="preserve"> ako aj </w:t>
      </w:r>
      <w:r w:rsidR="00392DFB" w:rsidRPr="0085799C">
        <w:rPr>
          <w:rFonts w:ascii="Times New Roman" w:hAnsi="Times New Roman"/>
          <w:szCs w:val="22"/>
        </w:rPr>
        <w:t>medziročnú zmenu</w:t>
      </w:r>
      <w:r w:rsidRPr="0085799C">
        <w:rPr>
          <w:rFonts w:ascii="Times New Roman" w:hAnsi="Times New Roman"/>
          <w:szCs w:val="22"/>
        </w:rPr>
        <w:t xml:space="preserve"> tvorí spoločnosť S</w:t>
      </w:r>
      <w:r w:rsidR="0094232B">
        <w:rPr>
          <w:rFonts w:ascii="Times New Roman" w:hAnsi="Times New Roman"/>
          <w:szCs w:val="22"/>
        </w:rPr>
        <w:t>lovenský plynárenský priemysel</w:t>
      </w:r>
      <w:r w:rsidRPr="0085799C">
        <w:rPr>
          <w:rFonts w:ascii="Times New Roman" w:hAnsi="Times New Roman"/>
          <w:szCs w:val="22"/>
        </w:rPr>
        <w:t xml:space="preserve">, a.s. </w:t>
      </w:r>
      <w:r w:rsidR="00971EAF" w:rsidRPr="0085799C">
        <w:rPr>
          <w:rFonts w:ascii="Times New Roman" w:hAnsi="Times New Roman"/>
          <w:szCs w:val="22"/>
        </w:rPr>
        <w:t>vo výške</w:t>
      </w:r>
      <w:r w:rsidR="0094232B">
        <w:rPr>
          <w:rFonts w:ascii="Times New Roman" w:hAnsi="Times New Roman"/>
          <w:szCs w:val="22"/>
        </w:rPr>
        <w:t xml:space="preserve"> -</w:t>
      </w:r>
      <w:r w:rsidR="00190BD8" w:rsidRPr="0085799C">
        <w:rPr>
          <w:rFonts w:ascii="Times New Roman" w:hAnsi="Times New Roman"/>
          <w:szCs w:val="22"/>
        </w:rPr>
        <w:t>2 528 673</w:t>
      </w:r>
      <w:r w:rsidRPr="0085799C">
        <w:rPr>
          <w:rFonts w:ascii="Times New Roman" w:hAnsi="Times New Roman"/>
          <w:szCs w:val="22"/>
        </w:rPr>
        <w:t xml:space="preserve"> tis. eur </w:t>
      </w:r>
      <w:r w:rsidR="00CA043D" w:rsidRPr="0085799C">
        <w:rPr>
          <w:rFonts w:ascii="Times New Roman" w:hAnsi="Times New Roman"/>
          <w:szCs w:val="22"/>
        </w:rPr>
        <w:t>s medziročným znížením 1 146</w:t>
      </w:r>
      <w:r w:rsidR="00971EAF" w:rsidRPr="0085799C">
        <w:rPr>
          <w:rFonts w:ascii="Times New Roman" w:hAnsi="Times New Roman"/>
          <w:szCs w:val="22"/>
        </w:rPr>
        <w:t xml:space="preserve"> 482</w:t>
      </w:r>
      <w:r w:rsidRPr="0085799C">
        <w:rPr>
          <w:rFonts w:ascii="Times New Roman" w:hAnsi="Times New Roman"/>
          <w:szCs w:val="22"/>
        </w:rPr>
        <w:t> tis.</w:t>
      </w:r>
      <w:r w:rsidR="00CA043D" w:rsidRPr="0085799C">
        <w:rPr>
          <w:rFonts w:ascii="Times New Roman" w:hAnsi="Times New Roman"/>
          <w:szCs w:val="22"/>
        </w:rPr>
        <w:t> eur</w:t>
      </w:r>
      <w:r w:rsidR="00CA043D" w:rsidRPr="00FB70AF">
        <w:rPr>
          <w:rFonts w:ascii="Times New Roman" w:hAnsi="Times New Roman"/>
          <w:color w:val="000000" w:themeColor="text1"/>
          <w:szCs w:val="22"/>
          <w:lang w:eastAsia="sk-SK"/>
        </w:rPr>
        <w:t xml:space="preserve">. Dôvodom </w:t>
      </w:r>
      <w:r w:rsidR="00971EAF" w:rsidRPr="0085799C">
        <w:rPr>
          <w:rFonts w:ascii="Times New Roman" w:hAnsi="Times New Roman"/>
          <w:color w:val="000000" w:themeColor="text1"/>
          <w:szCs w:val="22"/>
        </w:rPr>
        <w:t xml:space="preserve">medziročnej zmeny </w:t>
      </w:r>
      <w:r w:rsidR="00CA043D" w:rsidRPr="00FB70AF">
        <w:rPr>
          <w:rFonts w:ascii="Times New Roman" w:hAnsi="Times New Roman"/>
          <w:color w:val="000000" w:themeColor="text1"/>
          <w:szCs w:val="22"/>
          <w:lang w:eastAsia="sk-SK"/>
        </w:rPr>
        <w:t>bol najmä pokles cien zemného plynu, čo sa odrazilo na nižších tržbách z komoditných trhov v kombinácii s nižšími objemami. Na domácom trhu taktiež mierne poklesli tržby kvôli nižším cenám ako v roku 2023.</w:t>
      </w:r>
      <w:r w:rsidR="00563377" w:rsidRPr="0085799C">
        <w:rPr>
          <w:rFonts w:ascii="Times New Roman" w:hAnsi="Times New Roman"/>
          <w:color w:val="000000" w:themeColor="text1"/>
        </w:rPr>
        <w:t xml:space="preserve"> </w:t>
      </w:r>
      <w:r w:rsidR="00C1107E" w:rsidRPr="0085799C">
        <w:rPr>
          <w:rFonts w:ascii="Times New Roman" w:hAnsi="Times New Roman"/>
          <w:color w:val="000000" w:themeColor="text1"/>
        </w:rPr>
        <w:t xml:space="preserve">Ďalšou účtovnou jednotkou s významným podielom na tržbách za predaj výrobkov sú </w:t>
      </w:r>
      <w:r w:rsidR="00C1107E" w:rsidRPr="0085799C">
        <w:rPr>
          <w:rFonts w:ascii="Times New Roman" w:hAnsi="Times New Roman"/>
          <w:color w:val="000000" w:themeColor="text1"/>
          <w:u w:val="single"/>
          <w:lang w:eastAsia="sk-SK"/>
        </w:rPr>
        <w:t>L</w:t>
      </w:r>
      <w:r w:rsidR="00175C8F" w:rsidRPr="00FB70AF">
        <w:rPr>
          <w:rFonts w:ascii="Times New Roman" w:hAnsi="Times New Roman"/>
          <w:bCs/>
          <w:color w:val="000000" w:themeColor="text1"/>
          <w:szCs w:val="22"/>
          <w:u w:val="single"/>
          <w:lang w:eastAsia="sk-SK"/>
        </w:rPr>
        <w:t>ESY</w:t>
      </w:r>
      <w:r w:rsidR="00C1107E" w:rsidRPr="0085799C">
        <w:rPr>
          <w:rFonts w:ascii="Times New Roman" w:hAnsi="Times New Roman"/>
          <w:color w:val="000000" w:themeColor="text1"/>
          <w:u w:val="single"/>
          <w:lang w:eastAsia="sk-SK"/>
        </w:rPr>
        <w:t xml:space="preserve"> Slovenskej republiky, š</w:t>
      </w:r>
      <w:r w:rsidR="00264165" w:rsidRPr="00FB70AF">
        <w:rPr>
          <w:rFonts w:ascii="Times New Roman" w:hAnsi="Times New Roman"/>
          <w:bCs/>
          <w:color w:val="000000" w:themeColor="text1"/>
          <w:szCs w:val="22"/>
          <w:u w:val="single"/>
          <w:lang w:eastAsia="sk-SK"/>
        </w:rPr>
        <w:t>tátny podnik</w:t>
      </w:r>
      <w:r w:rsidR="00C1107E" w:rsidRPr="0085799C">
        <w:rPr>
          <w:rFonts w:ascii="Times New Roman" w:hAnsi="Times New Roman"/>
          <w:color w:val="000000" w:themeColor="text1"/>
          <w:u w:val="single"/>
          <w:lang w:eastAsia="sk-SK"/>
        </w:rPr>
        <w:t>,</w:t>
      </w:r>
      <w:r w:rsidR="00C1107E" w:rsidRPr="0085799C">
        <w:rPr>
          <w:rFonts w:ascii="Times New Roman" w:hAnsi="Times New Roman"/>
          <w:color w:val="000000" w:themeColor="text1"/>
          <w:lang w:eastAsia="sk-SK"/>
        </w:rPr>
        <w:t xml:space="preserve"> ktoré </w:t>
      </w:r>
      <w:r w:rsidR="00C1107E" w:rsidRPr="00FB70AF">
        <w:rPr>
          <w:rFonts w:ascii="Times New Roman" w:hAnsi="Times New Roman"/>
          <w:bCs/>
          <w:color w:val="000000" w:themeColor="text1"/>
          <w:szCs w:val="22"/>
          <w:lang w:eastAsia="sk-SK"/>
        </w:rPr>
        <w:t>vykázali</w:t>
      </w:r>
      <w:r w:rsidR="00C1107E" w:rsidRPr="00FB70AF">
        <w:rPr>
          <w:rFonts w:ascii="Times New Roman" w:hAnsi="Times New Roman"/>
          <w:color w:val="000000" w:themeColor="text1"/>
          <w:szCs w:val="22"/>
          <w:lang w:eastAsia="sk-SK"/>
        </w:rPr>
        <w:t xml:space="preserve"> tržby v sume 308 085 tis. eur s medziročným zvýšením o 36 096 tis. eur, ktoré bolo ovplyvnené navýšením ťažby dreva o 1 169 784 m³. Tržby z predaja dreva predstavujú 98 % všetkých tržieb štátneho podniku za vlastné výrobky.</w:t>
      </w:r>
    </w:p>
    <w:p w14:paraId="096A22B9" w14:textId="0F26D6BB" w:rsidR="00C1107E" w:rsidRPr="00FB70AF" w:rsidRDefault="00C1107E" w:rsidP="00FB70AF">
      <w:pPr>
        <w:spacing w:after="120" w:line="240" w:lineRule="auto"/>
        <w:jc w:val="both"/>
        <w:rPr>
          <w:rFonts w:ascii="Times New Roman" w:hAnsi="Times New Roman"/>
          <w:color w:val="000000" w:themeColor="text1"/>
          <w:szCs w:val="22"/>
        </w:rPr>
      </w:pPr>
      <w:r w:rsidRPr="0085799C">
        <w:rPr>
          <w:rFonts w:ascii="Times New Roman" w:hAnsi="Times New Roman"/>
          <w:color w:val="000000" w:themeColor="text1"/>
          <w:u w:val="single"/>
          <w:lang w:eastAsia="sk-SK"/>
        </w:rPr>
        <w:t xml:space="preserve">Vodohospodárska výstavba, </w:t>
      </w:r>
      <w:proofErr w:type="spellStart"/>
      <w:r w:rsidRPr="0085799C">
        <w:rPr>
          <w:rFonts w:ascii="Times New Roman" w:hAnsi="Times New Roman"/>
          <w:color w:val="000000" w:themeColor="text1"/>
          <w:u w:val="single"/>
          <w:lang w:eastAsia="sk-SK"/>
        </w:rPr>
        <w:t>š.p</w:t>
      </w:r>
      <w:proofErr w:type="spellEnd"/>
      <w:r w:rsidRPr="0085799C">
        <w:rPr>
          <w:rFonts w:ascii="Times New Roman" w:hAnsi="Times New Roman"/>
          <w:color w:val="000000" w:themeColor="text1"/>
          <w:u w:val="single"/>
          <w:lang w:eastAsia="sk-SK"/>
        </w:rPr>
        <w:t>.</w:t>
      </w:r>
      <w:r w:rsidRPr="00FB70AF">
        <w:rPr>
          <w:rFonts w:ascii="Times New Roman" w:hAnsi="Times New Roman"/>
          <w:b/>
          <w:i/>
          <w:color w:val="000000" w:themeColor="text1"/>
          <w:szCs w:val="22"/>
          <w:lang w:eastAsia="sk-SK"/>
        </w:rPr>
        <w:t xml:space="preserve"> </w:t>
      </w:r>
      <w:r w:rsidRPr="00FB70AF">
        <w:rPr>
          <w:rFonts w:ascii="Times New Roman" w:hAnsi="Times New Roman"/>
          <w:color w:val="000000" w:themeColor="text1"/>
          <w:szCs w:val="22"/>
          <w:lang w:eastAsia="sk-SK"/>
        </w:rPr>
        <w:t>vykázala sumu 234 263 </w:t>
      </w:r>
      <w:r w:rsidR="009A1CBF" w:rsidRPr="00FB70AF">
        <w:rPr>
          <w:rFonts w:ascii="Times New Roman" w:hAnsi="Times New Roman"/>
          <w:color w:val="000000" w:themeColor="text1"/>
          <w:szCs w:val="22"/>
          <w:lang w:eastAsia="sk-SK"/>
        </w:rPr>
        <w:t>tis.</w:t>
      </w:r>
      <w:r w:rsidRPr="00FB70AF">
        <w:rPr>
          <w:rFonts w:ascii="Times New Roman" w:hAnsi="Times New Roman"/>
          <w:color w:val="000000" w:themeColor="text1"/>
          <w:szCs w:val="22"/>
          <w:lang w:eastAsia="sk-SK"/>
        </w:rPr>
        <w:t> eur s poklesom o</w:t>
      </w:r>
      <w:r w:rsidR="007E17ED">
        <w:rPr>
          <w:rFonts w:ascii="Times New Roman" w:hAnsi="Times New Roman"/>
          <w:color w:val="000000" w:themeColor="text1"/>
          <w:szCs w:val="22"/>
          <w:lang w:eastAsia="sk-SK"/>
        </w:rPr>
        <w:t xml:space="preserve"> </w:t>
      </w:r>
      <w:r w:rsidRPr="00FB70AF">
        <w:rPr>
          <w:rFonts w:ascii="Times New Roman" w:hAnsi="Times New Roman"/>
          <w:color w:val="000000" w:themeColor="text1"/>
          <w:szCs w:val="22"/>
          <w:lang w:eastAsia="sk-SK"/>
        </w:rPr>
        <w:t>100 660 </w:t>
      </w:r>
      <w:r w:rsidR="009A1CBF" w:rsidRPr="00FB70AF">
        <w:rPr>
          <w:rFonts w:ascii="Times New Roman" w:hAnsi="Times New Roman"/>
          <w:color w:val="000000" w:themeColor="text1"/>
          <w:szCs w:val="22"/>
          <w:lang w:eastAsia="sk-SK"/>
        </w:rPr>
        <w:t>tis.</w:t>
      </w:r>
      <w:r w:rsidRPr="00FB70AF">
        <w:rPr>
          <w:rFonts w:ascii="Times New Roman" w:hAnsi="Times New Roman"/>
          <w:color w:val="000000" w:themeColor="text1"/>
          <w:szCs w:val="22"/>
          <w:lang w:eastAsia="sk-SK"/>
        </w:rPr>
        <w:t xml:space="preserve"> eur. </w:t>
      </w:r>
      <w:r w:rsidRPr="00FB70AF">
        <w:rPr>
          <w:rFonts w:ascii="Times New Roman" w:hAnsi="Times New Roman"/>
          <w:color w:val="000000" w:themeColor="text1"/>
          <w:szCs w:val="22"/>
        </w:rPr>
        <w:t>Išlo o tržby z výroby a predaja elektriny z vodných elektrární VD Gabčíkovo a VD Žilina, pričom prevažná časť odbytu bola realizovaná na území Slovenskej republiky. Napriek hydrologicky nadpriemernému roku došlo v roku 2024 k poklesu tržieb za predaj elektriny najmä z dôvodu poklesu priemernej ceny silovej elektriny ako pri dlhodobých, tak aj krátkodobých kontraktoch v porovnaní s  rokom 2023.</w:t>
      </w:r>
    </w:p>
    <w:p w14:paraId="725F0F0A" w14:textId="77777777" w:rsidR="00EF63B8" w:rsidRPr="00FB70AF" w:rsidRDefault="00EF63B8" w:rsidP="00FB70AF">
      <w:pPr>
        <w:spacing w:after="120" w:line="240" w:lineRule="auto"/>
        <w:jc w:val="both"/>
        <w:rPr>
          <w:rFonts w:ascii="Times New Roman" w:hAnsi="Times New Roman"/>
          <w:color w:val="000000" w:themeColor="text1"/>
          <w:szCs w:val="22"/>
        </w:rPr>
      </w:pPr>
    </w:p>
    <w:p w14:paraId="0F745033" w14:textId="6FD3CCD0" w:rsidR="00EF63B8" w:rsidRDefault="00EF63B8" w:rsidP="0085799C">
      <w:pPr>
        <w:pStyle w:val="Nadpis4"/>
        <w:numPr>
          <w:ilvl w:val="0"/>
          <w:numId w:val="54"/>
        </w:numPr>
        <w:ind w:left="426" w:hanging="426"/>
      </w:pPr>
      <w:bookmarkStart w:id="70" w:name="_Tovar_1"/>
      <w:bookmarkEnd w:id="70"/>
      <w:r>
        <w:t>Tovar</w:t>
      </w:r>
    </w:p>
    <w:p w14:paraId="6FDAD89A" w14:textId="3432D77C" w:rsidR="00797D85" w:rsidRPr="00FB70AF" w:rsidRDefault="00647542" w:rsidP="00FB70AF">
      <w:pPr>
        <w:spacing w:after="120" w:line="240" w:lineRule="auto"/>
        <w:jc w:val="both"/>
        <w:rPr>
          <w:rFonts w:ascii="Times New Roman" w:hAnsi="Times New Roman"/>
          <w:iCs/>
          <w:szCs w:val="22"/>
        </w:rPr>
      </w:pPr>
      <w:bookmarkStart w:id="71" w:name="_Ref86186395"/>
      <w:bookmarkEnd w:id="69"/>
      <w:r w:rsidRPr="00FB70AF">
        <w:rPr>
          <w:rFonts w:ascii="Times New Roman" w:hAnsi="Times New Roman"/>
          <w:szCs w:val="22"/>
          <w:lang w:eastAsia="sk-SK"/>
        </w:rPr>
        <w:t>Tržby za tovar dosiahli 4</w:t>
      </w:r>
      <w:r w:rsidR="007E17ED">
        <w:rPr>
          <w:rFonts w:ascii="Times New Roman" w:hAnsi="Times New Roman"/>
          <w:szCs w:val="22"/>
          <w:lang w:eastAsia="sk-SK"/>
        </w:rPr>
        <w:t> </w:t>
      </w:r>
      <w:r w:rsidR="00ED4251" w:rsidRPr="0085799C">
        <w:rPr>
          <w:rFonts w:ascii="Times New Roman" w:hAnsi="Times New Roman"/>
          <w:szCs w:val="22"/>
          <w:lang w:eastAsia="sk-SK"/>
        </w:rPr>
        <w:t>368</w:t>
      </w:r>
      <w:r w:rsidR="007E17ED">
        <w:rPr>
          <w:rFonts w:ascii="Times New Roman" w:hAnsi="Times New Roman"/>
          <w:szCs w:val="22"/>
          <w:lang w:eastAsia="sk-SK"/>
        </w:rPr>
        <w:t> </w:t>
      </w:r>
      <w:r w:rsidR="00ED4251" w:rsidRPr="0085799C">
        <w:rPr>
          <w:rFonts w:ascii="Times New Roman" w:hAnsi="Times New Roman"/>
          <w:szCs w:val="22"/>
          <w:lang w:eastAsia="sk-SK"/>
        </w:rPr>
        <w:t>670</w:t>
      </w:r>
      <w:r w:rsidRPr="00FB70AF">
        <w:rPr>
          <w:rFonts w:ascii="Times New Roman" w:hAnsi="Times New Roman"/>
          <w:szCs w:val="22"/>
          <w:lang w:eastAsia="sk-SK"/>
        </w:rPr>
        <w:t xml:space="preserve"> tis. eur a medziročne boli </w:t>
      </w:r>
      <w:r w:rsidR="00EE657B" w:rsidRPr="0085799C">
        <w:rPr>
          <w:rFonts w:ascii="Times New Roman" w:hAnsi="Times New Roman"/>
          <w:szCs w:val="22"/>
          <w:lang w:eastAsia="sk-SK"/>
        </w:rPr>
        <w:t>vyššie</w:t>
      </w:r>
      <w:r w:rsidRPr="00FB70AF">
        <w:rPr>
          <w:rFonts w:ascii="Times New Roman" w:hAnsi="Times New Roman"/>
          <w:szCs w:val="22"/>
          <w:lang w:eastAsia="sk-SK"/>
        </w:rPr>
        <w:t xml:space="preserve"> o</w:t>
      </w:r>
      <w:r w:rsidR="007E17ED">
        <w:rPr>
          <w:rFonts w:ascii="Times New Roman" w:hAnsi="Times New Roman"/>
          <w:szCs w:val="22"/>
          <w:lang w:eastAsia="sk-SK"/>
        </w:rPr>
        <w:t> </w:t>
      </w:r>
      <w:r w:rsidRPr="00FB70AF">
        <w:rPr>
          <w:rFonts w:ascii="Times New Roman" w:hAnsi="Times New Roman"/>
          <w:szCs w:val="22"/>
          <w:lang w:eastAsia="sk-SK"/>
        </w:rPr>
        <w:t>2</w:t>
      </w:r>
      <w:r w:rsidR="00EE657B" w:rsidRPr="0085799C">
        <w:rPr>
          <w:rFonts w:ascii="Times New Roman" w:hAnsi="Times New Roman"/>
          <w:szCs w:val="22"/>
          <w:lang w:eastAsia="sk-SK"/>
        </w:rPr>
        <w:t>89</w:t>
      </w:r>
      <w:r w:rsidR="007E17ED">
        <w:rPr>
          <w:rFonts w:ascii="Times New Roman" w:hAnsi="Times New Roman"/>
          <w:szCs w:val="22"/>
          <w:lang w:eastAsia="sk-SK"/>
        </w:rPr>
        <w:t> </w:t>
      </w:r>
      <w:r w:rsidR="00EE657B" w:rsidRPr="0085799C">
        <w:rPr>
          <w:rFonts w:ascii="Times New Roman" w:hAnsi="Times New Roman"/>
          <w:szCs w:val="22"/>
          <w:lang w:eastAsia="sk-SK"/>
        </w:rPr>
        <w:t>990</w:t>
      </w:r>
      <w:r w:rsidRPr="00FB70AF">
        <w:rPr>
          <w:rFonts w:ascii="Times New Roman" w:hAnsi="Times New Roman"/>
          <w:szCs w:val="22"/>
          <w:lang w:eastAsia="sk-SK"/>
        </w:rPr>
        <w:t xml:space="preserve"> tis. eur. </w:t>
      </w:r>
      <w:r w:rsidR="00096CE2" w:rsidRPr="00FB70AF">
        <w:rPr>
          <w:rFonts w:ascii="Times New Roman" w:hAnsi="Times New Roman"/>
          <w:color w:val="000000" w:themeColor="text1"/>
          <w:szCs w:val="22"/>
          <w:lang w:eastAsia="sk-SK"/>
        </w:rPr>
        <w:t xml:space="preserve">z nich najvyššiu sumu vykázala </w:t>
      </w:r>
      <w:r w:rsidR="0076473A">
        <w:rPr>
          <w:rFonts w:ascii="Times New Roman" w:hAnsi="Times New Roman"/>
          <w:color w:val="000000" w:themeColor="text1"/>
          <w:u w:val="single"/>
          <w:lang w:eastAsia="sk-SK"/>
        </w:rPr>
        <w:t>S</w:t>
      </w:r>
      <w:r w:rsidR="0094232B">
        <w:rPr>
          <w:rFonts w:ascii="Times New Roman" w:hAnsi="Times New Roman"/>
          <w:color w:val="000000" w:themeColor="text1"/>
          <w:u w:val="single"/>
          <w:lang w:eastAsia="sk-SK"/>
        </w:rPr>
        <w:t>EPS</w:t>
      </w:r>
      <w:r w:rsidR="00096CE2" w:rsidRPr="0085799C">
        <w:rPr>
          <w:rFonts w:ascii="Times New Roman" w:hAnsi="Times New Roman"/>
          <w:color w:val="000000" w:themeColor="text1"/>
          <w:u w:val="single"/>
          <w:lang w:eastAsia="sk-SK"/>
        </w:rPr>
        <w:t>, a.s.</w:t>
      </w:r>
      <w:r w:rsidR="00096CE2" w:rsidRPr="00FB70AF">
        <w:rPr>
          <w:rFonts w:ascii="Times New Roman" w:hAnsi="Times New Roman"/>
          <w:color w:val="000000" w:themeColor="text1"/>
          <w:szCs w:val="22"/>
          <w:lang w:eastAsia="sk-SK"/>
        </w:rPr>
        <w:t xml:space="preserve"> vo výške 2 247 381</w:t>
      </w:r>
      <w:r w:rsidR="007E17ED">
        <w:rPr>
          <w:rFonts w:ascii="Times New Roman" w:hAnsi="Times New Roman"/>
          <w:color w:val="000000" w:themeColor="text1"/>
          <w:szCs w:val="22"/>
          <w:lang w:eastAsia="sk-SK"/>
        </w:rPr>
        <w:t> </w:t>
      </w:r>
      <w:r w:rsidR="00096CE2" w:rsidRPr="00FB70AF">
        <w:rPr>
          <w:rFonts w:ascii="Times New Roman" w:hAnsi="Times New Roman"/>
          <w:color w:val="000000" w:themeColor="text1"/>
          <w:szCs w:val="22"/>
          <w:lang w:eastAsia="sk-SK"/>
        </w:rPr>
        <w:t>tis.</w:t>
      </w:r>
      <w:r w:rsidR="007E17ED">
        <w:rPr>
          <w:rFonts w:ascii="Times New Roman" w:hAnsi="Times New Roman"/>
          <w:color w:val="000000" w:themeColor="text1"/>
          <w:szCs w:val="22"/>
          <w:lang w:eastAsia="sk-SK"/>
        </w:rPr>
        <w:t> </w:t>
      </w:r>
      <w:r w:rsidR="00096CE2" w:rsidRPr="00FB70AF">
        <w:rPr>
          <w:rFonts w:ascii="Times New Roman" w:hAnsi="Times New Roman"/>
          <w:color w:val="000000" w:themeColor="text1"/>
          <w:szCs w:val="22"/>
          <w:lang w:eastAsia="sk-SK"/>
        </w:rPr>
        <w:t xml:space="preserve">eur z predaja elektriny. </w:t>
      </w:r>
      <w:r w:rsidR="00096CE2" w:rsidRPr="0085799C">
        <w:rPr>
          <w:rFonts w:ascii="Times New Roman" w:hAnsi="Times New Roman"/>
          <w:color w:val="000000" w:themeColor="text1"/>
          <w:szCs w:val="22"/>
          <w:u w:val="single"/>
        </w:rPr>
        <w:t>Slovenský plynárenský priemysel, a.s.</w:t>
      </w:r>
      <w:r w:rsidR="00096CE2" w:rsidRPr="00FB70AF">
        <w:rPr>
          <w:rFonts w:ascii="Times New Roman" w:hAnsi="Times New Roman"/>
          <w:color w:val="000000" w:themeColor="text1"/>
          <w:szCs w:val="22"/>
          <w:lang w:eastAsia="sk-SK"/>
        </w:rPr>
        <w:t xml:space="preserve"> vykázal sumu</w:t>
      </w:r>
      <w:r w:rsidR="00096CE2" w:rsidRPr="00FB70AF">
        <w:rPr>
          <w:rFonts w:ascii="Times New Roman" w:hAnsi="Times New Roman"/>
          <w:b/>
          <w:i/>
          <w:color w:val="000000" w:themeColor="text1"/>
          <w:szCs w:val="22"/>
          <w:lang w:eastAsia="sk-SK"/>
        </w:rPr>
        <w:t xml:space="preserve"> </w:t>
      </w:r>
      <w:r w:rsidR="00096CE2" w:rsidRPr="00FB70AF">
        <w:rPr>
          <w:rFonts w:ascii="Times New Roman" w:hAnsi="Times New Roman"/>
          <w:color w:val="000000" w:themeColor="text1"/>
          <w:szCs w:val="22"/>
          <w:lang w:eastAsia="sk-SK"/>
        </w:rPr>
        <w:t>1 889 693 tis. eur z predaja plynu, elektrickej energie a výnosov z </w:t>
      </w:r>
      <w:proofErr w:type="spellStart"/>
      <w:r w:rsidR="00096CE2" w:rsidRPr="00FB70AF">
        <w:rPr>
          <w:rFonts w:ascii="Times New Roman" w:hAnsi="Times New Roman"/>
          <w:color w:val="000000" w:themeColor="text1"/>
          <w:szCs w:val="22"/>
          <w:lang w:eastAsia="sk-SK"/>
        </w:rPr>
        <w:t>tradingových</w:t>
      </w:r>
      <w:proofErr w:type="spellEnd"/>
      <w:r w:rsidR="00096CE2" w:rsidRPr="00FB70AF">
        <w:rPr>
          <w:rFonts w:ascii="Times New Roman" w:hAnsi="Times New Roman"/>
          <w:color w:val="000000" w:themeColor="text1"/>
          <w:szCs w:val="22"/>
          <w:lang w:eastAsia="sk-SK"/>
        </w:rPr>
        <w:t xml:space="preserve"> obchodov pri najvyššom medziročnom zvýšení o</w:t>
      </w:r>
      <w:r w:rsidR="00096CE2" w:rsidRPr="00FB70AF">
        <w:rPr>
          <w:rFonts w:ascii="Times New Roman" w:hAnsi="Times New Roman"/>
          <w:color w:val="00B050"/>
          <w:szCs w:val="22"/>
          <w:lang w:eastAsia="sk-SK"/>
        </w:rPr>
        <w:t> </w:t>
      </w:r>
      <w:r w:rsidR="00096CE2" w:rsidRPr="00FB70AF">
        <w:rPr>
          <w:rFonts w:ascii="Times New Roman" w:hAnsi="Times New Roman"/>
          <w:color w:val="000000" w:themeColor="text1"/>
          <w:szCs w:val="22"/>
          <w:lang w:eastAsia="sk-SK"/>
        </w:rPr>
        <w:t xml:space="preserve">270 933 tis. eur v rámci tržieb za tovar. Toto zvýšenie bolo spôsobené vyšším objemom </w:t>
      </w:r>
      <w:proofErr w:type="spellStart"/>
      <w:r w:rsidR="00096CE2" w:rsidRPr="00FB70AF">
        <w:rPr>
          <w:rFonts w:ascii="Times New Roman" w:hAnsi="Times New Roman"/>
          <w:color w:val="000000" w:themeColor="text1"/>
          <w:szCs w:val="22"/>
          <w:lang w:eastAsia="sk-SK"/>
        </w:rPr>
        <w:t>tradingových</w:t>
      </w:r>
      <w:proofErr w:type="spellEnd"/>
      <w:r w:rsidR="00096CE2" w:rsidRPr="00FB70AF">
        <w:rPr>
          <w:rFonts w:ascii="Times New Roman" w:hAnsi="Times New Roman"/>
          <w:color w:val="000000" w:themeColor="text1"/>
          <w:szCs w:val="22"/>
          <w:lang w:eastAsia="sk-SK"/>
        </w:rPr>
        <w:t xml:space="preserve"> obchodov a taktiež skutočnosťou, že v roku 2024 sa tu vykazovali aj tržby za distribúciu elektrickej energie, ktoré sa v roku 2023 vykazovali na položke tržieb z predaja služieb</w:t>
      </w:r>
      <w:r w:rsidR="00096CE2" w:rsidRPr="0085799C">
        <w:rPr>
          <w:rFonts w:ascii="Times New Roman" w:hAnsi="Times New Roman"/>
          <w:i/>
          <w:szCs w:val="22"/>
        </w:rPr>
        <w:t>.</w:t>
      </w:r>
    </w:p>
    <w:p w14:paraId="58945F5E" w14:textId="77777777" w:rsidR="00797D85" w:rsidRPr="00FB70AF" w:rsidRDefault="00797D85" w:rsidP="00FB70AF">
      <w:pPr>
        <w:spacing w:after="120" w:line="240" w:lineRule="auto"/>
        <w:jc w:val="both"/>
        <w:rPr>
          <w:rFonts w:ascii="Times New Roman" w:hAnsi="Times New Roman"/>
          <w:iCs/>
          <w:szCs w:val="22"/>
        </w:rPr>
      </w:pPr>
    </w:p>
    <w:p w14:paraId="297A79F5" w14:textId="301E5365" w:rsidR="00797D85" w:rsidRDefault="00215DC1" w:rsidP="009F2AF6">
      <w:pPr>
        <w:pStyle w:val="Nadpis4"/>
        <w:numPr>
          <w:ilvl w:val="0"/>
          <w:numId w:val="54"/>
        </w:numPr>
        <w:ind w:left="426" w:hanging="426"/>
      </w:pPr>
      <w:bookmarkStart w:id="72" w:name="_Ostatné_výnosy"/>
      <w:bookmarkEnd w:id="72"/>
      <w:r>
        <w:t>Ostatné výnosy</w:t>
      </w:r>
    </w:p>
    <w:p w14:paraId="7FBD5EF0" w14:textId="1C95EE29" w:rsidR="00604FEE" w:rsidRPr="00FB70AF" w:rsidRDefault="00647542" w:rsidP="00FB70AF">
      <w:pPr>
        <w:spacing w:after="120" w:line="240" w:lineRule="auto"/>
        <w:jc w:val="both"/>
        <w:rPr>
          <w:rFonts w:ascii="Times New Roman" w:hAnsi="Times New Roman"/>
          <w:color w:val="000000" w:themeColor="text1"/>
          <w:szCs w:val="22"/>
          <w:lang w:eastAsia="sk-SK"/>
        </w:rPr>
      </w:pPr>
      <w:bookmarkStart w:id="73" w:name="_Ref86186957"/>
      <w:bookmarkEnd w:id="71"/>
      <w:r w:rsidRPr="00FB70AF">
        <w:rPr>
          <w:rFonts w:ascii="Times New Roman" w:hAnsi="Times New Roman"/>
          <w:szCs w:val="22"/>
          <w:lang w:eastAsia="sk-SK"/>
        </w:rPr>
        <w:t xml:space="preserve">Ostatné výnosy v rámci skupiny tržieb za vlastné výkony a tovar sú výnosy vyplývajúce z účtovania zmeny stavu vnútroorganizačných zásob (záporná hodnota </w:t>
      </w:r>
      <w:r w:rsidR="0084702D" w:rsidRPr="0085799C">
        <w:rPr>
          <w:rFonts w:ascii="Times New Roman" w:hAnsi="Times New Roman"/>
          <w:szCs w:val="22"/>
          <w:lang w:eastAsia="sk-SK"/>
        </w:rPr>
        <w:t>20 219</w:t>
      </w:r>
      <w:r w:rsidRPr="00FB70AF">
        <w:rPr>
          <w:rFonts w:ascii="Times New Roman" w:hAnsi="Times New Roman"/>
          <w:szCs w:val="22"/>
          <w:lang w:eastAsia="sk-SK"/>
        </w:rPr>
        <w:t> tis. eur) a aktivácie majetku a</w:t>
      </w:r>
      <w:r w:rsidRPr="0085799C">
        <w:rPr>
          <w:rFonts w:ascii="Times New Roman" w:hAnsi="Times New Roman"/>
          <w:szCs w:val="22"/>
        </w:rPr>
        <w:t xml:space="preserve"> </w:t>
      </w:r>
      <w:r w:rsidRPr="00FB70AF">
        <w:rPr>
          <w:rFonts w:ascii="Times New Roman" w:hAnsi="Times New Roman"/>
          <w:szCs w:val="22"/>
          <w:lang w:eastAsia="sk-SK"/>
        </w:rPr>
        <w:t xml:space="preserve">služieb </w:t>
      </w:r>
      <w:r w:rsidRPr="00FB70AF">
        <w:rPr>
          <w:rFonts w:ascii="Times New Roman" w:hAnsi="Times New Roman"/>
          <w:szCs w:val="22"/>
          <w:lang w:eastAsia="sk-SK"/>
        </w:rPr>
        <w:lastRenderedPageBreak/>
        <w:t>(</w:t>
      </w:r>
      <w:r w:rsidR="00BC0E9B" w:rsidRPr="0085799C">
        <w:rPr>
          <w:rFonts w:ascii="Times New Roman" w:hAnsi="Times New Roman"/>
          <w:szCs w:val="22"/>
          <w:lang w:eastAsia="sk-SK"/>
        </w:rPr>
        <w:t>90</w:t>
      </w:r>
      <w:r w:rsidR="007E17ED" w:rsidRPr="00FB70AF">
        <w:rPr>
          <w:rFonts w:ascii="Times New Roman" w:hAnsi="Times New Roman"/>
          <w:szCs w:val="22"/>
          <w:lang w:eastAsia="sk-SK"/>
        </w:rPr>
        <w:t> </w:t>
      </w:r>
      <w:r w:rsidR="00BC0E9B" w:rsidRPr="0085799C">
        <w:rPr>
          <w:rFonts w:ascii="Times New Roman" w:hAnsi="Times New Roman"/>
          <w:szCs w:val="22"/>
          <w:lang w:eastAsia="sk-SK"/>
        </w:rPr>
        <w:t>422</w:t>
      </w:r>
      <w:r w:rsidRPr="00FB70AF">
        <w:rPr>
          <w:rFonts w:ascii="Times New Roman" w:hAnsi="Times New Roman"/>
          <w:szCs w:val="22"/>
          <w:lang w:eastAsia="sk-SK"/>
        </w:rPr>
        <w:t> tis. eur). V porovnaní s rokom 202</w:t>
      </w:r>
      <w:r w:rsidR="00BA4120" w:rsidRPr="0085799C">
        <w:rPr>
          <w:rFonts w:ascii="Times New Roman" w:hAnsi="Times New Roman"/>
          <w:szCs w:val="22"/>
          <w:lang w:eastAsia="sk-SK"/>
        </w:rPr>
        <w:t>3</w:t>
      </w:r>
      <w:r w:rsidRPr="00FB70AF">
        <w:rPr>
          <w:rFonts w:ascii="Times New Roman" w:hAnsi="Times New Roman"/>
          <w:szCs w:val="22"/>
          <w:lang w:eastAsia="sk-SK"/>
        </w:rPr>
        <w:t xml:space="preserve"> došlo k </w:t>
      </w:r>
      <w:r w:rsidR="002B28BC" w:rsidRPr="0085799C">
        <w:rPr>
          <w:rFonts w:ascii="Times New Roman" w:hAnsi="Times New Roman"/>
          <w:szCs w:val="22"/>
          <w:lang w:eastAsia="sk-SK"/>
        </w:rPr>
        <w:t>zvýšeni</w:t>
      </w:r>
      <w:r w:rsidRPr="00FB70AF">
        <w:rPr>
          <w:rFonts w:ascii="Times New Roman" w:hAnsi="Times New Roman"/>
          <w:szCs w:val="22"/>
          <w:lang w:eastAsia="sk-SK"/>
        </w:rPr>
        <w:t>u týchto ostatných výnosov</w:t>
      </w:r>
      <w:r w:rsidRPr="0085799C">
        <w:rPr>
          <w:rFonts w:ascii="Times New Roman" w:hAnsi="Times New Roman"/>
          <w:szCs w:val="22"/>
        </w:rPr>
        <w:t xml:space="preserve"> </w:t>
      </w:r>
      <w:r w:rsidRPr="00FB70AF">
        <w:rPr>
          <w:rFonts w:ascii="Times New Roman" w:hAnsi="Times New Roman"/>
          <w:szCs w:val="22"/>
          <w:lang w:eastAsia="sk-SK"/>
        </w:rPr>
        <w:t>o</w:t>
      </w:r>
      <w:r w:rsidR="007E17ED" w:rsidRPr="00FB70AF">
        <w:rPr>
          <w:rFonts w:ascii="Times New Roman" w:hAnsi="Times New Roman"/>
          <w:szCs w:val="22"/>
          <w:lang w:eastAsia="sk-SK"/>
        </w:rPr>
        <w:t xml:space="preserve"> </w:t>
      </w:r>
      <w:r w:rsidR="009D5A5B" w:rsidRPr="0085799C">
        <w:rPr>
          <w:rFonts w:ascii="Times New Roman" w:hAnsi="Times New Roman"/>
          <w:szCs w:val="22"/>
          <w:lang w:eastAsia="sk-SK"/>
        </w:rPr>
        <w:t>825 657</w:t>
      </w:r>
      <w:r w:rsidRPr="00FB70AF">
        <w:rPr>
          <w:rFonts w:ascii="Times New Roman" w:hAnsi="Times New Roman"/>
          <w:szCs w:val="22"/>
          <w:lang w:eastAsia="sk-SK"/>
        </w:rPr>
        <w:t> tis.</w:t>
      </w:r>
      <w:r w:rsidR="007F6F47" w:rsidRPr="00FB70AF">
        <w:rPr>
          <w:rFonts w:ascii="Times New Roman" w:hAnsi="Times New Roman"/>
          <w:szCs w:val="22"/>
          <w:lang w:eastAsia="sk-SK"/>
        </w:rPr>
        <w:t> </w:t>
      </w:r>
      <w:r w:rsidRPr="00FB70AF">
        <w:rPr>
          <w:rFonts w:ascii="Times New Roman" w:hAnsi="Times New Roman"/>
          <w:szCs w:val="22"/>
          <w:lang w:eastAsia="sk-SK"/>
        </w:rPr>
        <w:t xml:space="preserve">eur. </w:t>
      </w:r>
      <w:r w:rsidRPr="0085799C">
        <w:rPr>
          <w:rFonts w:ascii="Times New Roman" w:hAnsi="Times New Roman"/>
          <w:color w:val="000000" w:themeColor="text1"/>
          <w:szCs w:val="22"/>
          <w:u w:val="single"/>
        </w:rPr>
        <w:t>Slovenský plynárenský priemysel,</w:t>
      </w:r>
      <w:r w:rsidR="007F6F47" w:rsidRPr="00FB70AF">
        <w:rPr>
          <w:rFonts w:ascii="Times New Roman" w:hAnsi="Times New Roman"/>
          <w:color w:val="000000" w:themeColor="text1"/>
          <w:szCs w:val="22"/>
          <w:u w:val="single"/>
        </w:rPr>
        <w:t xml:space="preserve"> </w:t>
      </w:r>
      <w:r w:rsidR="00604FEE" w:rsidRPr="0085799C">
        <w:rPr>
          <w:rFonts w:ascii="Times New Roman" w:hAnsi="Times New Roman"/>
          <w:color w:val="000000" w:themeColor="text1"/>
          <w:szCs w:val="22"/>
          <w:u w:val="single"/>
        </w:rPr>
        <w:t>a.s.</w:t>
      </w:r>
      <w:r w:rsidR="00604FEE" w:rsidRPr="00FB70AF">
        <w:rPr>
          <w:rFonts w:ascii="Times New Roman" w:hAnsi="Times New Roman"/>
          <w:color w:val="000000" w:themeColor="text1"/>
          <w:szCs w:val="22"/>
          <w:lang w:eastAsia="sk-SK"/>
        </w:rPr>
        <w:t xml:space="preserve">, na položke </w:t>
      </w:r>
      <w:r w:rsidR="00604FEE" w:rsidRPr="00FB70AF">
        <w:rPr>
          <w:rFonts w:ascii="Times New Roman" w:hAnsi="Times New Roman"/>
          <w:color w:val="000000" w:themeColor="text1"/>
          <w:szCs w:val="22"/>
          <w:u w:val="single"/>
          <w:lang w:eastAsia="sk-SK"/>
        </w:rPr>
        <w:t>Zmena stavu výrobkov</w:t>
      </w:r>
      <w:r w:rsidR="00604FEE" w:rsidRPr="00FB70AF">
        <w:rPr>
          <w:rFonts w:ascii="Times New Roman" w:hAnsi="Times New Roman"/>
          <w:color w:val="000000" w:themeColor="text1"/>
          <w:szCs w:val="22"/>
          <w:lang w:eastAsia="sk-SK"/>
        </w:rPr>
        <w:t xml:space="preserve"> účtuje zmenu stavu zemného plynu v zásobníkoch, ako aj precenenie zemného plynu na </w:t>
      </w:r>
      <w:proofErr w:type="spellStart"/>
      <w:r w:rsidR="00604FEE" w:rsidRPr="00FB70AF">
        <w:rPr>
          <w:rFonts w:ascii="Times New Roman" w:hAnsi="Times New Roman"/>
          <w:color w:val="000000" w:themeColor="text1"/>
          <w:szCs w:val="22"/>
          <w:lang w:eastAsia="sk-SK"/>
        </w:rPr>
        <w:t>tradingové</w:t>
      </w:r>
      <w:proofErr w:type="spellEnd"/>
      <w:r w:rsidR="00604FEE" w:rsidRPr="00FB70AF">
        <w:rPr>
          <w:rFonts w:ascii="Times New Roman" w:hAnsi="Times New Roman"/>
          <w:color w:val="000000" w:themeColor="text1"/>
          <w:szCs w:val="22"/>
          <w:lang w:eastAsia="sk-SK"/>
        </w:rPr>
        <w:t xml:space="preserve"> účely. Medziročné zvýšenie u tejto účtovnej jednotky o</w:t>
      </w:r>
      <w:r w:rsidR="007F6F47" w:rsidRPr="00FB70AF">
        <w:rPr>
          <w:rFonts w:ascii="Times New Roman" w:hAnsi="Times New Roman"/>
          <w:color w:val="000000" w:themeColor="text1"/>
          <w:szCs w:val="22"/>
          <w:lang w:eastAsia="sk-SK"/>
        </w:rPr>
        <w:t xml:space="preserve"> </w:t>
      </w:r>
      <w:r w:rsidR="00604FEE" w:rsidRPr="00FB70AF">
        <w:rPr>
          <w:rFonts w:ascii="Times New Roman" w:hAnsi="Times New Roman"/>
          <w:color w:val="000000" w:themeColor="text1"/>
          <w:szCs w:val="22"/>
          <w:lang w:eastAsia="sk-SK"/>
        </w:rPr>
        <w:t xml:space="preserve">927 400 tis. eur bolo v dôsledku </w:t>
      </w:r>
      <w:r w:rsidR="00C21220">
        <w:rPr>
          <w:rFonts w:ascii="Times New Roman" w:hAnsi="Times New Roman"/>
          <w:color w:val="000000" w:themeColor="text1"/>
          <w:szCs w:val="22"/>
          <w:lang w:eastAsia="sk-SK"/>
        </w:rPr>
        <w:t xml:space="preserve">vysokej </w:t>
      </w:r>
      <w:r w:rsidR="00604FEE" w:rsidRPr="00FB70AF">
        <w:rPr>
          <w:rFonts w:ascii="Times New Roman" w:hAnsi="Times New Roman"/>
          <w:color w:val="000000" w:themeColor="text1"/>
          <w:szCs w:val="22"/>
          <w:lang w:eastAsia="sk-SK"/>
        </w:rPr>
        <w:t>medziročn</w:t>
      </w:r>
      <w:r w:rsidR="00C21220">
        <w:rPr>
          <w:rFonts w:ascii="Times New Roman" w:hAnsi="Times New Roman"/>
          <w:color w:val="000000" w:themeColor="text1"/>
          <w:szCs w:val="22"/>
          <w:lang w:eastAsia="sk-SK"/>
        </w:rPr>
        <w:t>ej</w:t>
      </w:r>
      <w:r w:rsidR="00604FEE" w:rsidRPr="00FB70AF">
        <w:rPr>
          <w:rFonts w:ascii="Times New Roman" w:hAnsi="Times New Roman"/>
          <w:color w:val="000000" w:themeColor="text1"/>
          <w:szCs w:val="22"/>
          <w:lang w:eastAsia="sk-SK"/>
        </w:rPr>
        <w:t xml:space="preserve"> </w:t>
      </w:r>
      <w:r w:rsidR="00C21220">
        <w:rPr>
          <w:rFonts w:ascii="Times New Roman" w:hAnsi="Times New Roman"/>
          <w:color w:val="000000" w:themeColor="text1"/>
          <w:szCs w:val="22"/>
          <w:lang w:eastAsia="sk-SK"/>
        </w:rPr>
        <w:t>zmeny</w:t>
      </w:r>
      <w:r w:rsidR="00604FEE" w:rsidRPr="00FB70AF">
        <w:rPr>
          <w:rFonts w:ascii="Times New Roman" w:hAnsi="Times New Roman"/>
          <w:color w:val="000000" w:themeColor="text1"/>
          <w:szCs w:val="22"/>
          <w:lang w:eastAsia="sk-SK"/>
        </w:rPr>
        <w:t xml:space="preserve"> cien zemného plynu v</w:t>
      </w:r>
      <w:r w:rsidR="007F6F47" w:rsidRPr="00FB70AF">
        <w:rPr>
          <w:rFonts w:ascii="Times New Roman" w:hAnsi="Times New Roman"/>
          <w:color w:val="000000" w:themeColor="text1"/>
          <w:szCs w:val="22"/>
          <w:lang w:eastAsia="sk-SK"/>
        </w:rPr>
        <w:t xml:space="preserve"> </w:t>
      </w:r>
      <w:r w:rsidR="00604FEE" w:rsidRPr="00FB70AF">
        <w:rPr>
          <w:rFonts w:ascii="Times New Roman" w:hAnsi="Times New Roman"/>
          <w:color w:val="000000" w:themeColor="text1"/>
          <w:szCs w:val="22"/>
          <w:lang w:eastAsia="sk-SK"/>
        </w:rPr>
        <w:t>zásobníku.</w:t>
      </w:r>
    </w:p>
    <w:p w14:paraId="7F84413F" w14:textId="1CE393FD" w:rsidR="00215DC1" w:rsidRDefault="00215DC1" w:rsidP="0085799C">
      <w:pPr>
        <w:pStyle w:val="Nadpis3"/>
        <w:numPr>
          <w:ilvl w:val="0"/>
          <w:numId w:val="53"/>
        </w:numPr>
        <w:ind w:left="709"/>
        <w:rPr>
          <w:lang w:eastAsia="sk-SK"/>
        </w:rPr>
      </w:pPr>
      <w:r>
        <w:rPr>
          <w:lang w:eastAsia="sk-SK"/>
        </w:rPr>
        <w:t>Finančné výnosy</w:t>
      </w:r>
    </w:p>
    <w:bookmarkEnd w:id="73"/>
    <w:p w14:paraId="4BBD59E2" w14:textId="3D2D1665" w:rsidR="001E465E" w:rsidRPr="0085799C" w:rsidRDefault="001E465E" w:rsidP="00295977">
      <w:pPr>
        <w:spacing w:after="120" w:line="240" w:lineRule="auto"/>
        <w:jc w:val="both"/>
        <w:rPr>
          <w:rFonts w:ascii="Times New Roman" w:hAnsi="Times New Roman"/>
          <w:b/>
          <w:bCs/>
          <w:sz w:val="18"/>
          <w:szCs w:val="18"/>
          <w:lang w:eastAsia="sk-SK"/>
        </w:rPr>
      </w:pPr>
      <w:r w:rsidRPr="0085799C">
        <w:rPr>
          <w:rFonts w:ascii="Times New Roman" w:hAnsi="Times New Roman"/>
          <w:b/>
          <w:bCs/>
          <w:sz w:val="18"/>
          <w:szCs w:val="18"/>
          <w:lang w:eastAsia="sk-SK"/>
        </w:rPr>
        <w:t>Tabuľka 20</w:t>
      </w:r>
    </w:p>
    <w:tbl>
      <w:tblPr>
        <w:tblW w:w="5000" w:type="pct"/>
        <w:jc w:val="center"/>
        <w:tblCellMar>
          <w:left w:w="70" w:type="dxa"/>
          <w:right w:w="70" w:type="dxa"/>
        </w:tblCellMar>
        <w:tblLook w:val="04A0" w:firstRow="1" w:lastRow="0" w:firstColumn="1" w:lastColumn="0" w:noHBand="0" w:noVBand="1"/>
      </w:tblPr>
      <w:tblGrid>
        <w:gridCol w:w="5391"/>
        <w:gridCol w:w="1226"/>
        <w:gridCol w:w="1226"/>
        <w:gridCol w:w="1228"/>
      </w:tblGrid>
      <w:tr w:rsidR="000A7894" w:rsidRPr="000A7894" w14:paraId="1146861D" w14:textId="77777777" w:rsidTr="0085799C">
        <w:trPr>
          <w:trHeight w:val="227"/>
          <w:jc w:val="center"/>
        </w:trPr>
        <w:tc>
          <w:tcPr>
            <w:tcW w:w="2971" w:type="pct"/>
            <w:tcBorders>
              <w:top w:val="single" w:sz="8" w:space="0" w:color="auto"/>
              <w:left w:val="nil"/>
              <w:bottom w:val="single" w:sz="8" w:space="0" w:color="auto"/>
              <w:right w:val="nil"/>
            </w:tcBorders>
            <w:shd w:val="clear" w:color="000000" w:fill="F4B084"/>
            <w:noWrap/>
            <w:vAlign w:val="center"/>
            <w:hideMark/>
          </w:tcPr>
          <w:p w14:paraId="24791BA1" w14:textId="77777777" w:rsidR="000A7894" w:rsidRPr="000A7894" w:rsidRDefault="000A7894" w:rsidP="000A7894">
            <w:pPr>
              <w:spacing w:after="0" w:line="240" w:lineRule="auto"/>
              <w:rPr>
                <w:rFonts w:ascii="Times New Roman" w:hAnsi="Times New Roman"/>
                <w:b/>
                <w:bCs/>
                <w:color w:val="000000"/>
                <w:sz w:val="18"/>
                <w:szCs w:val="18"/>
                <w:lang w:eastAsia="sk-SK"/>
              </w:rPr>
            </w:pPr>
            <w:r w:rsidRPr="000A7894">
              <w:rPr>
                <w:rFonts w:ascii="Times New Roman" w:hAnsi="Times New Roman"/>
                <w:b/>
                <w:bCs/>
                <w:color w:val="000000"/>
                <w:sz w:val="18"/>
                <w:szCs w:val="18"/>
                <w:lang w:eastAsia="sk-SK"/>
              </w:rPr>
              <w:t>Finančné výnosy</w:t>
            </w:r>
          </w:p>
        </w:tc>
        <w:tc>
          <w:tcPr>
            <w:tcW w:w="676" w:type="pct"/>
            <w:tcBorders>
              <w:top w:val="single" w:sz="8" w:space="0" w:color="auto"/>
              <w:left w:val="nil"/>
              <w:bottom w:val="single" w:sz="8" w:space="0" w:color="auto"/>
              <w:right w:val="nil"/>
            </w:tcBorders>
            <w:shd w:val="clear" w:color="000000" w:fill="F4B084"/>
            <w:noWrap/>
            <w:vAlign w:val="center"/>
            <w:hideMark/>
          </w:tcPr>
          <w:p w14:paraId="5525B027" w14:textId="77777777" w:rsidR="000A7894" w:rsidRPr="000A7894" w:rsidRDefault="000A7894" w:rsidP="000A7894">
            <w:pPr>
              <w:spacing w:after="0" w:line="240" w:lineRule="auto"/>
              <w:jc w:val="center"/>
              <w:rPr>
                <w:rFonts w:ascii="Times New Roman" w:hAnsi="Times New Roman"/>
                <w:b/>
                <w:bCs/>
                <w:color w:val="000000"/>
                <w:sz w:val="18"/>
                <w:szCs w:val="18"/>
                <w:lang w:eastAsia="sk-SK"/>
              </w:rPr>
            </w:pPr>
            <w:r w:rsidRPr="000A7894">
              <w:rPr>
                <w:rFonts w:ascii="Times New Roman" w:hAnsi="Times New Roman"/>
                <w:b/>
                <w:bCs/>
                <w:color w:val="000000"/>
                <w:sz w:val="18"/>
                <w:szCs w:val="18"/>
                <w:lang w:eastAsia="sk-SK"/>
              </w:rPr>
              <w:t> </w:t>
            </w:r>
          </w:p>
        </w:tc>
        <w:tc>
          <w:tcPr>
            <w:tcW w:w="676" w:type="pct"/>
            <w:tcBorders>
              <w:top w:val="single" w:sz="8" w:space="0" w:color="auto"/>
              <w:left w:val="nil"/>
              <w:bottom w:val="single" w:sz="8" w:space="0" w:color="auto"/>
              <w:right w:val="nil"/>
            </w:tcBorders>
            <w:shd w:val="clear" w:color="000000" w:fill="F4B084"/>
            <w:noWrap/>
            <w:vAlign w:val="center"/>
            <w:hideMark/>
          </w:tcPr>
          <w:p w14:paraId="21E398A5" w14:textId="77777777" w:rsidR="000A7894" w:rsidRPr="000A7894" w:rsidRDefault="000A7894" w:rsidP="000A7894">
            <w:pPr>
              <w:spacing w:after="0" w:line="240" w:lineRule="auto"/>
              <w:jc w:val="center"/>
              <w:rPr>
                <w:rFonts w:ascii="Times New Roman" w:hAnsi="Times New Roman"/>
                <w:b/>
                <w:bCs/>
                <w:color w:val="000000"/>
                <w:sz w:val="18"/>
                <w:szCs w:val="18"/>
                <w:lang w:eastAsia="sk-SK"/>
              </w:rPr>
            </w:pPr>
            <w:r w:rsidRPr="000A7894">
              <w:rPr>
                <w:rFonts w:ascii="Times New Roman" w:hAnsi="Times New Roman"/>
                <w:b/>
                <w:bCs/>
                <w:color w:val="000000"/>
                <w:sz w:val="18"/>
                <w:szCs w:val="18"/>
                <w:lang w:eastAsia="sk-SK"/>
              </w:rPr>
              <w:t>(v tis. eur)</w:t>
            </w:r>
          </w:p>
        </w:tc>
        <w:tc>
          <w:tcPr>
            <w:tcW w:w="676" w:type="pct"/>
            <w:tcBorders>
              <w:top w:val="single" w:sz="8" w:space="0" w:color="auto"/>
              <w:left w:val="nil"/>
              <w:bottom w:val="single" w:sz="8" w:space="0" w:color="auto"/>
              <w:right w:val="nil"/>
            </w:tcBorders>
            <w:shd w:val="clear" w:color="000000" w:fill="F4B084"/>
            <w:noWrap/>
            <w:vAlign w:val="center"/>
            <w:hideMark/>
          </w:tcPr>
          <w:p w14:paraId="3363A891" w14:textId="77777777" w:rsidR="000A7894" w:rsidRPr="000A7894" w:rsidRDefault="000A7894" w:rsidP="000A7894">
            <w:pPr>
              <w:spacing w:after="0" w:line="240" w:lineRule="auto"/>
              <w:jc w:val="center"/>
              <w:rPr>
                <w:rFonts w:ascii="Times New Roman" w:hAnsi="Times New Roman"/>
                <w:b/>
                <w:bCs/>
                <w:color w:val="000000"/>
                <w:sz w:val="18"/>
                <w:szCs w:val="18"/>
                <w:lang w:eastAsia="sk-SK"/>
              </w:rPr>
            </w:pPr>
            <w:r w:rsidRPr="000A7894">
              <w:rPr>
                <w:rFonts w:ascii="Times New Roman" w:hAnsi="Times New Roman"/>
                <w:b/>
                <w:bCs/>
                <w:color w:val="000000"/>
                <w:sz w:val="18"/>
                <w:szCs w:val="18"/>
                <w:lang w:eastAsia="sk-SK"/>
              </w:rPr>
              <w:t> </w:t>
            </w:r>
          </w:p>
        </w:tc>
      </w:tr>
      <w:tr w:rsidR="000A7894" w:rsidRPr="000A7894" w14:paraId="0CF3A62F" w14:textId="77777777" w:rsidTr="0085799C">
        <w:trPr>
          <w:trHeight w:val="227"/>
          <w:jc w:val="center"/>
        </w:trPr>
        <w:tc>
          <w:tcPr>
            <w:tcW w:w="2971" w:type="pct"/>
            <w:tcBorders>
              <w:top w:val="nil"/>
              <w:left w:val="nil"/>
              <w:bottom w:val="single" w:sz="8" w:space="0" w:color="auto"/>
              <w:right w:val="nil"/>
            </w:tcBorders>
            <w:shd w:val="clear" w:color="000000" w:fill="BDD7EE"/>
            <w:noWrap/>
            <w:vAlign w:val="center"/>
            <w:hideMark/>
          </w:tcPr>
          <w:p w14:paraId="5993CC4B" w14:textId="77777777" w:rsidR="000A7894" w:rsidRPr="000A7894" w:rsidRDefault="000A7894" w:rsidP="000A7894">
            <w:pPr>
              <w:spacing w:after="0" w:line="240" w:lineRule="auto"/>
              <w:rPr>
                <w:rFonts w:ascii="Times New Roman" w:hAnsi="Times New Roman"/>
                <w:b/>
                <w:bCs/>
                <w:color w:val="000000"/>
                <w:sz w:val="18"/>
                <w:szCs w:val="18"/>
                <w:lang w:eastAsia="sk-SK"/>
              </w:rPr>
            </w:pPr>
            <w:r w:rsidRPr="000A7894">
              <w:rPr>
                <w:rFonts w:ascii="Times New Roman" w:hAnsi="Times New Roman"/>
                <w:b/>
                <w:bCs/>
                <w:color w:val="000000"/>
                <w:sz w:val="18"/>
                <w:szCs w:val="18"/>
                <w:lang w:eastAsia="sk-SK"/>
              </w:rPr>
              <w:t> </w:t>
            </w:r>
          </w:p>
        </w:tc>
        <w:tc>
          <w:tcPr>
            <w:tcW w:w="676" w:type="pct"/>
            <w:tcBorders>
              <w:top w:val="nil"/>
              <w:left w:val="nil"/>
              <w:bottom w:val="single" w:sz="8" w:space="0" w:color="auto"/>
              <w:right w:val="nil"/>
            </w:tcBorders>
            <w:shd w:val="clear" w:color="000000" w:fill="BDD7EE"/>
            <w:noWrap/>
            <w:vAlign w:val="center"/>
            <w:hideMark/>
          </w:tcPr>
          <w:p w14:paraId="16113736" w14:textId="77777777" w:rsidR="000A7894" w:rsidRPr="000A7894" w:rsidRDefault="000A7894" w:rsidP="000A7894">
            <w:pPr>
              <w:spacing w:after="0" w:line="240" w:lineRule="auto"/>
              <w:jc w:val="center"/>
              <w:rPr>
                <w:rFonts w:ascii="Times New Roman" w:hAnsi="Times New Roman"/>
                <w:b/>
                <w:bCs/>
                <w:color w:val="000000"/>
                <w:sz w:val="18"/>
                <w:szCs w:val="18"/>
                <w:lang w:eastAsia="sk-SK"/>
              </w:rPr>
            </w:pPr>
            <w:r w:rsidRPr="000A7894">
              <w:rPr>
                <w:rFonts w:ascii="Times New Roman" w:hAnsi="Times New Roman"/>
                <w:b/>
                <w:bCs/>
                <w:color w:val="000000"/>
                <w:sz w:val="18"/>
                <w:szCs w:val="18"/>
                <w:lang w:eastAsia="sk-SK"/>
              </w:rPr>
              <w:t>2024</w:t>
            </w:r>
          </w:p>
        </w:tc>
        <w:tc>
          <w:tcPr>
            <w:tcW w:w="676" w:type="pct"/>
            <w:tcBorders>
              <w:top w:val="nil"/>
              <w:left w:val="nil"/>
              <w:bottom w:val="single" w:sz="8" w:space="0" w:color="auto"/>
              <w:right w:val="nil"/>
            </w:tcBorders>
            <w:shd w:val="clear" w:color="000000" w:fill="BDD7EE"/>
            <w:noWrap/>
            <w:vAlign w:val="center"/>
            <w:hideMark/>
          </w:tcPr>
          <w:p w14:paraId="2D7FBD8D" w14:textId="77777777" w:rsidR="000A7894" w:rsidRPr="000A7894" w:rsidRDefault="000A7894" w:rsidP="000A7894">
            <w:pPr>
              <w:spacing w:after="0" w:line="240" w:lineRule="auto"/>
              <w:jc w:val="center"/>
              <w:rPr>
                <w:rFonts w:ascii="Times New Roman" w:hAnsi="Times New Roman"/>
                <w:b/>
                <w:bCs/>
                <w:color w:val="000000"/>
                <w:sz w:val="18"/>
                <w:szCs w:val="18"/>
                <w:lang w:eastAsia="sk-SK"/>
              </w:rPr>
            </w:pPr>
            <w:r w:rsidRPr="000A7894">
              <w:rPr>
                <w:rFonts w:ascii="Times New Roman" w:hAnsi="Times New Roman"/>
                <w:b/>
                <w:bCs/>
                <w:color w:val="000000"/>
                <w:sz w:val="18"/>
                <w:szCs w:val="18"/>
                <w:lang w:eastAsia="sk-SK"/>
              </w:rPr>
              <w:t>2023</w:t>
            </w:r>
          </w:p>
        </w:tc>
        <w:tc>
          <w:tcPr>
            <w:tcW w:w="676" w:type="pct"/>
            <w:tcBorders>
              <w:top w:val="nil"/>
              <w:left w:val="nil"/>
              <w:bottom w:val="single" w:sz="8" w:space="0" w:color="auto"/>
              <w:right w:val="nil"/>
            </w:tcBorders>
            <w:shd w:val="clear" w:color="000000" w:fill="BDD7EE"/>
            <w:vAlign w:val="center"/>
            <w:hideMark/>
          </w:tcPr>
          <w:p w14:paraId="1897A723" w14:textId="77777777" w:rsidR="000A7894" w:rsidRPr="000A7894" w:rsidRDefault="000A7894" w:rsidP="000A7894">
            <w:pPr>
              <w:spacing w:after="0" w:line="240" w:lineRule="auto"/>
              <w:jc w:val="center"/>
              <w:rPr>
                <w:rFonts w:ascii="Times New Roman" w:hAnsi="Times New Roman"/>
                <w:b/>
                <w:bCs/>
                <w:color w:val="000000"/>
                <w:sz w:val="18"/>
                <w:szCs w:val="18"/>
                <w:lang w:eastAsia="sk-SK"/>
              </w:rPr>
            </w:pPr>
            <w:r w:rsidRPr="000A7894">
              <w:rPr>
                <w:rFonts w:ascii="Times New Roman" w:hAnsi="Times New Roman"/>
                <w:b/>
                <w:bCs/>
                <w:color w:val="000000"/>
                <w:sz w:val="18"/>
                <w:szCs w:val="18"/>
                <w:lang w:eastAsia="sk-SK"/>
              </w:rPr>
              <w:t>Δ 2024-2023</w:t>
            </w:r>
          </w:p>
        </w:tc>
      </w:tr>
      <w:tr w:rsidR="000A7894" w:rsidRPr="000A7894" w14:paraId="68D83E08" w14:textId="77777777" w:rsidTr="0085799C">
        <w:trPr>
          <w:trHeight w:val="227"/>
          <w:jc w:val="center"/>
        </w:trPr>
        <w:tc>
          <w:tcPr>
            <w:tcW w:w="2971" w:type="pct"/>
            <w:tcBorders>
              <w:top w:val="nil"/>
              <w:left w:val="nil"/>
              <w:bottom w:val="nil"/>
              <w:right w:val="nil"/>
            </w:tcBorders>
            <w:vAlign w:val="center"/>
            <w:hideMark/>
          </w:tcPr>
          <w:p w14:paraId="7A3B22F3" w14:textId="77777777" w:rsidR="000A7894" w:rsidRPr="000A7894" w:rsidRDefault="000A7894" w:rsidP="000A7894">
            <w:pPr>
              <w:spacing w:after="0" w:line="240" w:lineRule="auto"/>
              <w:rPr>
                <w:rFonts w:ascii="Times New Roman" w:hAnsi="Times New Roman"/>
                <w:color w:val="000000"/>
                <w:sz w:val="18"/>
                <w:szCs w:val="18"/>
                <w:lang w:eastAsia="sk-SK"/>
              </w:rPr>
            </w:pPr>
            <w:r w:rsidRPr="000A7894">
              <w:rPr>
                <w:rFonts w:ascii="Times New Roman" w:hAnsi="Times New Roman"/>
                <w:color w:val="000000"/>
                <w:sz w:val="18"/>
                <w:szCs w:val="18"/>
                <w:lang w:eastAsia="sk-SK"/>
              </w:rPr>
              <w:t>Úroky</w:t>
            </w:r>
          </w:p>
        </w:tc>
        <w:tc>
          <w:tcPr>
            <w:tcW w:w="676" w:type="pct"/>
            <w:tcBorders>
              <w:top w:val="nil"/>
              <w:left w:val="nil"/>
              <w:bottom w:val="nil"/>
              <w:right w:val="nil"/>
            </w:tcBorders>
            <w:vAlign w:val="center"/>
            <w:hideMark/>
          </w:tcPr>
          <w:p w14:paraId="49B8C83A" w14:textId="77777777" w:rsidR="000A7894" w:rsidRPr="000A7894" w:rsidRDefault="000A7894" w:rsidP="000A7894">
            <w:pPr>
              <w:spacing w:after="0" w:line="240" w:lineRule="auto"/>
              <w:jc w:val="right"/>
              <w:rPr>
                <w:rFonts w:ascii="Times New Roman" w:hAnsi="Times New Roman"/>
                <w:color w:val="000000"/>
                <w:sz w:val="18"/>
                <w:szCs w:val="18"/>
                <w:lang w:eastAsia="sk-SK"/>
              </w:rPr>
            </w:pPr>
            <w:r w:rsidRPr="000A7894">
              <w:rPr>
                <w:rFonts w:ascii="Times New Roman" w:hAnsi="Times New Roman"/>
                <w:color w:val="000000"/>
                <w:sz w:val="18"/>
                <w:szCs w:val="18"/>
                <w:lang w:eastAsia="sk-SK"/>
              </w:rPr>
              <w:t>826 876</w:t>
            </w:r>
          </w:p>
        </w:tc>
        <w:tc>
          <w:tcPr>
            <w:tcW w:w="676" w:type="pct"/>
            <w:tcBorders>
              <w:top w:val="nil"/>
              <w:left w:val="nil"/>
              <w:bottom w:val="nil"/>
              <w:right w:val="nil"/>
            </w:tcBorders>
            <w:vAlign w:val="center"/>
            <w:hideMark/>
          </w:tcPr>
          <w:p w14:paraId="50E62DF7" w14:textId="77777777" w:rsidR="000A7894" w:rsidRPr="000A7894" w:rsidRDefault="000A7894" w:rsidP="000A7894">
            <w:pPr>
              <w:spacing w:after="0" w:line="240" w:lineRule="auto"/>
              <w:jc w:val="right"/>
              <w:rPr>
                <w:rFonts w:ascii="Times New Roman" w:hAnsi="Times New Roman"/>
                <w:color w:val="000000"/>
                <w:sz w:val="18"/>
                <w:szCs w:val="18"/>
                <w:lang w:eastAsia="sk-SK"/>
              </w:rPr>
            </w:pPr>
            <w:r w:rsidRPr="000A7894">
              <w:rPr>
                <w:rFonts w:ascii="Times New Roman" w:hAnsi="Times New Roman"/>
                <w:color w:val="000000"/>
                <w:sz w:val="18"/>
                <w:szCs w:val="18"/>
                <w:lang w:eastAsia="sk-SK"/>
              </w:rPr>
              <w:t>687 418</w:t>
            </w:r>
          </w:p>
        </w:tc>
        <w:tc>
          <w:tcPr>
            <w:tcW w:w="676" w:type="pct"/>
            <w:tcBorders>
              <w:top w:val="nil"/>
              <w:left w:val="nil"/>
              <w:bottom w:val="nil"/>
              <w:right w:val="nil"/>
            </w:tcBorders>
            <w:vAlign w:val="center"/>
            <w:hideMark/>
          </w:tcPr>
          <w:p w14:paraId="297E2EDB" w14:textId="77777777" w:rsidR="000A7894" w:rsidRPr="000A7894" w:rsidRDefault="000A7894" w:rsidP="000A7894">
            <w:pPr>
              <w:spacing w:after="0" w:line="240" w:lineRule="auto"/>
              <w:jc w:val="right"/>
              <w:rPr>
                <w:rFonts w:ascii="Times New Roman" w:hAnsi="Times New Roman"/>
                <w:color w:val="000000"/>
                <w:sz w:val="18"/>
                <w:szCs w:val="18"/>
                <w:lang w:eastAsia="sk-SK"/>
              </w:rPr>
            </w:pPr>
            <w:r w:rsidRPr="000A7894">
              <w:rPr>
                <w:rFonts w:ascii="Times New Roman" w:hAnsi="Times New Roman"/>
                <w:color w:val="000000"/>
                <w:sz w:val="18"/>
                <w:szCs w:val="18"/>
                <w:lang w:eastAsia="sk-SK"/>
              </w:rPr>
              <w:t>139 458</w:t>
            </w:r>
          </w:p>
        </w:tc>
      </w:tr>
      <w:tr w:rsidR="000A7894" w:rsidRPr="000A7894" w14:paraId="71FDAC97" w14:textId="77777777" w:rsidTr="00A7107D">
        <w:trPr>
          <w:trHeight w:val="227"/>
          <w:jc w:val="center"/>
        </w:trPr>
        <w:tc>
          <w:tcPr>
            <w:tcW w:w="2971" w:type="pct"/>
            <w:tcBorders>
              <w:top w:val="nil"/>
              <w:left w:val="nil"/>
              <w:bottom w:val="nil"/>
              <w:right w:val="nil"/>
            </w:tcBorders>
            <w:vAlign w:val="center"/>
            <w:hideMark/>
          </w:tcPr>
          <w:p w14:paraId="4AD094C5" w14:textId="77777777" w:rsidR="000A7894" w:rsidRPr="000A7894" w:rsidRDefault="000A7894" w:rsidP="000A7894">
            <w:pPr>
              <w:spacing w:after="0" w:line="240" w:lineRule="auto"/>
              <w:rPr>
                <w:rFonts w:ascii="Times New Roman" w:hAnsi="Times New Roman"/>
                <w:color w:val="000000"/>
                <w:sz w:val="18"/>
                <w:szCs w:val="18"/>
                <w:lang w:eastAsia="sk-SK"/>
              </w:rPr>
            </w:pPr>
            <w:r w:rsidRPr="000A7894">
              <w:rPr>
                <w:rFonts w:ascii="Times New Roman" w:hAnsi="Times New Roman"/>
                <w:color w:val="000000"/>
                <w:sz w:val="18"/>
                <w:szCs w:val="18"/>
                <w:lang w:eastAsia="sk-SK"/>
              </w:rPr>
              <w:t>Kurzové zisky</w:t>
            </w:r>
          </w:p>
        </w:tc>
        <w:tc>
          <w:tcPr>
            <w:tcW w:w="676" w:type="pct"/>
            <w:tcBorders>
              <w:top w:val="nil"/>
              <w:left w:val="nil"/>
              <w:bottom w:val="nil"/>
              <w:right w:val="nil"/>
            </w:tcBorders>
            <w:vAlign w:val="bottom"/>
            <w:hideMark/>
          </w:tcPr>
          <w:p w14:paraId="3EE81791" w14:textId="77777777" w:rsidR="000A7894" w:rsidRPr="000A7894" w:rsidRDefault="000A7894" w:rsidP="000A7894">
            <w:pPr>
              <w:spacing w:after="0" w:line="240" w:lineRule="auto"/>
              <w:jc w:val="right"/>
              <w:rPr>
                <w:rFonts w:ascii="Times New Roman" w:hAnsi="Times New Roman"/>
                <w:color w:val="000000"/>
                <w:sz w:val="18"/>
                <w:szCs w:val="18"/>
                <w:lang w:eastAsia="sk-SK"/>
              </w:rPr>
            </w:pPr>
            <w:r w:rsidRPr="000A7894">
              <w:rPr>
                <w:rFonts w:ascii="Times New Roman" w:hAnsi="Times New Roman"/>
                <w:color w:val="000000"/>
                <w:sz w:val="18"/>
                <w:szCs w:val="18"/>
                <w:lang w:eastAsia="sk-SK"/>
              </w:rPr>
              <w:t>78 672</w:t>
            </w:r>
          </w:p>
        </w:tc>
        <w:tc>
          <w:tcPr>
            <w:tcW w:w="676" w:type="pct"/>
            <w:tcBorders>
              <w:top w:val="nil"/>
              <w:left w:val="nil"/>
              <w:bottom w:val="nil"/>
              <w:right w:val="nil"/>
            </w:tcBorders>
            <w:vAlign w:val="bottom"/>
            <w:hideMark/>
          </w:tcPr>
          <w:p w14:paraId="68DCF2E2" w14:textId="77777777" w:rsidR="000A7894" w:rsidRPr="000A7894" w:rsidRDefault="000A7894" w:rsidP="000A7894">
            <w:pPr>
              <w:spacing w:after="0" w:line="240" w:lineRule="auto"/>
              <w:jc w:val="right"/>
              <w:rPr>
                <w:rFonts w:ascii="Times New Roman" w:hAnsi="Times New Roman"/>
                <w:color w:val="000000"/>
                <w:sz w:val="18"/>
                <w:szCs w:val="18"/>
                <w:lang w:eastAsia="sk-SK"/>
              </w:rPr>
            </w:pPr>
            <w:r w:rsidRPr="000A7894">
              <w:rPr>
                <w:rFonts w:ascii="Times New Roman" w:hAnsi="Times New Roman"/>
                <w:color w:val="000000"/>
                <w:sz w:val="18"/>
                <w:szCs w:val="18"/>
                <w:lang w:eastAsia="sk-SK"/>
              </w:rPr>
              <w:t>56 464</w:t>
            </w:r>
          </w:p>
        </w:tc>
        <w:tc>
          <w:tcPr>
            <w:tcW w:w="676" w:type="pct"/>
            <w:tcBorders>
              <w:top w:val="nil"/>
              <w:left w:val="nil"/>
              <w:bottom w:val="nil"/>
              <w:right w:val="nil"/>
            </w:tcBorders>
            <w:vAlign w:val="bottom"/>
            <w:hideMark/>
          </w:tcPr>
          <w:p w14:paraId="7F5EC6CD" w14:textId="77777777" w:rsidR="000A7894" w:rsidRPr="000A7894" w:rsidRDefault="000A7894" w:rsidP="000A7894">
            <w:pPr>
              <w:spacing w:after="0" w:line="240" w:lineRule="auto"/>
              <w:jc w:val="right"/>
              <w:rPr>
                <w:rFonts w:ascii="Times New Roman" w:hAnsi="Times New Roman"/>
                <w:color w:val="000000"/>
                <w:sz w:val="18"/>
                <w:szCs w:val="18"/>
                <w:lang w:eastAsia="sk-SK"/>
              </w:rPr>
            </w:pPr>
            <w:r w:rsidRPr="000A7894">
              <w:rPr>
                <w:rFonts w:ascii="Times New Roman" w:hAnsi="Times New Roman"/>
                <w:color w:val="000000"/>
                <w:sz w:val="18"/>
                <w:szCs w:val="18"/>
                <w:lang w:eastAsia="sk-SK"/>
              </w:rPr>
              <w:t>22 208</w:t>
            </w:r>
          </w:p>
        </w:tc>
      </w:tr>
      <w:tr w:rsidR="000A7894" w:rsidRPr="000A7894" w14:paraId="4A48F3B7" w14:textId="77777777" w:rsidTr="0085799C">
        <w:trPr>
          <w:trHeight w:val="227"/>
          <w:jc w:val="center"/>
        </w:trPr>
        <w:tc>
          <w:tcPr>
            <w:tcW w:w="2971" w:type="pct"/>
            <w:tcBorders>
              <w:top w:val="nil"/>
              <w:left w:val="nil"/>
              <w:bottom w:val="nil"/>
              <w:right w:val="nil"/>
            </w:tcBorders>
            <w:vAlign w:val="center"/>
            <w:hideMark/>
          </w:tcPr>
          <w:p w14:paraId="2BD32274" w14:textId="77777777" w:rsidR="000A7894" w:rsidRPr="000A7894" w:rsidRDefault="000A7894" w:rsidP="000A7894">
            <w:pPr>
              <w:spacing w:after="0" w:line="240" w:lineRule="auto"/>
              <w:rPr>
                <w:rFonts w:ascii="Times New Roman" w:hAnsi="Times New Roman"/>
                <w:color w:val="000000"/>
                <w:sz w:val="18"/>
                <w:szCs w:val="18"/>
                <w:lang w:eastAsia="sk-SK"/>
              </w:rPr>
            </w:pPr>
            <w:r w:rsidRPr="000A7894">
              <w:rPr>
                <w:rFonts w:ascii="Times New Roman" w:hAnsi="Times New Roman"/>
                <w:color w:val="000000"/>
                <w:sz w:val="18"/>
                <w:szCs w:val="18"/>
                <w:lang w:eastAsia="sk-SK"/>
              </w:rPr>
              <w:t>Podiel konsolidujúcej účtovnej jednotky na výsledku hospodárenia pridružených účtovných jednotiek verejnej správy</w:t>
            </w:r>
          </w:p>
        </w:tc>
        <w:tc>
          <w:tcPr>
            <w:tcW w:w="676" w:type="pct"/>
            <w:tcBorders>
              <w:top w:val="nil"/>
              <w:left w:val="nil"/>
              <w:bottom w:val="nil"/>
              <w:right w:val="nil"/>
            </w:tcBorders>
            <w:vAlign w:val="center"/>
            <w:hideMark/>
          </w:tcPr>
          <w:p w14:paraId="5DDD90E2" w14:textId="77777777" w:rsidR="000A7894" w:rsidRPr="000A7894" w:rsidRDefault="000A7894" w:rsidP="000A7894">
            <w:pPr>
              <w:spacing w:after="0" w:line="240" w:lineRule="auto"/>
              <w:jc w:val="right"/>
              <w:rPr>
                <w:rFonts w:ascii="Times New Roman" w:hAnsi="Times New Roman"/>
                <w:color w:val="000000"/>
                <w:sz w:val="18"/>
                <w:szCs w:val="18"/>
                <w:lang w:eastAsia="sk-SK"/>
              </w:rPr>
            </w:pPr>
            <w:r w:rsidRPr="000A7894">
              <w:rPr>
                <w:rFonts w:ascii="Times New Roman" w:hAnsi="Times New Roman"/>
                <w:color w:val="000000"/>
                <w:sz w:val="18"/>
                <w:szCs w:val="18"/>
                <w:lang w:eastAsia="sk-SK"/>
              </w:rPr>
              <w:t>653 392</w:t>
            </w:r>
          </w:p>
        </w:tc>
        <w:tc>
          <w:tcPr>
            <w:tcW w:w="676" w:type="pct"/>
            <w:tcBorders>
              <w:top w:val="nil"/>
              <w:left w:val="nil"/>
              <w:bottom w:val="nil"/>
              <w:right w:val="nil"/>
            </w:tcBorders>
            <w:vAlign w:val="center"/>
            <w:hideMark/>
          </w:tcPr>
          <w:p w14:paraId="180C18A7" w14:textId="77777777" w:rsidR="000A7894" w:rsidRPr="000A7894" w:rsidRDefault="000A7894" w:rsidP="000A7894">
            <w:pPr>
              <w:spacing w:after="0" w:line="240" w:lineRule="auto"/>
              <w:jc w:val="right"/>
              <w:rPr>
                <w:rFonts w:ascii="Times New Roman" w:hAnsi="Times New Roman"/>
                <w:color w:val="000000"/>
                <w:sz w:val="18"/>
                <w:szCs w:val="18"/>
                <w:lang w:eastAsia="sk-SK"/>
              </w:rPr>
            </w:pPr>
            <w:r w:rsidRPr="000A7894">
              <w:rPr>
                <w:rFonts w:ascii="Times New Roman" w:hAnsi="Times New Roman"/>
                <w:color w:val="000000"/>
                <w:sz w:val="18"/>
                <w:szCs w:val="18"/>
                <w:lang w:eastAsia="sk-SK"/>
              </w:rPr>
              <w:t>1 232 379</w:t>
            </w:r>
          </w:p>
        </w:tc>
        <w:tc>
          <w:tcPr>
            <w:tcW w:w="676" w:type="pct"/>
            <w:tcBorders>
              <w:top w:val="nil"/>
              <w:left w:val="nil"/>
              <w:bottom w:val="nil"/>
              <w:right w:val="nil"/>
            </w:tcBorders>
            <w:vAlign w:val="center"/>
            <w:hideMark/>
          </w:tcPr>
          <w:p w14:paraId="231A7D63" w14:textId="77777777" w:rsidR="000A7894" w:rsidRPr="000A7894" w:rsidRDefault="000A7894" w:rsidP="000A7894">
            <w:pPr>
              <w:spacing w:after="0" w:line="240" w:lineRule="auto"/>
              <w:jc w:val="right"/>
              <w:rPr>
                <w:rFonts w:ascii="Times New Roman" w:hAnsi="Times New Roman"/>
                <w:color w:val="000000"/>
                <w:sz w:val="18"/>
                <w:szCs w:val="18"/>
                <w:lang w:eastAsia="sk-SK"/>
              </w:rPr>
            </w:pPr>
            <w:r w:rsidRPr="000A7894">
              <w:rPr>
                <w:rFonts w:ascii="Times New Roman" w:hAnsi="Times New Roman"/>
                <w:color w:val="000000"/>
                <w:sz w:val="18"/>
                <w:szCs w:val="18"/>
                <w:lang w:eastAsia="sk-SK"/>
              </w:rPr>
              <w:t>-578 987</w:t>
            </w:r>
          </w:p>
        </w:tc>
      </w:tr>
      <w:tr w:rsidR="000A7894" w:rsidRPr="000A7894" w14:paraId="5A1788AE" w14:textId="77777777" w:rsidTr="0085799C">
        <w:trPr>
          <w:trHeight w:val="227"/>
          <w:jc w:val="center"/>
        </w:trPr>
        <w:tc>
          <w:tcPr>
            <w:tcW w:w="2971" w:type="pct"/>
            <w:tcBorders>
              <w:top w:val="nil"/>
              <w:left w:val="nil"/>
              <w:bottom w:val="nil"/>
              <w:right w:val="nil"/>
            </w:tcBorders>
            <w:vAlign w:val="center"/>
            <w:hideMark/>
          </w:tcPr>
          <w:p w14:paraId="6BBA8886" w14:textId="77777777" w:rsidR="000A7894" w:rsidRPr="000A7894" w:rsidRDefault="000A7894" w:rsidP="000A7894">
            <w:pPr>
              <w:spacing w:after="0" w:line="240" w:lineRule="auto"/>
              <w:rPr>
                <w:rFonts w:ascii="Times New Roman" w:hAnsi="Times New Roman"/>
                <w:color w:val="000000"/>
                <w:sz w:val="18"/>
                <w:szCs w:val="18"/>
                <w:lang w:eastAsia="sk-SK"/>
              </w:rPr>
            </w:pPr>
            <w:r w:rsidRPr="000A7894">
              <w:rPr>
                <w:rFonts w:ascii="Times New Roman" w:hAnsi="Times New Roman"/>
                <w:color w:val="000000"/>
                <w:sz w:val="18"/>
                <w:szCs w:val="18"/>
                <w:lang w:eastAsia="sk-SK"/>
              </w:rPr>
              <w:t>Výnosy z derivátových operácií</w:t>
            </w:r>
          </w:p>
        </w:tc>
        <w:tc>
          <w:tcPr>
            <w:tcW w:w="676" w:type="pct"/>
            <w:tcBorders>
              <w:top w:val="nil"/>
              <w:left w:val="nil"/>
              <w:bottom w:val="nil"/>
              <w:right w:val="nil"/>
            </w:tcBorders>
            <w:vAlign w:val="center"/>
            <w:hideMark/>
          </w:tcPr>
          <w:p w14:paraId="6E145CBC" w14:textId="77777777" w:rsidR="000A7894" w:rsidRPr="000A7894" w:rsidRDefault="000A7894" w:rsidP="000A7894">
            <w:pPr>
              <w:spacing w:after="0" w:line="240" w:lineRule="auto"/>
              <w:jc w:val="right"/>
              <w:rPr>
                <w:rFonts w:ascii="Times New Roman" w:hAnsi="Times New Roman"/>
                <w:color w:val="000000"/>
                <w:sz w:val="18"/>
                <w:szCs w:val="18"/>
                <w:lang w:eastAsia="sk-SK"/>
              </w:rPr>
            </w:pPr>
            <w:r w:rsidRPr="000A7894">
              <w:rPr>
                <w:rFonts w:ascii="Times New Roman" w:hAnsi="Times New Roman"/>
                <w:color w:val="000000"/>
                <w:sz w:val="18"/>
                <w:szCs w:val="18"/>
                <w:lang w:eastAsia="sk-SK"/>
              </w:rPr>
              <w:t>13 936</w:t>
            </w:r>
          </w:p>
        </w:tc>
        <w:tc>
          <w:tcPr>
            <w:tcW w:w="676" w:type="pct"/>
            <w:tcBorders>
              <w:top w:val="nil"/>
              <w:left w:val="nil"/>
              <w:bottom w:val="nil"/>
              <w:right w:val="nil"/>
            </w:tcBorders>
            <w:vAlign w:val="center"/>
            <w:hideMark/>
          </w:tcPr>
          <w:p w14:paraId="1E369368" w14:textId="77777777" w:rsidR="000A7894" w:rsidRPr="000A7894" w:rsidRDefault="000A7894" w:rsidP="000A7894">
            <w:pPr>
              <w:spacing w:after="0" w:line="240" w:lineRule="auto"/>
              <w:jc w:val="right"/>
              <w:rPr>
                <w:rFonts w:ascii="Times New Roman" w:hAnsi="Times New Roman"/>
                <w:color w:val="000000"/>
                <w:sz w:val="18"/>
                <w:szCs w:val="18"/>
                <w:lang w:eastAsia="sk-SK"/>
              </w:rPr>
            </w:pPr>
            <w:r w:rsidRPr="000A7894">
              <w:rPr>
                <w:rFonts w:ascii="Times New Roman" w:hAnsi="Times New Roman"/>
                <w:color w:val="000000"/>
                <w:sz w:val="18"/>
                <w:szCs w:val="18"/>
                <w:lang w:eastAsia="sk-SK"/>
              </w:rPr>
              <w:t>14 329</w:t>
            </w:r>
          </w:p>
        </w:tc>
        <w:tc>
          <w:tcPr>
            <w:tcW w:w="676" w:type="pct"/>
            <w:tcBorders>
              <w:top w:val="nil"/>
              <w:left w:val="nil"/>
              <w:bottom w:val="nil"/>
              <w:right w:val="nil"/>
            </w:tcBorders>
            <w:vAlign w:val="center"/>
            <w:hideMark/>
          </w:tcPr>
          <w:p w14:paraId="2EC1C10B" w14:textId="77777777" w:rsidR="000A7894" w:rsidRPr="000A7894" w:rsidRDefault="000A7894" w:rsidP="000A7894">
            <w:pPr>
              <w:spacing w:after="0" w:line="240" w:lineRule="auto"/>
              <w:jc w:val="right"/>
              <w:rPr>
                <w:rFonts w:ascii="Times New Roman" w:hAnsi="Times New Roman"/>
                <w:color w:val="000000"/>
                <w:sz w:val="18"/>
                <w:szCs w:val="18"/>
                <w:lang w:eastAsia="sk-SK"/>
              </w:rPr>
            </w:pPr>
            <w:r w:rsidRPr="000A7894">
              <w:rPr>
                <w:rFonts w:ascii="Times New Roman" w:hAnsi="Times New Roman"/>
                <w:color w:val="000000"/>
                <w:sz w:val="18"/>
                <w:szCs w:val="18"/>
                <w:lang w:eastAsia="sk-SK"/>
              </w:rPr>
              <w:t>-393</w:t>
            </w:r>
          </w:p>
        </w:tc>
      </w:tr>
      <w:tr w:rsidR="000A7894" w:rsidRPr="000A7894" w14:paraId="78650149" w14:textId="77777777" w:rsidTr="0085799C">
        <w:trPr>
          <w:trHeight w:val="227"/>
          <w:jc w:val="center"/>
        </w:trPr>
        <w:tc>
          <w:tcPr>
            <w:tcW w:w="2971" w:type="pct"/>
            <w:tcBorders>
              <w:top w:val="nil"/>
              <w:left w:val="nil"/>
              <w:bottom w:val="single" w:sz="8" w:space="0" w:color="auto"/>
              <w:right w:val="nil"/>
            </w:tcBorders>
            <w:vAlign w:val="center"/>
            <w:hideMark/>
          </w:tcPr>
          <w:p w14:paraId="53E35234" w14:textId="77777777" w:rsidR="000A7894" w:rsidRPr="000A7894" w:rsidRDefault="000A7894" w:rsidP="000A7894">
            <w:pPr>
              <w:spacing w:after="0" w:line="240" w:lineRule="auto"/>
              <w:rPr>
                <w:rFonts w:ascii="Times New Roman" w:hAnsi="Times New Roman"/>
                <w:color w:val="000000"/>
                <w:sz w:val="18"/>
                <w:szCs w:val="18"/>
                <w:lang w:eastAsia="sk-SK"/>
              </w:rPr>
            </w:pPr>
            <w:r w:rsidRPr="000A7894">
              <w:rPr>
                <w:rFonts w:ascii="Times New Roman" w:hAnsi="Times New Roman"/>
                <w:color w:val="000000"/>
                <w:sz w:val="18"/>
                <w:szCs w:val="18"/>
                <w:lang w:eastAsia="sk-SK"/>
              </w:rPr>
              <w:t>Ostatné finančné výnosy</w:t>
            </w:r>
          </w:p>
        </w:tc>
        <w:tc>
          <w:tcPr>
            <w:tcW w:w="676" w:type="pct"/>
            <w:tcBorders>
              <w:top w:val="nil"/>
              <w:left w:val="nil"/>
              <w:bottom w:val="single" w:sz="8" w:space="0" w:color="auto"/>
              <w:right w:val="nil"/>
            </w:tcBorders>
            <w:vAlign w:val="center"/>
            <w:hideMark/>
          </w:tcPr>
          <w:p w14:paraId="52D56A4F" w14:textId="77777777" w:rsidR="000A7894" w:rsidRPr="000A7894" w:rsidRDefault="000A7894" w:rsidP="000A7894">
            <w:pPr>
              <w:spacing w:after="0" w:line="240" w:lineRule="auto"/>
              <w:jc w:val="right"/>
              <w:rPr>
                <w:rFonts w:ascii="Times New Roman" w:hAnsi="Times New Roman"/>
                <w:color w:val="000000"/>
                <w:sz w:val="18"/>
                <w:szCs w:val="18"/>
                <w:lang w:eastAsia="sk-SK"/>
              </w:rPr>
            </w:pPr>
            <w:r w:rsidRPr="000A7894">
              <w:rPr>
                <w:rFonts w:ascii="Times New Roman" w:hAnsi="Times New Roman"/>
                <w:color w:val="000000"/>
                <w:sz w:val="18"/>
                <w:szCs w:val="18"/>
                <w:lang w:eastAsia="sk-SK"/>
              </w:rPr>
              <w:t>152 822</w:t>
            </w:r>
          </w:p>
        </w:tc>
        <w:tc>
          <w:tcPr>
            <w:tcW w:w="676" w:type="pct"/>
            <w:tcBorders>
              <w:top w:val="nil"/>
              <w:left w:val="nil"/>
              <w:bottom w:val="single" w:sz="8" w:space="0" w:color="auto"/>
              <w:right w:val="nil"/>
            </w:tcBorders>
            <w:vAlign w:val="center"/>
            <w:hideMark/>
          </w:tcPr>
          <w:p w14:paraId="605C353C" w14:textId="77777777" w:rsidR="000A7894" w:rsidRPr="000A7894" w:rsidRDefault="000A7894" w:rsidP="000A7894">
            <w:pPr>
              <w:spacing w:after="0" w:line="240" w:lineRule="auto"/>
              <w:jc w:val="right"/>
              <w:rPr>
                <w:rFonts w:ascii="Times New Roman" w:hAnsi="Times New Roman"/>
                <w:color w:val="000000"/>
                <w:sz w:val="18"/>
                <w:szCs w:val="18"/>
                <w:lang w:eastAsia="sk-SK"/>
              </w:rPr>
            </w:pPr>
            <w:r w:rsidRPr="000A7894">
              <w:rPr>
                <w:rFonts w:ascii="Times New Roman" w:hAnsi="Times New Roman"/>
                <w:color w:val="000000"/>
                <w:sz w:val="18"/>
                <w:szCs w:val="18"/>
                <w:lang w:eastAsia="sk-SK"/>
              </w:rPr>
              <w:t>686 762</w:t>
            </w:r>
          </w:p>
        </w:tc>
        <w:tc>
          <w:tcPr>
            <w:tcW w:w="676" w:type="pct"/>
            <w:tcBorders>
              <w:top w:val="nil"/>
              <w:left w:val="nil"/>
              <w:bottom w:val="nil"/>
              <w:right w:val="nil"/>
            </w:tcBorders>
            <w:vAlign w:val="center"/>
            <w:hideMark/>
          </w:tcPr>
          <w:p w14:paraId="4C732526" w14:textId="77777777" w:rsidR="000A7894" w:rsidRPr="000A7894" w:rsidRDefault="000A7894" w:rsidP="000A7894">
            <w:pPr>
              <w:spacing w:after="0" w:line="240" w:lineRule="auto"/>
              <w:jc w:val="right"/>
              <w:rPr>
                <w:rFonts w:ascii="Times New Roman" w:hAnsi="Times New Roman"/>
                <w:color w:val="000000"/>
                <w:sz w:val="18"/>
                <w:szCs w:val="18"/>
                <w:lang w:eastAsia="sk-SK"/>
              </w:rPr>
            </w:pPr>
            <w:r w:rsidRPr="000A7894">
              <w:rPr>
                <w:rFonts w:ascii="Times New Roman" w:hAnsi="Times New Roman"/>
                <w:color w:val="000000"/>
                <w:sz w:val="18"/>
                <w:szCs w:val="18"/>
                <w:lang w:eastAsia="sk-SK"/>
              </w:rPr>
              <w:t>-533 940</w:t>
            </w:r>
          </w:p>
        </w:tc>
      </w:tr>
      <w:tr w:rsidR="000A7894" w:rsidRPr="000A7894" w14:paraId="224D39F6" w14:textId="77777777" w:rsidTr="0085799C">
        <w:trPr>
          <w:trHeight w:val="227"/>
          <w:jc w:val="center"/>
        </w:trPr>
        <w:tc>
          <w:tcPr>
            <w:tcW w:w="2971" w:type="pct"/>
            <w:tcBorders>
              <w:top w:val="nil"/>
              <w:left w:val="nil"/>
              <w:bottom w:val="single" w:sz="8" w:space="0" w:color="000000"/>
              <w:right w:val="nil"/>
            </w:tcBorders>
            <w:vAlign w:val="center"/>
            <w:hideMark/>
          </w:tcPr>
          <w:p w14:paraId="55EF4F98" w14:textId="77777777" w:rsidR="000A7894" w:rsidRPr="000A7894" w:rsidRDefault="000A7894" w:rsidP="000A7894">
            <w:pPr>
              <w:spacing w:after="0" w:line="240" w:lineRule="auto"/>
              <w:rPr>
                <w:rFonts w:ascii="Times New Roman" w:hAnsi="Times New Roman"/>
                <w:b/>
                <w:bCs/>
                <w:color w:val="000000"/>
                <w:sz w:val="18"/>
                <w:szCs w:val="18"/>
                <w:lang w:eastAsia="sk-SK"/>
              </w:rPr>
            </w:pPr>
            <w:r w:rsidRPr="000A7894">
              <w:rPr>
                <w:rFonts w:ascii="Times New Roman" w:hAnsi="Times New Roman"/>
                <w:b/>
                <w:bCs/>
                <w:color w:val="000000"/>
                <w:sz w:val="18"/>
                <w:szCs w:val="18"/>
                <w:lang w:eastAsia="sk-SK"/>
              </w:rPr>
              <w:t>Spolu</w:t>
            </w:r>
          </w:p>
        </w:tc>
        <w:tc>
          <w:tcPr>
            <w:tcW w:w="676" w:type="pct"/>
            <w:tcBorders>
              <w:top w:val="nil"/>
              <w:left w:val="nil"/>
              <w:bottom w:val="nil"/>
              <w:right w:val="nil"/>
            </w:tcBorders>
            <w:vAlign w:val="center"/>
            <w:hideMark/>
          </w:tcPr>
          <w:p w14:paraId="58CD60A5" w14:textId="77777777" w:rsidR="000A7894" w:rsidRPr="000A7894" w:rsidRDefault="000A7894" w:rsidP="000A7894">
            <w:pPr>
              <w:spacing w:after="0" w:line="240" w:lineRule="auto"/>
              <w:jc w:val="right"/>
              <w:rPr>
                <w:rFonts w:ascii="Times New Roman" w:hAnsi="Times New Roman"/>
                <w:b/>
                <w:bCs/>
                <w:color w:val="000000"/>
                <w:sz w:val="18"/>
                <w:szCs w:val="18"/>
                <w:lang w:eastAsia="sk-SK"/>
              </w:rPr>
            </w:pPr>
            <w:r w:rsidRPr="000A7894">
              <w:rPr>
                <w:rFonts w:ascii="Times New Roman" w:hAnsi="Times New Roman"/>
                <w:b/>
                <w:bCs/>
                <w:color w:val="000000"/>
                <w:sz w:val="18"/>
                <w:szCs w:val="18"/>
                <w:lang w:eastAsia="sk-SK"/>
              </w:rPr>
              <w:t>1 725 698</w:t>
            </w:r>
          </w:p>
        </w:tc>
        <w:tc>
          <w:tcPr>
            <w:tcW w:w="676" w:type="pct"/>
            <w:tcBorders>
              <w:top w:val="nil"/>
              <w:left w:val="nil"/>
              <w:bottom w:val="nil"/>
              <w:right w:val="nil"/>
            </w:tcBorders>
            <w:vAlign w:val="center"/>
            <w:hideMark/>
          </w:tcPr>
          <w:p w14:paraId="5A017F65" w14:textId="77777777" w:rsidR="000A7894" w:rsidRPr="000A7894" w:rsidRDefault="000A7894" w:rsidP="000A7894">
            <w:pPr>
              <w:spacing w:after="0" w:line="240" w:lineRule="auto"/>
              <w:jc w:val="right"/>
              <w:rPr>
                <w:rFonts w:ascii="Times New Roman" w:hAnsi="Times New Roman"/>
                <w:b/>
                <w:bCs/>
                <w:color w:val="000000"/>
                <w:sz w:val="18"/>
                <w:szCs w:val="18"/>
                <w:lang w:eastAsia="sk-SK"/>
              </w:rPr>
            </w:pPr>
            <w:r w:rsidRPr="000A7894">
              <w:rPr>
                <w:rFonts w:ascii="Times New Roman" w:hAnsi="Times New Roman"/>
                <w:b/>
                <w:bCs/>
                <w:color w:val="000000"/>
                <w:sz w:val="18"/>
                <w:szCs w:val="18"/>
                <w:lang w:eastAsia="sk-SK"/>
              </w:rPr>
              <w:t>2 677 352</w:t>
            </w:r>
          </w:p>
        </w:tc>
        <w:tc>
          <w:tcPr>
            <w:tcW w:w="676" w:type="pct"/>
            <w:tcBorders>
              <w:top w:val="single" w:sz="8" w:space="0" w:color="000000"/>
              <w:left w:val="nil"/>
              <w:bottom w:val="single" w:sz="8" w:space="0" w:color="000000"/>
              <w:right w:val="nil"/>
            </w:tcBorders>
            <w:vAlign w:val="center"/>
            <w:hideMark/>
          </w:tcPr>
          <w:p w14:paraId="06811D49" w14:textId="77777777" w:rsidR="000A7894" w:rsidRPr="000A7894" w:rsidRDefault="000A7894" w:rsidP="000A7894">
            <w:pPr>
              <w:spacing w:after="0" w:line="240" w:lineRule="auto"/>
              <w:jc w:val="right"/>
              <w:rPr>
                <w:rFonts w:ascii="Times New Roman" w:hAnsi="Times New Roman"/>
                <w:b/>
                <w:bCs/>
                <w:color w:val="000000"/>
                <w:sz w:val="18"/>
                <w:szCs w:val="18"/>
                <w:lang w:eastAsia="sk-SK"/>
              </w:rPr>
            </w:pPr>
            <w:r w:rsidRPr="000A7894">
              <w:rPr>
                <w:rFonts w:ascii="Times New Roman" w:hAnsi="Times New Roman"/>
                <w:b/>
                <w:bCs/>
                <w:color w:val="000000"/>
                <w:sz w:val="18"/>
                <w:szCs w:val="18"/>
                <w:lang w:eastAsia="sk-SK"/>
              </w:rPr>
              <w:t>-951 654</w:t>
            </w:r>
          </w:p>
        </w:tc>
      </w:tr>
      <w:tr w:rsidR="000A7894" w:rsidRPr="000A7894" w14:paraId="517BB32C" w14:textId="77777777" w:rsidTr="0085799C">
        <w:trPr>
          <w:trHeight w:val="227"/>
          <w:jc w:val="center"/>
        </w:trPr>
        <w:tc>
          <w:tcPr>
            <w:tcW w:w="5000" w:type="pct"/>
            <w:gridSpan w:val="4"/>
            <w:tcBorders>
              <w:top w:val="single" w:sz="8" w:space="0" w:color="000000"/>
              <w:left w:val="nil"/>
              <w:bottom w:val="nil"/>
              <w:right w:val="nil"/>
            </w:tcBorders>
            <w:noWrap/>
            <w:vAlign w:val="center"/>
            <w:hideMark/>
          </w:tcPr>
          <w:p w14:paraId="07B54DF0" w14:textId="77777777" w:rsidR="000A7894" w:rsidRPr="000A7894" w:rsidRDefault="000A7894" w:rsidP="000A7894">
            <w:pPr>
              <w:spacing w:after="0" w:line="240" w:lineRule="auto"/>
              <w:jc w:val="right"/>
              <w:rPr>
                <w:rFonts w:ascii="Times New Roman" w:hAnsi="Times New Roman"/>
                <w:color w:val="000000"/>
                <w:sz w:val="16"/>
                <w:szCs w:val="16"/>
                <w:lang w:eastAsia="sk-SK"/>
              </w:rPr>
            </w:pPr>
            <w:r w:rsidRPr="000A7894">
              <w:rPr>
                <w:rFonts w:ascii="Times New Roman" w:hAnsi="Times New Roman"/>
                <w:color w:val="000000"/>
                <w:sz w:val="16"/>
                <w:szCs w:val="16"/>
                <w:lang w:eastAsia="sk-SK"/>
              </w:rPr>
              <w:t>Zdroj: MF SR, Centrálny konsolidačný systém</w:t>
            </w:r>
          </w:p>
        </w:tc>
      </w:tr>
    </w:tbl>
    <w:p w14:paraId="2493C5B0" w14:textId="77777777" w:rsidR="00AB5669" w:rsidRDefault="00AB5669" w:rsidP="00A44BB3">
      <w:pPr>
        <w:spacing w:after="120" w:line="240" w:lineRule="auto"/>
        <w:jc w:val="both"/>
        <w:rPr>
          <w:rFonts w:ascii="Times New Roman" w:hAnsi="Times New Roman"/>
          <w:szCs w:val="22"/>
          <w:lang w:eastAsia="sk-SK"/>
        </w:rPr>
      </w:pPr>
    </w:p>
    <w:p w14:paraId="4786A091" w14:textId="669C62F6" w:rsidR="00647542" w:rsidRPr="00FB70AF" w:rsidRDefault="00647542" w:rsidP="00FB70AF">
      <w:pPr>
        <w:spacing w:after="120" w:line="240" w:lineRule="auto"/>
        <w:jc w:val="both"/>
        <w:rPr>
          <w:rFonts w:ascii="Times New Roman" w:hAnsi="Times New Roman"/>
          <w:szCs w:val="22"/>
          <w:lang w:eastAsia="sk-SK"/>
        </w:rPr>
      </w:pPr>
      <w:bookmarkStart w:id="74" w:name="_Ref86186417"/>
      <w:r w:rsidRPr="00FB70AF">
        <w:rPr>
          <w:rFonts w:ascii="Times New Roman" w:hAnsi="Times New Roman"/>
          <w:szCs w:val="22"/>
          <w:lang w:eastAsia="sk-SK"/>
        </w:rPr>
        <w:t xml:space="preserve">Finančné výnosy dosiahli hodnotu </w:t>
      </w:r>
      <w:r w:rsidR="00604FEE" w:rsidRPr="0085799C">
        <w:rPr>
          <w:rFonts w:ascii="Times New Roman" w:hAnsi="Times New Roman"/>
          <w:szCs w:val="22"/>
          <w:lang w:eastAsia="sk-SK"/>
        </w:rPr>
        <w:t>1</w:t>
      </w:r>
      <w:r w:rsidR="007F6F47">
        <w:rPr>
          <w:rFonts w:ascii="Times New Roman" w:hAnsi="Times New Roman"/>
          <w:szCs w:val="22"/>
          <w:lang w:eastAsia="sk-SK"/>
        </w:rPr>
        <w:t> </w:t>
      </w:r>
      <w:r w:rsidR="00604FEE" w:rsidRPr="0085799C">
        <w:rPr>
          <w:rFonts w:ascii="Times New Roman" w:hAnsi="Times New Roman"/>
          <w:szCs w:val="22"/>
          <w:lang w:eastAsia="sk-SK"/>
        </w:rPr>
        <w:t>725</w:t>
      </w:r>
      <w:r w:rsidR="007F6F47">
        <w:rPr>
          <w:rFonts w:ascii="Times New Roman" w:hAnsi="Times New Roman"/>
          <w:szCs w:val="22"/>
          <w:lang w:eastAsia="sk-SK"/>
        </w:rPr>
        <w:t> </w:t>
      </w:r>
      <w:r w:rsidR="00604FEE" w:rsidRPr="0085799C">
        <w:rPr>
          <w:rFonts w:ascii="Times New Roman" w:hAnsi="Times New Roman"/>
          <w:szCs w:val="22"/>
          <w:lang w:eastAsia="sk-SK"/>
        </w:rPr>
        <w:t>698</w:t>
      </w:r>
      <w:r w:rsidRPr="00FB70AF">
        <w:rPr>
          <w:rFonts w:ascii="Times New Roman" w:hAnsi="Times New Roman"/>
          <w:szCs w:val="22"/>
          <w:lang w:eastAsia="sk-SK"/>
        </w:rPr>
        <w:t> tis. eur (v roku 202</w:t>
      </w:r>
      <w:r w:rsidR="00604FEE" w:rsidRPr="0085799C">
        <w:rPr>
          <w:rFonts w:ascii="Times New Roman" w:hAnsi="Times New Roman"/>
          <w:szCs w:val="22"/>
          <w:lang w:eastAsia="sk-SK"/>
        </w:rPr>
        <w:t>3</w:t>
      </w:r>
      <w:r w:rsidR="0094232B">
        <w:rPr>
          <w:rFonts w:ascii="Times New Roman" w:hAnsi="Times New Roman"/>
          <w:szCs w:val="22"/>
          <w:lang w:eastAsia="sk-SK"/>
        </w:rPr>
        <w:t xml:space="preserve"> bola vykázaná hodnota v sume</w:t>
      </w:r>
      <w:r w:rsidRPr="00FB70AF">
        <w:rPr>
          <w:rFonts w:ascii="Times New Roman" w:hAnsi="Times New Roman"/>
          <w:szCs w:val="22"/>
          <w:lang w:eastAsia="sk-SK"/>
        </w:rPr>
        <w:t xml:space="preserve"> </w:t>
      </w:r>
      <w:r w:rsidR="00604FEE" w:rsidRPr="0085799C">
        <w:rPr>
          <w:rFonts w:ascii="Times New Roman" w:hAnsi="Times New Roman"/>
          <w:szCs w:val="22"/>
          <w:lang w:eastAsia="sk-SK"/>
        </w:rPr>
        <w:t>2</w:t>
      </w:r>
      <w:r w:rsidR="007F6F47">
        <w:rPr>
          <w:rFonts w:ascii="Times New Roman" w:hAnsi="Times New Roman"/>
          <w:szCs w:val="22"/>
          <w:lang w:eastAsia="sk-SK"/>
        </w:rPr>
        <w:t> </w:t>
      </w:r>
      <w:r w:rsidR="00604FEE" w:rsidRPr="0085799C">
        <w:rPr>
          <w:rFonts w:ascii="Times New Roman" w:hAnsi="Times New Roman"/>
          <w:szCs w:val="22"/>
          <w:lang w:eastAsia="sk-SK"/>
        </w:rPr>
        <w:t>677</w:t>
      </w:r>
      <w:r w:rsidR="007F6F47">
        <w:rPr>
          <w:rFonts w:ascii="Times New Roman" w:hAnsi="Times New Roman"/>
          <w:szCs w:val="22"/>
          <w:lang w:eastAsia="sk-SK"/>
        </w:rPr>
        <w:t> </w:t>
      </w:r>
      <w:r w:rsidR="00604FEE" w:rsidRPr="0085799C">
        <w:rPr>
          <w:rFonts w:ascii="Times New Roman" w:hAnsi="Times New Roman"/>
          <w:szCs w:val="22"/>
          <w:lang w:eastAsia="sk-SK"/>
        </w:rPr>
        <w:t>352</w:t>
      </w:r>
      <w:r w:rsidRPr="00FB70AF">
        <w:rPr>
          <w:rFonts w:ascii="Times New Roman" w:hAnsi="Times New Roman"/>
          <w:szCs w:val="22"/>
          <w:lang w:eastAsia="sk-SK"/>
        </w:rPr>
        <w:t> tis. eur</w:t>
      </w:r>
      <w:r w:rsidR="0094232B">
        <w:rPr>
          <w:rFonts w:ascii="Times New Roman" w:hAnsi="Times New Roman"/>
          <w:szCs w:val="22"/>
          <w:lang w:eastAsia="sk-SK"/>
        </w:rPr>
        <w:t>, ktorá bola spôsobená aj rastom výsledku hospodárenia energetických spoločností vplyvom cien komodít</w:t>
      </w:r>
      <w:r w:rsidRPr="00FB70AF">
        <w:rPr>
          <w:rFonts w:ascii="Times New Roman" w:hAnsi="Times New Roman"/>
          <w:szCs w:val="22"/>
          <w:lang w:eastAsia="sk-SK"/>
        </w:rPr>
        <w:t>), z čoho najväčšiu časť tvor</w:t>
      </w:r>
      <w:r w:rsidR="00B3215F" w:rsidRPr="0085799C">
        <w:rPr>
          <w:rFonts w:ascii="Times New Roman" w:hAnsi="Times New Roman"/>
          <w:szCs w:val="22"/>
          <w:lang w:eastAsia="sk-SK"/>
        </w:rPr>
        <w:t>ia</w:t>
      </w:r>
      <w:r w:rsidRPr="00FB70AF">
        <w:rPr>
          <w:rFonts w:ascii="Times New Roman" w:hAnsi="Times New Roman"/>
          <w:szCs w:val="22"/>
        </w:rPr>
        <w:t xml:space="preserve"> </w:t>
      </w:r>
      <w:r w:rsidRPr="00FB70AF">
        <w:rPr>
          <w:rFonts w:ascii="Times New Roman" w:hAnsi="Times New Roman"/>
          <w:szCs w:val="22"/>
          <w:u w:val="single"/>
        </w:rPr>
        <w:t>úroky</w:t>
      </w:r>
      <w:r w:rsidRPr="00FB70AF">
        <w:rPr>
          <w:rFonts w:ascii="Times New Roman" w:hAnsi="Times New Roman"/>
          <w:szCs w:val="22"/>
        </w:rPr>
        <w:t xml:space="preserve"> </w:t>
      </w:r>
      <w:r w:rsidR="00B3215F" w:rsidRPr="0085799C">
        <w:rPr>
          <w:rFonts w:ascii="Times New Roman" w:hAnsi="Times New Roman"/>
          <w:szCs w:val="22"/>
        </w:rPr>
        <w:t xml:space="preserve">vo výške </w:t>
      </w:r>
      <w:r w:rsidR="00B3215F" w:rsidRPr="0085799C">
        <w:rPr>
          <w:rFonts w:ascii="Times New Roman" w:hAnsi="Times New Roman"/>
          <w:szCs w:val="22"/>
          <w:lang w:eastAsia="sk-SK"/>
        </w:rPr>
        <w:t>82</w:t>
      </w:r>
      <w:r w:rsidR="00C3798A">
        <w:rPr>
          <w:rFonts w:ascii="Times New Roman" w:hAnsi="Times New Roman"/>
          <w:szCs w:val="22"/>
          <w:lang w:eastAsia="sk-SK"/>
        </w:rPr>
        <w:t>6 876</w:t>
      </w:r>
      <w:r w:rsidRPr="00FB70AF">
        <w:rPr>
          <w:rFonts w:ascii="Times New Roman" w:hAnsi="Times New Roman"/>
          <w:szCs w:val="22"/>
          <w:lang w:eastAsia="sk-SK"/>
        </w:rPr>
        <w:t> tis. eur,</w:t>
      </w:r>
      <w:r w:rsidRPr="00FB70AF">
        <w:rPr>
          <w:rFonts w:ascii="Times New Roman" w:hAnsi="Times New Roman"/>
          <w:szCs w:val="22"/>
        </w:rPr>
        <w:t xml:space="preserve"> </w:t>
      </w:r>
      <w:r w:rsidR="00B3215F" w:rsidRPr="0085799C">
        <w:rPr>
          <w:rFonts w:ascii="Times New Roman" w:hAnsi="Times New Roman"/>
          <w:szCs w:val="22"/>
          <w:u w:val="single"/>
        </w:rPr>
        <w:t>podiel konsolidujúcich účtovných jednotiek</w:t>
      </w:r>
      <w:r w:rsidR="00B3215F" w:rsidRPr="0085799C">
        <w:rPr>
          <w:rFonts w:ascii="Times New Roman" w:hAnsi="Times New Roman"/>
          <w:szCs w:val="22"/>
        </w:rPr>
        <w:t xml:space="preserve"> (vypočítané na nižšej úrovni konsolidácie, napríklad za obchodné spoločnosti) </w:t>
      </w:r>
      <w:r w:rsidR="00B3215F" w:rsidRPr="0085799C">
        <w:rPr>
          <w:rFonts w:ascii="Times New Roman" w:hAnsi="Times New Roman"/>
          <w:szCs w:val="22"/>
          <w:u w:val="single"/>
        </w:rPr>
        <w:t>na výsledku hospodárenia pridružených účtovných jednotiek</w:t>
      </w:r>
      <w:r w:rsidR="00B3215F" w:rsidRPr="0085799C">
        <w:rPr>
          <w:rFonts w:ascii="Times New Roman" w:hAnsi="Times New Roman"/>
          <w:szCs w:val="22"/>
        </w:rPr>
        <w:t xml:space="preserve"> vo výške </w:t>
      </w:r>
      <w:r w:rsidR="00ED1E1A" w:rsidRPr="0085799C">
        <w:rPr>
          <w:rFonts w:ascii="Times New Roman" w:hAnsi="Times New Roman"/>
          <w:szCs w:val="22"/>
        </w:rPr>
        <w:t>653</w:t>
      </w:r>
      <w:r w:rsidR="00C3798A">
        <w:rPr>
          <w:rFonts w:ascii="Times New Roman" w:hAnsi="Times New Roman"/>
          <w:szCs w:val="22"/>
        </w:rPr>
        <w:t xml:space="preserve"> 392 </w:t>
      </w:r>
      <w:r w:rsidR="00B3215F" w:rsidRPr="0085799C">
        <w:rPr>
          <w:rFonts w:ascii="Times New Roman" w:hAnsi="Times New Roman"/>
          <w:szCs w:val="22"/>
        </w:rPr>
        <w:t>tis. </w:t>
      </w:r>
      <w:r w:rsidRPr="0085799C">
        <w:rPr>
          <w:rFonts w:ascii="Times New Roman" w:hAnsi="Times New Roman"/>
          <w:szCs w:val="22"/>
        </w:rPr>
        <w:t>eur,</w:t>
      </w:r>
      <w:r w:rsidRPr="0085799C">
        <w:rPr>
          <w:rFonts w:ascii="Times New Roman" w:hAnsi="Times New Roman"/>
          <w:szCs w:val="22"/>
          <w:lang w:eastAsia="sk-SK"/>
        </w:rPr>
        <w:t xml:space="preserve"> </w:t>
      </w:r>
      <w:r w:rsidRPr="00FB70AF">
        <w:rPr>
          <w:rFonts w:ascii="Times New Roman" w:hAnsi="Times New Roman"/>
          <w:szCs w:val="22"/>
          <w:u w:val="single"/>
        </w:rPr>
        <w:t>ostatné finančné výnosy</w:t>
      </w:r>
      <w:r w:rsidRPr="00FB70AF">
        <w:rPr>
          <w:rFonts w:ascii="Times New Roman" w:hAnsi="Times New Roman"/>
          <w:szCs w:val="22"/>
        </w:rPr>
        <w:t xml:space="preserve"> </w:t>
      </w:r>
      <w:r w:rsidR="00ED1E1A" w:rsidRPr="0085799C">
        <w:rPr>
          <w:rFonts w:ascii="Times New Roman" w:hAnsi="Times New Roman"/>
          <w:szCs w:val="22"/>
        </w:rPr>
        <w:t>15</w:t>
      </w:r>
      <w:r w:rsidR="0094232B">
        <w:rPr>
          <w:rFonts w:ascii="Times New Roman" w:hAnsi="Times New Roman"/>
          <w:szCs w:val="22"/>
        </w:rPr>
        <w:t>2</w:t>
      </w:r>
      <w:r w:rsidRPr="00FB70AF">
        <w:rPr>
          <w:rFonts w:ascii="Times New Roman" w:hAnsi="Times New Roman"/>
          <w:szCs w:val="22"/>
          <w:lang w:eastAsia="sk-SK"/>
        </w:rPr>
        <w:t> </w:t>
      </w:r>
      <w:r w:rsidR="0094232B">
        <w:rPr>
          <w:rFonts w:ascii="Times New Roman" w:hAnsi="Times New Roman"/>
          <w:szCs w:val="22"/>
          <w:lang w:eastAsia="sk-SK"/>
        </w:rPr>
        <w:t>822</w:t>
      </w:r>
      <w:r w:rsidRPr="00FB70AF">
        <w:rPr>
          <w:rFonts w:ascii="Times New Roman" w:hAnsi="Times New Roman"/>
          <w:szCs w:val="22"/>
          <w:lang w:eastAsia="sk-SK"/>
        </w:rPr>
        <w:t>tis. eur</w:t>
      </w:r>
      <w:r w:rsidR="0094232B">
        <w:rPr>
          <w:rFonts w:ascii="Times New Roman" w:hAnsi="Times New Roman"/>
          <w:szCs w:val="22"/>
          <w:lang w:eastAsia="sk-SK"/>
        </w:rPr>
        <w:t xml:space="preserve"> a</w:t>
      </w:r>
      <w:r w:rsidRPr="00FB70AF">
        <w:rPr>
          <w:rFonts w:ascii="Times New Roman" w:hAnsi="Times New Roman"/>
          <w:szCs w:val="22"/>
          <w:u w:val="single"/>
        </w:rPr>
        <w:t xml:space="preserve"> kurzové zisky</w:t>
      </w:r>
      <w:r w:rsidRPr="00FB70AF">
        <w:rPr>
          <w:rFonts w:ascii="Times New Roman" w:hAnsi="Times New Roman"/>
          <w:szCs w:val="22"/>
        </w:rPr>
        <w:t xml:space="preserve"> </w:t>
      </w:r>
      <w:r w:rsidRPr="00FB70AF">
        <w:rPr>
          <w:rFonts w:ascii="Times New Roman" w:hAnsi="Times New Roman"/>
          <w:szCs w:val="22"/>
          <w:lang w:eastAsia="sk-SK"/>
        </w:rPr>
        <w:t>v</w:t>
      </w:r>
      <w:r w:rsidR="007F6F47">
        <w:rPr>
          <w:rFonts w:ascii="Times New Roman" w:hAnsi="Times New Roman"/>
          <w:szCs w:val="22"/>
          <w:lang w:eastAsia="sk-SK"/>
        </w:rPr>
        <w:t xml:space="preserve"> </w:t>
      </w:r>
      <w:r w:rsidRPr="00FB70AF">
        <w:rPr>
          <w:rFonts w:ascii="Times New Roman" w:hAnsi="Times New Roman"/>
          <w:szCs w:val="22"/>
          <w:lang w:eastAsia="sk-SK"/>
        </w:rPr>
        <w:t xml:space="preserve">hodnote </w:t>
      </w:r>
      <w:r w:rsidR="00ED1E1A" w:rsidRPr="0085799C">
        <w:rPr>
          <w:rFonts w:ascii="Times New Roman" w:hAnsi="Times New Roman"/>
          <w:szCs w:val="22"/>
          <w:lang w:eastAsia="sk-SK"/>
        </w:rPr>
        <w:t>7</w:t>
      </w:r>
      <w:r w:rsidR="00C3798A">
        <w:rPr>
          <w:rFonts w:ascii="Times New Roman" w:hAnsi="Times New Roman"/>
          <w:szCs w:val="22"/>
          <w:lang w:eastAsia="sk-SK"/>
        </w:rPr>
        <w:t>8 672</w:t>
      </w:r>
      <w:r w:rsidRPr="00FB70AF">
        <w:rPr>
          <w:rFonts w:ascii="Times New Roman" w:hAnsi="Times New Roman"/>
          <w:szCs w:val="22"/>
          <w:lang w:eastAsia="sk-SK"/>
        </w:rPr>
        <w:t> tis. eur.</w:t>
      </w:r>
    </w:p>
    <w:p w14:paraId="08E1512F" w14:textId="77777777" w:rsidR="0054512D" w:rsidRPr="00FB70AF" w:rsidRDefault="0054512D" w:rsidP="00FB70AF">
      <w:pPr>
        <w:spacing w:after="120" w:line="240" w:lineRule="auto"/>
        <w:jc w:val="both"/>
        <w:rPr>
          <w:rFonts w:ascii="Times New Roman" w:hAnsi="Times New Roman"/>
          <w:szCs w:val="22"/>
          <w:lang w:eastAsia="sk-SK"/>
        </w:rPr>
      </w:pPr>
    </w:p>
    <w:p w14:paraId="2395BCC8" w14:textId="3BF69C90" w:rsidR="0054512D" w:rsidRDefault="00465752" w:rsidP="009F2AF6">
      <w:pPr>
        <w:pStyle w:val="Nadpis4"/>
        <w:numPr>
          <w:ilvl w:val="0"/>
          <w:numId w:val="54"/>
        </w:numPr>
        <w:ind w:left="426" w:hanging="426"/>
        <w:rPr>
          <w:lang w:eastAsia="sk-SK"/>
        </w:rPr>
      </w:pPr>
      <w:bookmarkStart w:id="75" w:name="_Úroky"/>
      <w:bookmarkEnd w:id="75"/>
      <w:r>
        <w:rPr>
          <w:lang w:eastAsia="sk-SK"/>
        </w:rPr>
        <w:t>Úroky</w:t>
      </w:r>
    </w:p>
    <w:p w14:paraId="038D9F56" w14:textId="457EE951" w:rsidR="00647542" w:rsidRPr="00FB70AF" w:rsidRDefault="00647542" w:rsidP="00FB70AF">
      <w:pPr>
        <w:spacing w:after="120" w:line="240" w:lineRule="auto"/>
        <w:jc w:val="both"/>
        <w:rPr>
          <w:rFonts w:ascii="Times New Roman" w:hAnsi="Times New Roman"/>
          <w:color w:val="000000" w:themeColor="text1"/>
          <w:szCs w:val="22"/>
          <w:lang w:eastAsia="sk-SK"/>
        </w:rPr>
      </w:pPr>
      <w:bookmarkStart w:id="76" w:name="_Ref86186426"/>
      <w:bookmarkEnd w:id="74"/>
      <w:r w:rsidRPr="00FB70AF">
        <w:rPr>
          <w:rFonts w:ascii="Times New Roman" w:hAnsi="Times New Roman"/>
          <w:szCs w:val="22"/>
        </w:rPr>
        <w:t xml:space="preserve">Najvyššiu hodnotu vykazuje </w:t>
      </w:r>
      <w:r w:rsidRPr="0085799C">
        <w:rPr>
          <w:rFonts w:ascii="Times New Roman" w:hAnsi="Times New Roman"/>
          <w:color w:val="000000" w:themeColor="text1"/>
          <w:szCs w:val="22"/>
          <w:u w:val="single"/>
        </w:rPr>
        <w:t>Ministerstvo financií SR</w:t>
      </w:r>
      <w:r w:rsidR="002C32BE" w:rsidRPr="00FB70AF">
        <w:rPr>
          <w:rFonts w:ascii="Times New Roman" w:hAnsi="Times New Roman"/>
          <w:szCs w:val="22"/>
        </w:rPr>
        <w:t xml:space="preserve"> vo výške </w:t>
      </w:r>
      <w:r w:rsidR="002C32BE" w:rsidRPr="00FB70AF">
        <w:rPr>
          <w:rFonts w:ascii="Times New Roman" w:hAnsi="Times New Roman"/>
          <w:color w:val="000000" w:themeColor="text1"/>
          <w:szCs w:val="22"/>
          <w:lang w:eastAsia="sk-SK"/>
        </w:rPr>
        <w:t>631 076 tis. eur s</w:t>
      </w:r>
      <w:r w:rsidR="007F6F47">
        <w:rPr>
          <w:rFonts w:ascii="Times New Roman" w:hAnsi="Times New Roman"/>
          <w:color w:val="000000" w:themeColor="text1"/>
          <w:szCs w:val="22"/>
          <w:lang w:eastAsia="sk-SK"/>
        </w:rPr>
        <w:t xml:space="preserve"> </w:t>
      </w:r>
      <w:r w:rsidR="002C32BE" w:rsidRPr="00FB70AF">
        <w:rPr>
          <w:rFonts w:ascii="Times New Roman" w:hAnsi="Times New Roman"/>
          <w:color w:val="000000" w:themeColor="text1"/>
          <w:szCs w:val="22"/>
          <w:lang w:eastAsia="sk-SK"/>
        </w:rPr>
        <w:t>medziročným zvýšením o</w:t>
      </w:r>
      <w:r w:rsidR="007F6F47">
        <w:rPr>
          <w:rFonts w:ascii="Times New Roman" w:hAnsi="Times New Roman"/>
          <w:color w:val="000000" w:themeColor="text1"/>
          <w:szCs w:val="22"/>
          <w:lang w:eastAsia="sk-SK"/>
        </w:rPr>
        <w:t xml:space="preserve"> </w:t>
      </w:r>
      <w:r w:rsidR="002C32BE" w:rsidRPr="00FB70AF">
        <w:rPr>
          <w:rFonts w:ascii="Times New Roman" w:hAnsi="Times New Roman"/>
          <w:color w:val="000000" w:themeColor="text1"/>
          <w:szCs w:val="22"/>
          <w:lang w:eastAsia="sk-SK"/>
        </w:rPr>
        <w:t>100</w:t>
      </w:r>
      <w:r w:rsidR="007F6F47">
        <w:rPr>
          <w:rFonts w:ascii="Times New Roman" w:hAnsi="Times New Roman"/>
          <w:color w:val="000000" w:themeColor="text1"/>
          <w:szCs w:val="22"/>
        </w:rPr>
        <w:t> </w:t>
      </w:r>
      <w:r w:rsidR="002C32BE" w:rsidRPr="00FB70AF">
        <w:rPr>
          <w:rFonts w:ascii="Times New Roman" w:hAnsi="Times New Roman"/>
          <w:color w:val="000000" w:themeColor="text1"/>
          <w:szCs w:val="22"/>
        </w:rPr>
        <w:t>810</w:t>
      </w:r>
      <w:r w:rsidR="007F6F47">
        <w:rPr>
          <w:rFonts w:ascii="Times New Roman" w:hAnsi="Times New Roman"/>
          <w:color w:val="000000" w:themeColor="text1"/>
          <w:szCs w:val="22"/>
        </w:rPr>
        <w:t> </w:t>
      </w:r>
      <w:r w:rsidR="002C32BE" w:rsidRPr="00FB70AF">
        <w:rPr>
          <w:rFonts w:ascii="Times New Roman" w:hAnsi="Times New Roman"/>
          <w:color w:val="000000" w:themeColor="text1"/>
          <w:szCs w:val="22"/>
        </w:rPr>
        <w:t>tis. eur</w:t>
      </w:r>
      <w:r w:rsidR="002C32BE" w:rsidRPr="00FB70AF">
        <w:rPr>
          <w:rFonts w:ascii="Times New Roman" w:hAnsi="Times New Roman"/>
          <w:color w:val="000000" w:themeColor="text1"/>
          <w:szCs w:val="22"/>
          <w:lang w:eastAsia="sk-SK"/>
        </w:rPr>
        <w:t xml:space="preserve"> z finančných operácií na medzibankovom trhu (depozitá v</w:t>
      </w:r>
      <w:r w:rsidR="007F6F47">
        <w:rPr>
          <w:rFonts w:ascii="Times New Roman" w:hAnsi="Times New Roman"/>
          <w:color w:val="000000" w:themeColor="text1"/>
          <w:szCs w:val="22"/>
          <w:lang w:eastAsia="sk-SK"/>
        </w:rPr>
        <w:t xml:space="preserve"> </w:t>
      </w:r>
      <w:r w:rsidR="002C32BE" w:rsidRPr="00FB70AF">
        <w:rPr>
          <w:rFonts w:ascii="Times New Roman" w:hAnsi="Times New Roman"/>
          <w:color w:val="000000" w:themeColor="text1"/>
          <w:szCs w:val="22"/>
          <w:lang w:eastAsia="sk-SK"/>
        </w:rPr>
        <w:t xml:space="preserve">komerčných bankách, </w:t>
      </w:r>
      <w:proofErr w:type="spellStart"/>
      <w:r w:rsidR="002C32BE" w:rsidRPr="00FB70AF">
        <w:rPr>
          <w:rFonts w:ascii="Times New Roman" w:hAnsi="Times New Roman"/>
          <w:color w:val="000000" w:themeColor="text1"/>
          <w:szCs w:val="22"/>
          <w:lang w:eastAsia="sk-SK"/>
        </w:rPr>
        <w:t>úložky</w:t>
      </w:r>
      <w:proofErr w:type="spellEnd"/>
      <w:r w:rsidR="002C32BE" w:rsidRPr="00FB70AF">
        <w:rPr>
          <w:rFonts w:ascii="Times New Roman" w:hAnsi="Times New Roman"/>
          <w:color w:val="000000" w:themeColor="text1"/>
          <w:szCs w:val="22"/>
          <w:lang w:eastAsia="sk-SK"/>
        </w:rPr>
        <w:t>, návratné finančné výpomoci a podobne).</w:t>
      </w:r>
      <w:r w:rsidR="002C32BE" w:rsidRPr="00FB70AF">
        <w:rPr>
          <w:rFonts w:ascii="Times New Roman" w:hAnsi="Times New Roman"/>
          <w:b/>
          <w:i/>
          <w:color w:val="000000" w:themeColor="text1"/>
          <w:szCs w:val="22"/>
          <w:lang w:eastAsia="sk-SK"/>
        </w:rPr>
        <w:t xml:space="preserve"> </w:t>
      </w:r>
      <w:r w:rsidR="002C32BE" w:rsidRPr="0085799C">
        <w:rPr>
          <w:rFonts w:ascii="Times New Roman" w:hAnsi="Times New Roman"/>
          <w:color w:val="000000" w:themeColor="text1"/>
          <w:u w:val="single"/>
          <w:lang w:eastAsia="sk-SK"/>
        </w:rPr>
        <w:t>Slovenská záručná a rozvojová banka, a.s.</w:t>
      </w:r>
      <w:r w:rsidR="002C32BE" w:rsidRPr="00FB70AF">
        <w:rPr>
          <w:rFonts w:ascii="Times New Roman" w:hAnsi="Times New Roman"/>
          <w:b/>
          <w:i/>
          <w:color w:val="000000" w:themeColor="text1"/>
          <w:szCs w:val="22"/>
          <w:lang w:eastAsia="sk-SK"/>
        </w:rPr>
        <w:t xml:space="preserve"> </w:t>
      </w:r>
      <w:r w:rsidR="002C32BE" w:rsidRPr="00FB70AF">
        <w:rPr>
          <w:rFonts w:ascii="Times New Roman" w:hAnsi="Times New Roman"/>
          <w:color w:val="000000" w:themeColor="text1"/>
          <w:szCs w:val="22"/>
          <w:lang w:eastAsia="sk-SK"/>
        </w:rPr>
        <w:t xml:space="preserve">vykázala sumu </w:t>
      </w:r>
      <w:r w:rsidR="002C32BE" w:rsidRPr="00FB70AF">
        <w:rPr>
          <w:rFonts w:ascii="Times New Roman" w:hAnsi="Times New Roman"/>
          <w:color w:val="000000" w:themeColor="text1"/>
          <w:szCs w:val="22"/>
        </w:rPr>
        <w:t>52 358 tis.</w:t>
      </w:r>
      <w:r w:rsidR="002C32BE" w:rsidRPr="00FB70AF">
        <w:rPr>
          <w:rFonts w:ascii="Times New Roman" w:hAnsi="Times New Roman"/>
          <w:color w:val="000000" w:themeColor="text1"/>
          <w:szCs w:val="22"/>
          <w:lang w:eastAsia="sk-SK"/>
        </w:rPr>
        <w:t> eur</w:t>
      </w:r>
      <w:r w:rsidR="002C32BE" w:rsidRPr="00FB70AF">
        <w:rPr>
          <w:rFonts w:ascii="Times New Roman" w:hAnsi="Times New Roman"/>
          <w:color w:val="00B050"/>
          <w:szCs w:val="22"/>
          <w:lang w:eastAsia="sk-SK"/>
        </w:rPr>
        <w:t xml:space="preserve"> </w:t>
      </w:r>
      <w:r w:rsidR="002C32BE" w:rsidRPr="00FB70AF">
        <w:rPr>
          <w:rFonts w:ascii="Times New Roman" w:hAnsi="Times New Roman"/>
          <w:color w:val="000000" w:themeColor="text1"/>
          <w:szCs w:val="22"/>
          <w:lang w:eastAsia="sk-SK"/>
        </w:rPr>
        <w:t xml:space="preserve">a </w:t>
      </w:r>
      <w:r w:rsidR="002C32BE" w:rsidRPr="0085799C">
        <w:rPr>
          <w:rFonts w:ascii="Times New Roman" w:hAnsi="Times New Roman"/>
          <w:color w:val="000000" w:themeColor="text1"/>
          <w:lang w:eastAsia="sk-SK"/>
        </w:rPr>
        <w:t>E</w:t>
      </w:r>
      <w:r w:rsidR="00A15561" w:rsidRPr="0085799C">
        <w:rPr>
          <w:rFonts w:ascii="Times New Roman" w:hAnsi="Times New Roman"/>
          <w:color w:val="000000" w:themeColor="text1"/>
          <w:lang w:eastAsia="sk-SK"/>
        </w:rPr>
        <w:t>XIMBANKA</w:t>
      </w:r>
      <w:r w:rsidR="00A15561" w:rsidRPr="00FB70AF">
        <w:rPr>
          <w:rFonts w:ascii="Times New Roman" w:hAnsi="Times New Roman"/>
          <w:color w:val="000000" w:themeColor="text1"/>
          <w:szCs w:val="22"/>
          <w:lang w:eastAsia="sk-SK"/>
        </w:rPr>
        <w:t xml:space="preserve"> </w:t>
      </w:r>
      <w:r w:rsidR="002C32BE" w:rsidRPr="0085799C">
        <w:rPr>
          <w:rFonts w:ascii="Times New Roman" w:hAnsi="Times New Roman"/>
          <w:color w:val="000000" w:themeColor="text1"/>
          <w:lang w:eastAsia="sk-SK"/>
        </w:rPr>
        <w:t>SR</w:t>
      </w:r>
      <w:r w:rsidR="002C32BE" w:rsidRPr="00FB70AF">
        <w:rPr>
          <w:rFonts w:ascii="Times New Roman" w:hAnsi="Times New Roman"/>
          <w:color w:val="000000" w:themeColor="text1"/>
          <w:szCs w:val="22"/>
          <w:lang w:eastAsia="sk-SK"/>
        </w:rPr>
        <w:t xml:space="preserve"> sumu 37 341 tis. eur.</w:t>
      </w:r>
    </w:p>
    <w:p w14:paraId="214750F2" w14:textId="77777777" w:rsidR="00465752" w:rsidRPr="00FB70AF" w:rsidRDefault="00465752" w:rsidP="00FB70AF">
      <w:pPr>
        <w:spacing w:after="120" w:line="240" w:lineRule="auto"/>
        <w:jc w:val="both"/>
        <w:rPr>
          <w:rFonts w:ascii="Times New Roman" w:hAnsi="Times New Roman"/>
          <w:color w:val="000000" w:themeColor="text1"/>
          <w:szCs w:val="22"/>
          <w:lang w:eastAsia="sk-SK"/>
        </w:rPr>
      </w:pPr>
    </w:p>
    <w:p w14:paraId="55D3C096" w14:textId="7B837BE7" w:rsidR="00465752" w:rsidRDefault="00465752" w:rsidP="0085799C">
      <w:pPr>
        <w:pStyle w:val="Nadpis4"/>
        <w:numPr>
          <w:ilvl w:val="0"/>
          <w:numId w:val="54"/>
        </w:numPr>
        <w:ind w:left="426" w:hanging="426"/>
        <w:rPr>
          <w:lang w:eastAsia="sk-SK"/>
        </w:rPr>
      </w:pPr>
      <w:bookmarkStart w:id="77" w:name="_Kurzové_zisky"/>
      <w:bookmarkEnd w:id="77"/>
      <w:r>
        <w:rPr>
          <w:lang w:eastAsia="sk-SK"/>
        </w:rPr>
        <w:t>Kurzové zisky</w:t>
      </w:r>
    </w:p>
    <w:p w14:paraId="51875D99" w14:textId="77389B7A" w:rsidR="00F40F01" w:rsidRPr="00FB70AF" w:rsidRDefault="00647542" w:rsidP="00F40F01">
      <w:pPr>
        <w:spacing w:after="120" w:line="240" w:lineRule="auto"/>
        <w:jc w:val="both"/>
        <w:rPr>
          <w:rFonts w:ascii="Times New Roman" w:hAnsi="Times New Roman"/>
          <w:bCs/>
          <w:color w:val="00B050"/>
          <w:szCs w:val="22"/>
          <w:lang w:eastAsia="sk-SK"/>
        </w:rPr>
      </w:pPr>
      <w:bookmarkStart w:id="78" w:name="_Ref86186435"/>
      <w:bookmarkEnd w:id="76"/>
      <w:r w:rsidRPr="00FB70AF">
        <w:rPr>
          <w:rFonts w:ascii="Times New Roman" w:hAnsi="Times New Roman"/>
          <w:szCs w:val="22"/>
        </w:rPr>
        <w:t>Najvyššiu celkovú sumu (</w:t>
      </w:r>
      <w:r w:rsidR="00FC0B14" w:rsidRPr="0085799C">
        <w:rPr>
          <w:rFonts w:ascii="Times New Roman" w:hAnsi="Times New Roman"/>
          <w:szCs w:val="22"/>
        </w:rPr>
        <w:t>57</w:t>
      </w:r>
      <w:r w:rsidR="007F6F47">
        <w:rPr>
          <w:rFonts w:ascii="Times New Roman" w:hAnsi="Times New Roman"/>
          <w:szCs w:val="22"/>
        </w:rPr>
        <w:t> </w:t>
      </w:r>
      <w:r w:rsidR="00FC0B14" w:rsidRPr="0085799C">
        <w:rPr>
          <w:rFonts w:ascii="Times New Roman" w:hAnsi="Times New Roman"/>
          <w:szCs w:val="22"/>
        </w:rPr>
        <w:t>233</w:t>
      </w:r>
      <w:r w:rsidRPr="00FB70AF">
        <w:rPr>
          <w:rFonts w:ascii="Times New Roman" w:hAnsi="Times New Roman"/>
          <w:szCs w:val="22"/>
        </w:rPr>
        <w:t> tis.</w:t>
      </w:r>
      <w:r w:rsidR="007F6F47">
        <w:rPr>
          <w:rFonts w:ascii="Times New Roman" w:hAnsi="Times New Roman"/>
          <w:szCs w:val="22"/>
        </w:rPr>
        <w:t> </w:t>
      </w:r>
      <w:r w:rsidRPr="00FB70AF">
        <w:rPr>
          <w:rFonts w:ascii="Times New Roman" w:hAnsi="Times New Roman"/>
          <w:szCs w:val="22"/>
        </w:rPr>
        <w:t xml:space="preserve">eur) opäť dosiahlo </w:t>
      </w:r>
      <w:r w:rsidRPr="0085799C">
        <w:rPr>
          <w:rFonts w:ascii="Times New Roman" w:hAnsi="Times New Roman"/>
          <w:color w:val="000000" w:themeColor="text1"/>
          <w:szCs w:val="22"/>
          <w:u w:val="single"/>
        </w:rPr>
        <w:t>Ministerstvo financií SR</w:t>
      </w:r>
      <w:r w:rsidRPr="00FB70AF">
        <w:rPr>
          <w:rFonts w:ascii="Times New Roman" w:hAnsi="Times New Roman"/>
          <w:szCs w:val="22"/>
        </w:rPr>
        <w:t xml:space="preserve">, </w:t>
      </w:r>
      <w:r w:rsidRPr="00FB70AF">
        <w:rPr>
          <w:rFonts w:ascii="Times New Roman" w:hAnsi="Times New Roman"/>
          <w:color w:val="000000" w:themeColor="text1"/>
          <w:szCs w:val="22"/>
          <w:lang w:eastAsia="sk-SK"/>
        </w:rPr>
        <w:t>a to z</w:t>
      </w:r>
      <w:r w:rsidR="007F6F47">
        <w:rPr>
          <w:rFonts w:ascii="Times New Roman" w:hAnsi="Times New Roman"/>
          <w:color w:val="000000" w:themeColor="text1"/>
          <w:szCs w:val="22"/>
          <w:lang w:eastAsia="sk-SK"/>
        </w:rPr>
        <w:t xml:space="preserve"> </w:t>
      </w:r>
      <w:r w:rsidRPr="00FB70AF">
        <w:rPr>
          <w:rFonts w:ascii="Times New Roman" w:hAnsi="Times New Roman"/>
          <w:color w:val="000000" w:themeColor="text1"/>
          <w:szCs w:val="22"/>
          <w:lang w:eastAsia="sk-SK"/>
        </w:rPr>
        <w:t>obchodov na finančnom trhu</w:t>
      </w:r>
      <w:r w:rsidR="00F40F01" w:rsidRPr="00FB70AF">
        <w:rPr>
          <w:rFonts w:ascii="Times New Roman" w:hAnsi="Times New Roman"/>
          <w:bCs/>
          <w:color w:val="000000" w:themeColor="text1"/>
          <w:szCs w:val="22"/>
          <w:lang w:eastAsia="sk-SK"/>
        </w:rPr>
        <w:t xml:space="preserve">, precenenia vládnych pohľadávok voči zahraničiu, vkladov štátu v medzinárodných inštitúciách, </w:t>
      </w:r>
      <w:proofErr w:type="spellStart"/>
      <w:r w:rsidR="00F40F01" w:rsidRPr="00FB70AF">
        <w:rPr>
          <w:rFonts w:ascii="Times New Roman" w:hAnsi="Times New Roman"/>
          <w:bCs/>
          <w:color w:val="000000" w:themeColor="text1"/>
          <w:szCs w:val="22"/>
          <w:lang w:eastAsia="sk-SK"/>
        </w:rPr>
        <w:t>úložiek</w:t>
      </w:r>
      <w:proofErr w:type="spellEnd"/>
      <w:r w:rsidR="00F40F01" w:rsidRPr="00FB70AF">
        <w:rPr>
          <w:rFonts w:ascii="Times New Roman" w:hAnsi="Times New Roman"/>
          <w:bCs/>
          <w:color w:val="000000" w:themeColor="text1"/>
          <w:szCs w:val="22"/>
          <w:lang w:eastAsia="sk-SK"/>
        </w:rPr>
        <w:t xml:space="preserve"> v komerčných bankách, úrokov zo SWAP-</w:t>
      </w:r>
      <w:proofErr w:type="spellStart"/>
      <w:r w:rsidR="00F40F01" w:rsidRPr="00FB70AF">
        <w:rPr>
          <w:rFonts w:ascii="Times New Roman" w:hAnsi="Times New Roman"/>
          <w:bCs/>
          <w:color w:val="000000" w:themeColor="text1"/>
          <w:szCs w:val="22"/>
          <w:lang w:eastAsia="sk-SK"/>
        </w:rPr>
        <w:t>ov</w:t>
      </w:r>
      <w:proofErr w:type="spellEnd"/>
      <w:r w:rsidR="00F40F01" w:rsidRPr="00FB70AF">
        <w:rPr>
          <w:rFonts w:ascii="Times New Roman" w:hAnsi="Times New Roman"/>
          <w:bCs/>
          <w:color w:val="000000" w:themeColor="text1"/>
          <w:szCs w:val="22"/>
          <w:lang w:eastAsia="sk-SK"/>
        </w:rPr>
        <w:t xml:space="preserve">, štátnych dlhopisov emitovaných a záväzkov vyplývajúcich z úverových vzťahov denominovaných v cudzej mene. </w:t>
      </w:r>
    </w:p>
    <w:p w14:paraId="15A29F68" w14:textId="77777777" w:rsidR="00465752" w:rsidRPr="00FB70AF" w:rsidRDefault="00465752" w:rsidP="00465752">
      <w:pPr>
        <w:spacing w:after="120" w:line="240" w:lineRule="auto"/>
        <w:jc w:val="both"/>
        <w:rPr>
          <w:rFonts w:ascii="Times New Roman" w:hAnsi="Times New Roman"/>
          <w:color w:val="000000" w:themeColor="text1"/>
          <w:szCs w:val="22"/>
          <w:lang w:eastAsia="sk-SK"/>
        </w:rPr>
      </w:pPr>
    </w:p>
    <w:p w14:paraId="4C1C5649" w14:textId="3689ECA1" w:rsidR="00465752" w:rsidRDefault="00E90EF7" w:rsidP="009F2AF6">
      <w:pPr>
        <w:pStyle w:val="Nadpis4"/>
        <w:numPr>
          <w:ilvl w:val="0"/>
          <w:numId w:val="54"/>
        </w:numPr>
        <w:ind w:left="426" w:hanging="426"/>
        <w:rPr>
          <w:lang w:eastAsia="sk-SK"/>
        </w:rPr>
      </w:pPr>
      <w:bookmarkStart w:id="79" w:name="_Podiel_na_výsledku"/>
      <w:bookmarkEnd w:id="79"/>
      <w:r>
        <w:rPr>
          <w:lang w:eastAsia="sk-SK"/>
        </w:rPr>
        <w:t>Podiel na výsledku hospodárenia pridružených ÚJ</w:t>
      </w:r>
    </w:p>
    <w:p w14:paraId="26BCA6A1" w14:textId="077EB768" w:rsidR="00647542" w:rsidRPr="0085799C" w:rsidRDefault="00647542" w:rsidP="0085799C">
      <w:pPr>
        <w:pStyle w:val="Pismenka"/>
        <w:tabs>
          <w:tab w:val="clear" w:pos="426"/>
        </w:tabs>
        <w:spacing w:after="120"/>
        <w:ind w:left="0" w:firstLine="0"/>
        <w:rPr>
          <w:szCs w:val="22"/>
          <w:highlight w:val="yellow"/>
        </w:rPr>
      </w:pPr>
      <w:bookmarkStart w:id="80" w:name="_Ref86186442"/>
      <w:bookmarkEnd w:id="78"/>
      <w:r w:rsidRPr="0085799C">
        <w:rPr>
          <w:b w:val="0"/>
          <w:sz w:val="22"/>
          <w:szCs w:val="22"/>
        </w:rPr>
        <w:t xml:space="preserve">Podiel konsolidujúcich účtovných jednotiek na výsledku hospodárenia pridružených účtovných jednotiek dosiahol sumu </w:t>
      </w:r>
      <w:r w:rsidR="00BE5955" w:rsidRPr="0085799C">
        <w:rPr>
          <w:b w:val="0"/>
          <w:bCs w:val="0"/>
          <w:sz w:val="22"/>
          <w:szCs w:val="22"/>
        </w:rPr>
        <w:t>653</w:t>
      </w:r>
      <w:r w:rsidR="008D7F65">
        <w:rPr>
          <w:b w:val="0"/>
          <w:bCs w:val="0"/>
          <w:sz w:val="22"/>
          <w:szCs w:val="22"/>
        </w:rPr>
        <w:t> </w:t>
      </w:r>
      <w:r w:rsidR="00BE5955" w:rsidRPr="0085799C">
        <w:rPr>
          <w:b w:val="0"/>
          <w:bCs w:val="0"/>
          <w:sz w:val="22"/>
          <w:szCs w:val="22"/>
        </w:rPr>
        <w:t>392</w:t>
      </w:r>
      <w:r w:rsidR="008D7F65">
        <w:rPr>
          <w:b w:val="0"/>
          <w:sz w:val="22"/>
          <w:szCs w:val="22"/>
        </w:rPr>
        <w:t> </w:t>
      </w:r>
      <w:r w:rsidRPr="0085799C">
        <w:rPr>
          <w:b w:val="0"/>
          <w:sz w:val="22"/>
          <w:szCs w:val="22"/>
        </w:rPr>
        <w:t>tis.</w:t>
      </w:r>
      <w:r w:rsidR="008D7F65">
        <w:rPr>
          <w:b w:val="0"/>
          <w:sz w:val="22"/>
          <w:szCs w:val="22"/>
        </w:rPr>
        <w:t> </w:t>
      </w:r>
      <w:r w:rsidRPr="0085799C">
        <w:rPr>
          <w:b w:val="0"/>
          <w:sz w:val="22"/>
          <w:szCs w:val="22"/>
        </w:rPr>
        <w:t xml:space="preserve">eur a medziročne bol </w:t>
      </w:r>
      <w:r w:rsidR="00BE5955" w:rsidRPr="0085799C">
        <w:rPr>
          <w:b w:val="0"/>
          <w:bCs w:val="0"/>
          <w:sz w:val="22"/>
          <w:szCs w:val="22"/>
        </w:rPr>
        <w:t>niž</w:t>
      </w:r>
      <w:r w:rsidRPr="0085799C">
        <w:rPr>
          <w:b w:val="0"/>
          <w:sz w:val="22"/>
          <w:szCs w:val="22"/>
        </w:rPr>
        <w:t>ší o</w:t>
      </w:r>
      <w:r w:rsidR="008D7F65">
        <w:rPr>
          <w:b w:val="0"/>
          <w:bCs w:val="0"/>
          <w:sz w:val="22"/>
          <w:szCs w:val="22"/>
        </w:rPr>
        <w:t xml:space="preserve"> </w:t>
      </w:r>
      <w:r w:rsidR="00BE5955" w:rsidRPr="0085799C">
        <w:rPr>
          <w:b w:val="0"/>
          <w:bCs w:val="0"/>
          <w:sz w:val="22"/>
          <w:szCs w:val="22"/>
        </w:rPr>
        <w:t>578 987</w:t>
      </w:r>
      <w:r w:rsidR="008D7F65">
        <w:rPr>
          <w:b w:val="0"/>
          <w:bCs w:val="0"/>
          <w:sz w:val="22"/>
          <w:szCs w:val="22"/>
        </w:rPr>
        <w:t> </w:t>
      </w:r>
      <w:r w:rsidR="00BE5955" w:rsidRPr="0085799C">
        <w:rPr>
          <w:b w:val="0"/>
          <w:bCs w:val="0"/>
          <w:sz w:val="22"/>
          <w:szCs w:val="22"/>
        </w:rPr>
        <w:t>tis.</w:t>
      </w:r>
      <w:r w:rsidRPr="0085799C">
        <w:rPr>
          <w:b w:val="0"/>
          <w:sz w:val="22"/>
          <w:szCs w:val="22"/>
        </w:rPr>
        <w:t> eur.</w:t>
      </w:r>
    </w:p>
    <w:p w14:paraId="2E513526" w14:textId="4D512876" w:rsidR="00647542" w:rsidRPr="001960A0" w:rsidRDefault="00647542" w:rsidP="00E90EF7">
      <w:pPr>
        <w:spacing w:after="120" w:line="240" w:lineRule="auto"/>
        <w:jc w:val="both"/>
        <w:rPr>
          <w:rFonts w:ascii="Times New Roman" w:hAnsi="Times New Roman"/>
          <w:color w:val="000000" w:themeColor="text1"/>
          <w:szCs w:val="22"/>
          <w:lang w:eastAsia="sk-SK"/>
        </w:rPr>
      </w:pPr>
      <w:r w:rsidRPr="00FB70AF">
        <w:rPr>
          <w:rFonts w:ascii="Times New Roman" w:hAnsi="Times New Roman"/>
          <w:szCs w:val="22"/>
        </w:rPr>
        <w:t xml:space="preserve">Ústredná správa vykázala </w:t>
      </w:r>
      <w:r w:rsidR="00E2699F" w:rsidRPr="0085799C">
        <w:rPr>
          <w:rFonts w:ascii="Times New Roman" w:hAnsi="Times New Roman"/>
          <w:szCs w:val="22"/>
        </w:rPr>
        <w:t>hodnotu 647</w:t>
      </w:r>
      <w:r w:rsidR="008D7F65">
        <w:rPr>
          <w:rFonts w:ascii="Times New Roman" w:hAnsi="Times New Roman"/>
          <w:szCs w:val="22"/>
        </w:rPr>
        <w:t> </w:t>
      </w:r>
      <w:r w:rsidR="00E2699F" w:rsidRPr="0085799C">
        <w:rPr>
          <w:rFonts w:ascii="Times New Roman" w:hAnsi="Times New Roman"/>
          <w:szCs w:val="22"/>
        </w:rPr>
        <w:t>821</w:t>
      </w:r>
      <w:r w:rsidRPr="00FB70AF">
        <w:rPr>
          <w:rFonts w:ascii="Times New Roman" w:hAnsi="Times New Roman"/>
          <w:szCs w:val="22"/>
        </w:rPr>
        <w:t xml:space="preserve"> tis. eur. </w:t>
      </w:r>
      <w:r w:rsidR="00245F26" w:rsidRPr="00FB70AF">
        <w:rPr>
          <w:rFonts w:ascii="Times New Roman" w:hAnsi="Times New Roman"/>
          <w:color w:val="000000" w:themeColor="text1"/>
          <w:szCs w:val="22"/>
          <w:lang w:eastAsia="sk-SK"/>
        </w:rPr>
        <w:t>Najvyššiu sumu 391 217</w:t>
      </w:r>
      <w:r w:rsidR="008D7F65">
        <w:rPr>
          <w:rFonts w:ascii="Times New Roman" w:hAnsi="Times New Roman"/>
          <w:color w:val="000000" w:themeColor="text1"/>
          <w:szCs w:val="22"/>
          <w:lang w:eastAsia="sk-SK"/>
        </w:rPr>
        <w:t> </w:t>
      </w:r>
      <w:r w:rsidR="00245F26" w:rsidRPr="00FB70AF">
        <w:rPr>
          <w:rFonts w:ascii="Times New Roman" w:hAnsi="Times New Roman"/>
          <w:color w:val="000000" w:themeColor="text1"/>
          <w:szCs w:val="22"/>
          <w:lang w:eastAsia="sk-SK"/>
        </w:rPr>
        <w:t>tis.</w:t>
      </w:r>
      <w:r w:rsidR="008D7F65">
        <w:rPr>
          <w:rFonts w:ascii="Times New Roman" w:hAnsi="Times New Roman"/>
          <w:color w:val="000000" w:themeColor="text1"/>
          <w:szCs w:val="22"/>
          <w:lang w:eastAsia="sk-SK"/>
        </w:rPr>
        <w:t> </w:t>
      </w:r>
      <w:r w:rsidR="00245F26" w:rsidRPr="00FB70AF">
        <w:rPr>
          <w:rFonts w:ascii="Times New Roman" w:hAnsi="Times New Roman"/>
          <w:color w:val="000000" w:themeColor="text1"/>
          <w:szCs w:val="22"/>
          <w:lang w:eastAsia="sk-SK"/>
        </w:rPr>
        <w:t xml:space="preserve">eur vykázalo </w:t>
      </w:r>
      <w:r w:rsidR="00245F26" w:rsidRPr="0085799C">
        <w:rPr>
          <w:rFonts w:ascii="Times New Roman" w:hAnsi="Times New Roman"/>
          <w:color w:val="000000" w:themeColor="text1"/>
          <w:szCs w:val="22"/>
          <w:u w:val="single"/>
        </w:rPr>
        <w:t>Ministerstvo hospodárstva SR</w:t>
      </w:r>
      <w:r w:rsidR="00245F26" w:rsidRPr="00FB70AF">
        <w:rPr>
          <w:rFonts w:ascii="Times New Roman" w:hAnsi="Times New Roman"/>
          <w:b/>
          <w:i/>
          <w:color w:val="000000" w:themeColor="text1"/>
          <w:szCs w:val="22"/>
          <w:lang w:eastAsia="sk-SK"/>
        </w:rPr>
        <w:t xml:space="preserve"> </w:t>
      </w:r>
      <w:r w:rsidR="00245F26" w:rsidRPr="00FB70AF">
        <w:rPr>
          <w:rFonts w:ascii="Times New Roman" w:hAnsi="Times New Roman"/>
          <w:color w:val="000000" w:themeColor="text1"/>
          <w:szCs w:val="22"/>
          <w:lang w:eastAsia="sk-SK"/>
        </w:rPr>
        <w:t>s</w:t>
      </w:r>
      <w:r w:rsidR="008D7F65">
        <w:rPr>
          <w:rFonts w:ascii="Times New Roman" w:hAnsi="Times New Roman"/>
          <w:color w:val="000000" w:themeColor="text1"/>
          <w:szCs w:val="22"/>
          <w:lang w:eastAsia="sk-SK"/>
        </w:rPr>
        <w:t xml:space="preserve"> </w:t>
      </w:r>
      <w:r w:rsidR="009E1A05">
        <w:rPr>
          <w:rFonts w:ascii="Times New Roman" w:hAnsi="Times New Roman"/>
          <w:color w:val="000000" w:themeColor="text1"/>
          <w:szCs w:val="22"/>
          <w:lang w:eastAsia="sk-SK"/>
        </w:rPr>
        <w:t>poklesom</w:t>
      </w:r>
      <w:r w:rsidR="009E1A05" w:rsidRPr="00FB70AF">
        <w:rPr>
          <w:rFonts w:ascii="Times New Roman" w:hAnsi="Times New Roman"/>
          <w:color w:val="000000" w:themeColor="text1"/>
          <w:szCs w:val="22"/>
          <w:lang w:eastAsia="sk-SK"/>
        </w:rPr>
        <w:t xml:space="preserve"> </w:t>
      </w:r>
      <w:r w:rsidR="00245F26" w:rsidRPr="00FB70AF">
        <w:rPr>
          <w:rFonts w:ascii="Times New Roman" w:hAnsi="Times New Roman"/>
          <w:color w:val="000000" w:themeColor="text1"/>
          <w:szCs w:val="22"/>
          <w:lang w:eastAsia="sk-SK"/>
        </w:rPr>
        <w:t>636 296 tis.</w:t>
      </w:r>
      <w:r w:rsidR="008D7F65">
        <w:rPr>
          <w:rFonts w:ascii="Times New Roman" w:hAnsi="Times New Roman"/>
          <w:color w:val="000000" w:themeColor="text1"/>
          <w:szCs w:val="22"/>
          <w:lang w:eastAsia="sk-SK"/>
        </w:rPr>
        <w:t> </w:t>
      </w:r>
      <w:r w:rsidR="00245F26" w:rsidRPr="001960A0">
        <w:rPr>
          <w:rFonts w:ascii="Times New Roman" w:hAnsi="Times New Roman"/>
          <w:color w:val="000000" w:themeColor="text1"/>
          <w:szCs w:val="22"/>
          <w:lang w:eastAsia="sk-SK"/>
        </w:rPr>
        <w:t xml:space="preserve">eur z dôvodu navýšenia vlastného imania v pridružených spoločnostiach v roku 2023. </w:t>
      </w:r>
      <w:r w:rsidR="00245F26" w:rsidRPr="0085799C">
        <w:rPr>
          <w:rFonts w:ascii="Times New Roman" w:hAnsi="Times New Roman"/>
          <w:color w:val="000000" w:themeColor="text1"/>
          <w:szCs w:val="22"/>
          <w:u w:val="single"/>
        </w:rPr>
        <w:t>Slovenský plynárenský priemysel, a.s.</w:t>
      </w:r>
      <w:r w:rsidR="00245F26" w:rsidRPr="001960A0">
        <w:rPr>
          <w:rFonts w:ascii="Times New Roman" w:hAnsi="Times New Roman"/>
          <w:b/>
          <w:i/>
          <w:color w:val="000000" w:themeColor="text1"/>
          <w:szCs w:val="22"/>
          <w:lang w:eastAsia="sk-SK"/>
        </w:rPr>
        <w:t xml:space="preserve"> </w:t>
      </w:r>
      <w:r w:rsidR="00245F26" w:rsidRPr="001960A0">
        <w:rPr>
          <w:rFonts w:ascii="Times New Roman" w:hAnsi="Times New Roman"/>
          <w:color w:val="000000" w:themeColor="text1"/>
          <w:szCs w:val="22"/>
          <w:lang w:eastAsia="sk-SK"/>
        </w:rPr>
        <w:t>vykázal sumu 247</w:t>
      </w:r>
      <w:r w:rsidR="008D7F65">
        <w:rPr>
          <w:rFonts w:ascii="Times New Roman" w:hAnsi="Times New Roman"/>
          <w:color w:val="000000" w:themeColor="text1"/>
          <w:szCs w:val="22"/>
          <w:lang w:eastAsia="sk-SK"/>
        </w:rPr>
        <w:t> </w:t>
      </w:r>
      <w:r w:rsidR="00245F26" w:rsidRPr="001960A0">
        <w:rPr>
          <w:rFonts w:ascii="Times New Roman" w:hAnsi="Times New Roman"/>
          <w:color w:val="000000" w:themeColor="text1"/>
          <w:szCs w:val="22"/>
          <w:lang w:eastAsia="sk-SK"/>
        </w:rPr>
        <w:t>097</w:t>
      </w:r>
      <w:r w:rsidR="008D7F65">
        <w:rPr>
          <w:rFonts w:ascii="Times New Roman" w:hAnsi="Times New Roman"/>
          <w:color w:val="000000" w:themeColor="text1"/>
          <w:szCs w:val="22"/>
          <w:lang w:eastAsia="sk-SK"/>
        </w:rPr>
        <w:t> </w:t>
      </w:r>
      <w:r w:rsidR="00245F26" w:rsidRPr="001960A0">
        <w:rPr>
          <w:rFonts w:ascii="Times New Roman" w:hAnsi="Times New Roman"/>
          <w:color w:val="000000" w:themeColor="text1"/>
          <w:szCs w:val="22"/>
          <w:lang w:eastAsia="sk-SK"/>
        </w:rPr>
        <w:t>tis. eur s</w:t>
      </w:r>
      <w:r w:rsidR="009E1A05">
        <w:rPr>
          <w:rFonts w:ascii="Times New Roman" w:hAnsi="Times New Roman"/>
          <w:color w:val="000000" w:themeColor="text1"/>
          <w:szCs w:val="22"/>
          <w:lang w:eastAsia="sk-SK"/>
        </w:rPr>
        <w:t> rastom výnosov o</w:t>
      </w:r>
      <w:r w:rsidR="009E1A05" w:rsidRPr="001960A0">
        <w:rPr>
          <w:rFonts w:ascii="Times New Roman" w:hAnsi="Times New Roman"/>
          <w:color w:val="000000" w:themeColor="text1"/>
          <w:szCs w:val="22"/>
          <w:lang w:eastAsia="sk-SK"/>
        </w:rPr>
        <w:t xml:space="preserve"> </w:t>
      </w:r>
      <w:r w:rsidR="00245F26" w:rsidRPr="001960A0">
        <w:rPr>
          <w:rFonts w:ascii="Times New Roman" w:hAnsi="Times New Roman"/>
          <w:color w:val="000000" w:themeColor="text1"/>
          <w:szCs w:val="22"/>
          <w:lang w:eastAsia="sk-SK"/>
        </w:rPr>
        <w:t>54</w:t>
      </w:r>
      <w:r w:rsidR="008D7F65">
        <w:rPr>
          <w:rFonts w:ascii="Times New Roman" w:hAnsi="Times New Roman"/>
          <w:color w:val="000000" w:themeColor="text1"/>
          <w:szCs w:val="22"/>
          <w:lang w:eastAsia="sk-SK"/>
        </w:rPr>
        <w:t> </w:t>
      </w:r>
      <w:r w:rsidR="00245F26" w:rsidRPr="001960A0">
        <w:rPr>
          <w:rFonts w:ascii="Times New Roman" w:hAnsi="Times New Roman"/>
          <w:color w:val="000000" w:themeColor="text1"/>
          <w:szCs w:val="22"/>
          <w:lang w:eastAsia="sk-SK"/>
        </w:rPr>
        <w:t>255</w:t>
      </w:r>
      <w:r w:rsidR="008D7F65">
        <w:rPr>
          <w:rFonts w:ascii="Times New Roman" w:hAnsi="Times New Roman"/>
          <w:color w:val="000000" w:themeColor="text1"/>
          <w:szCs w:val="22"/>
          <w:lang w:eastAsia="sk-SK"/>
        </w:rPr>
        <w:t> </w:t>
      </w:r>
      <w:r w:rsidR="00245F26" w:rsidRPr="001960A0">
        <w:rPr>
          <w:rFonts w:ascii="Times New Roman" w:hAnsi="Times New Roman"/>
          <w:color w:val="000000" w:themeColor="text1"/>
          <w:szCs w:val="22"/>
          <w:lang w:eastAsia="sk-SK"/>
        </w:rPr>
        <w:t>tis.</w:t>
      </w:r>
      <w:r w:rsidR="008D7F65">
        <w:rPr>
          <w:rFonts w:ascii="Times New Roman" w:hAnsi="Times New Roman"/>
          <w:color w:val="000000" w:themeColor="text1"/>
          <w:szCs w:val="22"/>
          <w:lang w:eastAsia="sk-SK"/>
        </w:rPr>
        <w:t> </w:t>
      </w:r>
      <w:r w:rsidR="00245F26" w:rsidRPr="001960A0">
        <w:rPr>
          <w:rFonts w:ascii="Times New Roman" w:hAnsi="Times New Roman"/>
          <w:color w:val="000000" w:themeColor="text1"/>
          <w:szCs w:val="22"/>
          <w:lang w:eastAsia="sk-SK"/>
        </w:rPr>
        <w:t>eur.</w:t>
      </w:r>
    </w:p>
    <w:p w14:paraId="6CAC1F62" w14:textId="77777777" w:rsidR="00E90EF7" w:rsidRPr="001960A0" w:rsidRDefault="00E90EF7" w:rsidP="00E90EF7">
      <w:pPr>
        <w:spacing w:after="120" w:line="240" w:lineRule="auto"/>
        <w:jc w:val="both"/>
        <w:rPr>
          <w:rFonts w:ascii="Times New Roman" w:hAnsi="Times New Roman"/>
          <w:color w:val="000000" w:themeColor="text1"/>
          <w:szCs w:val="22"/>
          <w:lang w:eastAsia="sk-SK"/>
        </w:rPr>
      </w:pPr>
    </w:p>
    <w:p w14:paraId="7EB6E45C" w14:textId="6EC78ADE" w:rsidR="00E90EF7" w:rsidRDefault="00E90EF7" w:rsidP="0085799C">
      <w:pPr>
        <w:pStyle w:val="Nadpis4"/>
        <w:numPr>
          <w:ilvl w:val="0"/>
          <w:numId w:val="54"/>
        </w:numPr>
        <w:ind w:left="426" w:hanging="426"/>
        <w:rPr>
          <w:lang w:eastAsia="sk-SK"/>
        </w:rPr>
      </w:pPr>
      <w:bookmarkStart w:id="81" w:name="_Ostatné_finančné_výnosy"/>
      <w:bookmarkEnd w:id="81"/>
      <w:r>
        <w:rPr>
          <w:lang w:eastAsia="sk-SK"/>
        </w:rPr>
        <w:lastRenderedPageBreak/>
        <w:t>Ostatné finančné výnosy</w:t>
      </w:r>
    </w:p>
    <w:bookmarkEnd w:id="80"/>
    <w:p w14:paraId="0A4E76D2" w14:textId="21780BCA" w:rsidR="00647542" w:rsidRPr="001960A0" w:rsidRDefault="00647542" w:rsidP="001960A0">
      <w:pPr>
        <w:pStyle w:val="Pismenka"/>
        <w:tabs>
          <w:tab w:val="clear" w:pos="426"/>
        </w:tabs>
        <w:spacing w:after="120"/>
        <w:ind w:left="0" w:firstLine="0"/>
        <w:rPr>
          <w:b w:val="0"/>
          <w:sz w:val="22"/>
          <w:szCs w:val="22"/>
        </w:rPr>
      </w:pPr>
      <w:r w:rsidRPr="001960A0">
        <w:rPr>
          <w:b w:val="0"/>
          <w:sz w:val="22"/>
          <w:szCs w:val="22"/>
        </w:rPr>
        <w:t xml:space="preserve">Ostatné finančné výnosy v celkovej výške </w:t>
      </w:r>
      <w:r w:rsidR="00211D01" w:rsidRPr="0085799C">
        <w:rPr>
          <w:b w:val="0"/>
          <w:bCs w:val="0"/>
          <w:sz w:val="22"/>
          <w:szCs w:val="22"/>
        </w:rPr>
        <w:t>152</w:t>
      </w:r>
      <w:r w:rsidR="001267EB">
        <w:rPr>
          <w:b w:val="0"/>
          <w:bCs w:val="0"/>
          <w:sz w:val="22"/>
          <w:szCs w:val="22"/>
        </w:rPr>
        <w:t> </w:t>
      </w:r>
      <w:r w:rsidR="00211D01" w:rsidRPr="0085799C">
        <w:rPr>
          <w:b w:val="0"/>
          <w:bCs w:val="0"/>
          <w:sz w:val="22"/>
          <w:szCs w:val="22"/>
        </w:rPr>
        <w:t>822</w:t>
      </w:r>
      <w:r w:rsidR="001267EB">
        <w:rPr>
          <w:b w:val="0"/>
          <w:sz w:val="22"/>
          <w:szCs w:val="22"/>
        </w:rPr>
        <w:t> </w:t>
      </w:r>
      <w:r w:rsidRPr="001960A0">
        <w:rPr>
          <w:b w:val="0"/>
          <w:sz w:val="22"/>
          <w:szCs w:val="22"/>
        </w:rPr>
        <w:t>tis.</w:t>
      </w:r>
      <w:r w:rsidR="001267EB">
        <w:rPr>
          <w:b w:val="0"/>
          <w:sz w:val="22"/>
          <w:szCs w:val="22"/>
        </w:rPr>
        <w:t> </w:t>
      </w:r>
      <w:r w:rsidRPr="001960A0">
        <w:rPr>
          <w:b w:val="0"/>
          <w:sz w:val="22"/>
          <w:szCs w:val="22"/>
        </w:rPr>
        <w:t xml:space="preserve">eur tvoria najmä </w:t>
      </w:r>
      <w:r w:rsidR="00794827">
        <w:rPr>
          <w:b w:val="0"/>
          <w:bCs w:val="0"/>
          <w:sz w:val="22"/>
          <w:szCs w:val="22"/>
        </w:rPr>
        <w:t>iné</w:t>
      </w:r>
      <w:r w:rsidR="00794827" w:rsidRPr="0085799C">
        <w:rPr>
          <w:b w:val="0"/>
          <w:bCs w:val="0"/>
          <w:sz w:val="22"/>
          <w:szCs w:val="22"/>
        </w:rPr>
        <w:t xml:space="preserve"> </w:t>
      </w:r>
      <w:r w:rsidR="008A52C9" w:rsidRPr="0085799C">
        <w:rPr>
          <w:b w:val="0"/>
          <w:bCs w:val="0"/>
          <w:sz w:val="22"/>
          <w:szCs w:val="22"/>
        </w:rPr>
        <w:t xml:space="preserve">finančné </w:t>
      </w:r>
      <w:r w:rsidR="00D71A8C" w:rsidRPr="0085799C">
        <w:rPr>
          <w:b w:val="0"/>
          <w:bCs w:val="0"/>
          <w:sz w:val="22"/>
          <w:szCs w:val="22"/>
        </w:rPr>
        <w:t>výnosy v hodnote 111</w:t>
      </w:r>
      <w:r w:rsidR="001267EB">
        <w:rPr>
          <w:b w:val="0"/>
          <w:bCs w:val="0"/>
          <w:sz w:val="22"/>
          <w:szCs w:val="22"/>
        </w:rPr>
        <w:t> </w:t>
      </w:r>
      <w:r w:rsidR="00D71A8C" w:rsidRPr="0085799C">
        <w:rPr>
          <w:b w:val="0"/>
          <w:bCs w:val="0"/>
          <w:sz w:val="22"/>
          <w:szCs w:val="22"/>
        </w:rPr>
        <w:t>468</w:t>
      </w:r>
      <w:r w:rsidR="001267EB">
        <w:rPr>
          <w:b w:val="0"/>
          <w:bCs w:val="0"/>
          <w:sz w:val="22"/>
          <w:szCs w:val="22"/>
        </w:rPr>
        <w:t> </w:t>
      </w:r>
      <w:r w:rsidR="00D71A8C" w:rsidRPr="0085799C">
        <w:rPr>
          <w:b w:val="0"/>
          <w:bCs w:val="0"/>
          <w:sz w:val="22"/>
          <w:szCs w:val="22"/>
        </w:rPr>
        <w:t>tis.</w:t>
      </w:r>
      <w:r w:rsidR="001267EB">
        <w:rPr>
          <w:b w:val="0"/>
          <w:bCs w:val="0"/>
          <w:sz w:val="22"/>
          <w:szCs w:val="22"/>
        </w:rPr>
        <w:t> </w:t>
      </w:r>
      <w:r w:rsidR="00D71A8C" w:rsidRPr="0085799C">
        <w:rPr>
          <w:b w:val="0"/>
          <w:bCs w:val="0"/>
          <w:sz w:val="22"/>
          <w:szCs w:val="22"/>
        </w:rPr>
        <w:t xml:space="preserve">eur, výnosy z dlhodobého finančného majetku a krátkodobého finančného majetku v sume </w:t>
      </w:r>
      <w:r w:rsidR="00F90787" w:rsidRPr="0085799C">
        <w:rPr>
          <w:b w:val="0"/>
          <w:bCs w:val="0"/>
          <w:sz w:val="22"/>
          <w:szCs w:val="22"/>
        </w:rPr>
        <w:t>22</w:t>
      </w:r>
      <w:r w:rsidR="001267EB">
        <w:rPr>
          <w:b w:val="0"/>
          <w:bCs w:val="0"/>
          <w:sz w:val="22"/>
          <w:szCs w:val="22"/>
        </w:rPr>
        <w:t> </w:t>
      </w:r>
      <w:r w:rsidR="00F90787" w:rsidRPr="0085799C">
        <w:rPr>
          <w:b w:val="0"/>
          <w:bCs w:val="0"/>
          <w:sz w:val="22"/>
          <w:szCs w:val="22"/>
        </w:rPr>
        <w:t>692</w:t>
      </w:r>
      <w:r w:rsidR="001267EB">
        <w:rPr>
          <w:b w:val="0"/>
          <w:bCs w:val="0"/>
          <w:sz w:val="22"/>
          <w:szCs w:val="22"/>
        </w:rPr>
        <w:t> </w:t>
      </w:r>
      <w:r w:rsidR="00F90787" w:rsidRPr="0085799C">
        <w:rPr>
          <w:b w:val="0"/>
          <w:bCs w:val="0"/>
          <w:sz w:val="22"/>
          <w:szCs w:val="22"/>
        </w:rPr>
        <w:t>tis.</w:t>
      </w:r>
      <w:r w:rsidR="001267EB">
        <w:rPr>
          <w:b w:val="0"/>
          <w:bCs w:val="0"/>
          <w:sz w:val="22"/>
          <w:szCs w:val="22"/>
        </w:rPr>
        <w:t> </w:t>
      </w:r>
      <w:r w:rsidR="00F90787" w:rsidRPr="0085799C">
        <w:rPr>
          <w:b w:val="0"/>
          <w:bCs w:val="0"/>
          <w:sz w:val="22"/>
          <w:szCs w:val="22"/>
        </w:rPr>
        <w:t>eur v podobe napr. dividend alebo podielov na zisku</w:t>
      </w:r>
      <w:r w:rsidRPr="001960A0">
        <w:rPr>
          <w:b w:val="0"/>
          <w:sz w:val="22"/>
          <w:szCs w:val="22"/>
        </w:rPr>
        <w:t>.</w:t>
      </w:r>
    </w:p>
    <w:p w14:paraId="320B11DE" w14:textId="2791780C" w:rsidR="00E90EF7" w:rsidRDefault="00E90EF7" w:rsidP="0085799C">
      <w:pPr>
        <w:pStyle w:val="Nadpis3"/>
        <w:numPr>
          <w:ilvl w:val="0"/>
          <w:numId w:val="53"/>
        </w:numPr>
        <w:ind w:left="709"/>
      </w:pPr>
      <w:r>
        <w:t>Zúčtovanie rezerv a opravných položiek</w:t>
      </w:r>
    </w:p>
    <w:p w14:paraId="43AAE421" w14:textId="040FF2FB" w:rsidR="00535663" w:rsidRPr="001960A0" w:rsidRDefault="00647542" w:rsidP="001960A0">
      <w:pPr>
        <w:spacing w:after="120" w:line="240" w:lineRule="auto"/>
        <w:jc w:val="both"/>
        <w:rPr>
          <w:rFonts w:ascii="Times New Roman" w:hAnsi="Times New Roman"/>
          <w:szCs w:val="22"/>
        </w:rPr>
      </w:pPr>
      <w:bookmarkStart w:id="82" w:name="_Ref86186453"/>
      <w:r w:rsidRPr="001960A0">
        <w:rPr>
          <w:rFonts w:ascii="Times New Roman" w:hAnsi="Times New Roman"/>
          <w:szCs w:val="22"/>
        </w:rPr>
        <w:t>Zúčtovanie rezerv a opravných položiek vytvorených v</w:t>
      </w:r>
      <w:r w:rsidR="001267EB">
        <w:rPr>
          <w:rFonts w:ascii="Times New Roman" w:hAnsi="Times New Roman"/>
          <w:szCs w:val="22"/>
        </w:rPr>
        <w:t xml:space="preserve"> </w:t>
      </w:r>
      <w:r w:rsidRPr="001960A0">
        <w:rPr>
          <w:rFonts w:ascii="Times New Roman" w:hAnsi="Times New Roman"/>
          <w:szCs w:val="22"/>
        </w:rPr>
        <w:t>predchádzajúcich obdobiach, bolo k</w:t>
      </w:r>
      <w:r w:rsidR="001267EB">
        <w:rPr>
          <w:rFonts w:ascii="Times New Roman" w:hAnsi="Times New Roman"/>
          <w:szCs w:val="22"/>
        </w:rPr>
        <w:t xml:space="preserve"> </w:t>
      </w:r>
      <w:r w:rsidRPr="001960A0">
        <w:rPr>
          <w:rFonts w:ascii="Times New Roman" w:hAnsi="Times New Roman"/>
          <w:szCs w:val="22"/>
        </w:rPr>
        <w:t>31.</w:t>
      </w:r>
      <w:r w:rsidR="00867606">
        <w:rPr>
          <w:rFonts w:ascii="Times New Roman" w:hAnsi="Times New Roman"/>
          <w:szCs w:val="22"/>
        </w:rPr>
        <w:t xml:space="preserve"> </w:t>
      </w:r>
      <w:r w:rsidRPr="001960A0">
        <w:rPr>
          <w:rFonts w:ascii="Times New Roman" w:hAnsi="Times New Roman"/>
          <w:szCs w:val="22"/>
        </w:rPr>
        <w:t>12.</w:t>
      </w:r>
      <w:r w:rsidR="00867606">
        <w:rPr>
          <w:rFonts w:ascii="Times New Roman" w:hAnsi="Times New Roman"/>
          <w:szCs w:val="22"/>
        </w:rPr>
        <w:t xml:space="preserve"> </w:t>
      </w:r>
      <w:r w:rsidRPr="001960A0">
        <w:rPr>
          <w:rFonts w:ascii="Times New Roman" w:hAnsi="Times New Roman"/>
          <w:szCs w:val="22"/>
        </w:rPr>
        <w:t>202</w:t>
      </w:r>
      <w:r w:rsidR="00B03C3B" w:rsidRPr="0085799C">
        <w:rPr>
          <w:rFonts w:ascii="Times New Roman" w:hAnsi="Times New Roman"/>
          <w:szCs w:val="22"/>
        </w:rPr>
        <w:t>4</w:t>
      </w:r>
      <w:r w:rsidRPr="001960A0">
        <w:rPr>
          <w:rFonts w:ascii="Times New Roman" w:hAnsi="Times New Roman"/>
          <w:szCs w:val="22"/>
        </w:rPr>
        <w:t xml:space="preserve"> v</w:t>
      </w:r>
      <w:r w:rsidR="004541E2">
        <w:rPr>
          <w:rFonts w:ascii="Times New Roman" w:hAnsi="Times New Roman"/>
          <w:szCs w:val="22"/>
        </w:rPr>
        <w:t xml:space="preserve"> </w:t>
      </w:r>
      <w:r w:rsidRPr="001960A0">
        <w:rPr>
          <w:rFonts w:ascii="Times New Roman" w:hAnsi="Times New Roman"/>
          <w:szCs w:val="22"/>
        </w:rPr>
        <w:t xml:space="preserve">hodnote </w:t>
      </w:r>
      <w:r w:rsidR="00885E14" w:rsidRPr="0085799C">
        <w:rPr>
          <w:rFonts w:ascii="Times New Roman" w:hAnsi="Times New Roman"/>
          <w:szCs w:val="22"/>
        </w:rPr>
        <w:t>2</w:t>
      </w:r>
      <w:r w:rsidR="009E550E" w:rsidRPr="001960A0">
        <w:rPr>
          <w:rFonts w:ascii="Times New Roman" w:hAnsi="Times New Roman"/>
          <w:szCs w:val="22"/>
        </w:rPr>
        <w:t> </w:t>
      </w:r>
      <w:r w:rsidR="00885E14" w:rsidRPr="0085799C">
        <w:rPr>
          <w:rFonts w:ascii="Times New Roman" w:hAnsi="Times New Roman"/>
          <w:szCs w:val="22"/>
        </w:rPr>
        <w:t>450</w:t>
      </w:r>
      <w:r w:rsidR="009E550E" w:rsidRPr="001960A0">
        <w:rPr>
          <w:rFonts w:ascii="Times New Roman" w:hAnsi="Times New Roman"/>
          <w:szCs w:val="22"/>
        </w:rPr>
        <w:t> </w:t>
      </w:r>
      <w:r w:rsidR="00885E14" w:rsidRPr="0085799C">
        <w:rPr>
          <w:rFonts w:ascii="Times New Roman" w:hAnsi="Times New Roman"/>
          <w:szCs w:val="22"/>
        </w:rPr>
        <w:t>728</w:t>
      </w:r>
      <w:r w:rsidRPr="001960A0">
        <w:rPr>
          <w:rFonts w:ascii="Times New Roman" w:hAnsi="Times New Roman"/>
          <w:szCs w:val="22"/>
        </w:rPr>
        <w:t> tis. eur. Medziročne sa znížili tieto nepeňažné výnosy o</w:t>
      </w:r>
      <w:r w:rsidR="00187C49" w:rsidRPr="0085799C">
        <w:rPr>
          <w:rFonts w:ascii="Times New Roman" w:hAnsi="Times New Roman"/>
          <w:szCs w:val="22"/>
        </w:rPr>
        <w:t> 2 063</w:t>
      </w:r>
      <w:r w:rsidR="009E550E" w:rsidRPr="001960A0">
        <w:rPr>
          <w:rFonts w:ascii="Times New Roman" w:hAnsi="Times New Roman"/>
          <w:szCs w:val="22"/>
        </w:rPr>
        <w:t> </w:t>
      </w:r>
      <w:r w:rsidR="00187C49" w:rsidRPr="0085799C">
        <w:rPr>
          <w:rFonts w:ascii="Times New Roman" w:hAnsi="Times New Roman"/>
          <w:szCs w:val="22"/>
        </w:rPr>
        <w:t>582</w:t>
      </w:r>
      <w:r w:rsidRPr="001960A0">
        <w:rPr>
          <w:rFonts w:ascii="Times New Roman" w:hAnsi="Times New Roman"/>
          <w:szCs w:val="22"/>
        </w:rPr>
        <w:t> tis. eur najmä</w:t>
      </w:r>
      <w:r w:rsidRPr="0085799C">
        <w:rPr>
          <w:rFonts w:ascii="Times New Roman" w:hAnsi="Times New Roman"/>
          <w:szCs w:val="22"/>
        </w:rPr>
        <w:t xml:space="preserve"> </w:t>
      </w:r>
      <w:r w:rsidRPr="001960A0">
        <w:rPr>
          <w:rFonts w:ascii="Times New Roman" w:hAnsi="Times New Roman"/>
          <w:szCs w:val="22"/>
        </w:rPr>
        <w:t xml:space="preserve">nižším </w:t>
      </w:r>
      <w:r w:rsidRPr="001960A0">
        <w:rPr>
          <w:rFonts w:ascii="Times New Roman" w:hAnsi="Times New Roman"/>
          <w:szCs w:val="22"/>
          <w:u w:val="single"/>
        </w:rPr>
        <w:t xml:space="preserve">zúčtovaním </w:t>
      </w:r>
      <w:r w:rsidR="00187C49" w:rsidRPr="0085799C">
        <w:rPr>
          <w:rFonts w:ascii="Times New Roman" w:hAnsi="Times New Roman"/>
          <w:szCs w:val="22"/>
          <w:u w:val="single"/>
        </w:rPr>
        <w:t xml:space="preserve">ostatných </w:t>
      </w:r>
      <w:r w:rsidRPr="001960A0">
        <w:rPr>
          <w:rFonts w:ascii="Times New Roman" w:hAnsi="Times New Roman"/>
          <w:szCs w:val="22"/>
          <w:u w:val="single"/>
        </w:rPr>
        <w:t>rezerv</w:t>
      </w:r>
      <w:r w:rsidRPr="0085799C">
        <w:rPr>
          <w:rFonts w:ascii="Times New Roman" w:hAnsi="Times New Roman"/>
          <w:szCs w:val="22"/>
          <w:u w:val="single"/>
        </w:rPr>
        <w:t xml:space="preserve"> </w:t>
      </w:r>
      <w:r w:rsidR="00187C49" w:rsidRPr="0085799C">
        <w:rPr>
          <w:rFonts w:ascii="Times New Roman" w:hAnsi="Times New Roman"/>
          <w:szCs w:val="22"/>
          <w:u w:val="single"/>
        </w:rPr>
        <w:t>z prevádzkovej činnosti</w:t>
      </w:r>
      <w:r w:rsidRPr="001960A0">
        <w:rPr>
          <w:rFonts w:ascii="Times New Roman" w:hAnsi="Times New Roman"/>
          <w:szCs w:val="22"/>
        </w:rPr>
        <w:t xml:space="preserve"> o</w:t>
      </w:r>
      <w:r w:rsidR="001267EB">
        <w:rPr>
          <w:rFonts w:ascii="Times New Roman" w:hAnsi="Times New Roman"/>
          <w:szCs w:val="22"/>
        </w:rPr>
        <w:t xml:space="preserve"> </w:t>
      </w:r>
      <w:r w:rsidR="00187C49" w:rsidRPr="0085799C">
        <w:rPr>
          <w:rFonts w:ascii="Times New Roman" w:hAnsi="Times New Roman"/>
          <w:szCs w:val="22"/>
        </w:rPr>
        <w:t>2</w:t>
      </w:r>
      <w:r w:rsidR="001267EB">
        <w:rPr>
          <w:rFonts w:ascii="Times New Roman" w:hAnsi="Times New Roman"/>
          <w:szCs w:val="22"/>
        </w:rPr>
        <w:t> </w:t>
      </w:r>
      <w:r w:rsidR="00187C49" w:rsidRPr="0085799C">
        <w:rPr>
          <w:rFonts w:ascii="Times New Roman" w:hAnsi="Times New Roman"/>
          <w:szCs w:val="22"/>
        </w:rPr>
        <w:t>347</w:t>
      </w:r>
      <w:r w:rsidR="001267EB">
        <w:rPr>
          <w:rFonts w:ascii="Times New Roman" w:hAnsi="Times New Roman"/>
          <w:szCs w:val="22"/>
        </w:rPr>
        <w:t> </w:t>
      </w:r>
      <w:r w:rsidR="00187C49" w:rsidRPr="0085799C">
        <w:rPr>
          <w:rFonts w:ascii="Times New Roman" w:hAnsi="Times New Roman"/>
          <w:szCs w:val="22"/>
        </w:rPr>
        <w:t>590</w:t>
      </w:r>
      <w:r w:rsidRPr="001960A0">
        <w:rPr>
          <w:rFonts w:ascii="Times New Roman" w:hAnsi="Times New Roman"/>
          <w:szCs w:val="22"/>
        </w:rPr>
        <w:t xml:space="preserve"> tis. eur, vyššie bolo </w:t>
      </w:r>
      <w:r w:rsidRPr="001960A0">
        <w:rPr>
          <w:rFonts w:ascii="Times New Roman" w:hAnsi="Times New Roman"/>
          <w:szCs w:val="22"/>
          <w:u w:val="single"/>
        </w:rPr>
        <w:t xml:space="preserve">zúčtovanie </w:t>
      </w:r>
      <w:r w:rsidR="004547FA" w:rsidRPr="0085799C">
        <w:rPr>
          <w:rFonts w:ascii="Times New Roman" w:hAnsi="Times New Roman"/>
          <w:szCs w:val="22"/>
          <w:u w:val="single"/>
        </w:rPr>
        <w:t xml:space="preserve">ostatných </w:t>
      </w:r>
      <w:r w:rsidRPr="001960A0">
        <w:rPr>
          <w:rFonts w:ascii="Times New Roman" w:hAnsi="Times New Roman"/>
          <w:szCs w:val="22"/>
          <w:u w:val="single"/>
        </w:rPr>
        <w:t xml:space="preserve"> opravných položiek</w:t>
      </w:r>
      <w:r w:rsidRPr="0085799C">
        <w:rPr>
          <w:rFonts w:ascii="Times New Roman" w:hAnsi="Times New Roman"/>
          <w:szCs w:val="22"/>
          <w:u w:val="single"/>
        </w:rPr>
        <w:t xml:space="preserve"> </w:t>
      </w:r>
      <w:r w:rsidR="004547FA" w:rsidRPr="0085799C">
        <w:rPr>
          <w:rFonts w:ascii="Times New Roman" w:hAnsi="Times New Roman"/>
          <w:szCs w:val="22"/>
          <w:u w:val="single"/>
        </w:rPr>
        <w:t>z</w:t>
      </w:r>
      <w:r w:rsidR="001267EB">
        <w:rPr>
          <w:rFonts w:ascii="Times New Roman" w:hAnsi="Times New Roman"/>
          <w:szCs w:val="22"/>
          <w:u w:val="single"/>
        </w:rPr>
        <w:t xml:space="preserve"> </w:t>
      </w:r>
      <w:r w:rsidR="004547FA" w:rsidRPr="0085799C">
        <w:rPr>
          <w:rFonts w:ascii="Times New Roman" w:hAnsi="Times New Roman"/>
          <w:szCs w:val="22"/>
          <w:u w:val="single"/>
        </w:rPr>
        <w:t>prevádzkovej činnosti</w:t>
      </w:r>
      <w:r w:rsidRPr="001960A0">
        <w:rPr>
          <w:rFonts w:ascii="Times New Roman" w:hAnsi="Times New Roman"/>
          <w:szCs w:val="22"/>
        </w:rPr>
        <w:t xml:space="preserve"> o</w:t>
      </w:r>
      <w:r w:rsidR="004541E2">
        <w:rPr>
          <w:rFonts w:ascii="Times New Roman" w:hAnsi="Times New Roman"/>
          <w:szCs w:val="22"/>
        </w:rPr>
        <w:t xml:space="preserve"> </w:t>
      </w:r>
      <w:r w:rsidR="004547FA" w:rsidRPr="0085799C">
        <w:rPr>
          <w:rFonts w:ascii="Times New Roman" w:hAnsi="Times New Roman"/>
          <w:szCs w:val="22"/>
        </w:rPr>
        <w:t>175</w:t>
      </w:r>
      <w:r w:rsidR="001267EB">
        <w:rPr>
          <w:rFonts w:ascii="Times New Roman" w:hAnsi="Times New Roman"/>
          <w:szCs w:val="22"/>
        </w:rPr>
        <w:t> </w:t>
      </w:r>
      <w:r w:rsidR="004547FA" w:rsidRPr="0085799C">
        <w:rPr>
          <w:rFonts w:ascii="Times New Roman" w:hAnsi="Times New Roman"/>
          <w:szCs w:val="22"/>
        </w:rPr>
        <w:t>850</w:t>
      </w:r>
      <w:r w:rsidRPr="001960A0">
        <w:rPr>
          <w:rFonts w:ascii="Times New Roman" w:hAnsi="Times New Roman"/>
          <w:szCs w:val="22"/>
        </w:rPr>
        <w:t> tis. eur. Na celkovej hodnote výnosov sa v rozhodujúcej miere (</w:t>
      </w:r>
      <w:r w:rsidR="005401D3" w:rsidRPr="0085799C">
        <w:rPr>
          <w:rFonts w:ascii="Times New Roman" w:hAnsi="Times New Roman"/>
          <w:szCs w:val="22"/>
        </w:rPr>
        <w:t>89</w:t>
      </w:r>
      <w:r w:rsidRPr="001960A0">
        <w:rPr>
          <w:rFonts w:ascii="Times New Roman" w:hAnsi="Times New Roman"/>
          <w:szCs w:val="22"/>
        </w:rPr>
        <w:t xml:space="preserve"> %) podieľa ústredná správa </w:t>
      </w:r>
      <w:r w:rsidRPr="001960A0">
        <w:rPr>
          <w:rFonts w:ascii="Times New Roman" w:hAnsi="Times New Roman"/>
          <w:szCs w:val="22"/>
          <w:lang w:eastAsia="sk-SK"/>
        </w:rPr>
        <w:t>sumou</w:t>
      </w:r>
      <w:r w:rsidR="00E66AE7" w:rsidRPr="0085799C">
        <w:rPr>
          <w:rFonts w:ascii="Times New Roman" w:hAnsi="Times New Roman"/>
          <w:bCs/>
          <w:szCs w:val="22"/>
          <w:lang w:eastAsia="sk-SK"/>
        </w:rPr>
        <w:t xml:space="preserve"> 2</w:t>
      </w:r>
      <w:r w:rsidR="001267EB">
        <w:rPr>
          <w:rFonts w:ascii="Times New Roman" w:hAnsi="Times New Roman"/>
          <w:bCs/>
          <w:szCs w:val="22"/>
          <w:lang w:eastAsia="sk-SK"/>
        </w:rPr>
        <w:t> </w:t>
      </w:r>
      <w:r w:rsidR="00E66AE7" w:rsidRPr="0085799C">
        <w:rPr>
          <w:rFonts w:ascii="Times New Roman" w:hAnsi="Times New Roman"/>
          <w:bCs/>
          <w:szCs w:val="22"/>
          <w:lang w:eastAsia="sk-SK"/>
        </w:rPr>
        <w:t>181</w:t>
      </w:r>
      <w:r w:rsidR="001267EB">
        <w:rPr>
          <w:rFonts w:ascii="Times New Roman" w:hAnsi="Times New Roman"/>
          <w:bCs/>
          <w:szCs w:val="22"/>
          <w:lang w:eastAsia="sk-SK"/>
        </w:rPr>
        <w:t> </w:t>
      </w:r>
      <w:r w:rsidR="00E66AE7" w:rsidRPr="0085799C">
        <w:rPr>
          <w:rFonts w:ascii="Times New Roman" w:hAnsi="Times New Roman"/>
          <w:bCs/>
          <w:szCs w:val="22"/>
          <w:lang w:eastAsia="sk-SK"/>
        </w:rPr>
        <w:t>425</w:t>
      </w:r>
      <w:r w:rsidRPr="001960A0">
        <w:rPr>
          <w:rFonts w:ascii="Times New Roman" w:hAnsi="Times New Roman"/>
          <w:szCs w:val="22"/>
          <w:lang w:eastAsia="sk-SK"/>
        </w:rPr>
        <w:t> tis. eur</w:t>
      </w:r>
      <w:r w:rsidRPr="001960A0">
        <w:rPr>
          <w:rFonts w:ascii="Times New Roman" w:hAnsi="Times New Roman"/>
          <w:szCs w:val="22"/>
        </w:rPr>
        <w:t>.</w:t>
      </w:r>
    </w:p>
    <w:p w14:paraId="1875A8B0" w14:textId="5F316B87" w:rsidR="00647542" w:rsidRPr="00295977" w:rsidRDefault="00535663" w:rsidP="0085799C">
      <w:pPr>
        <w:pStyle w:val="Nadpis4"/>
        <w:numPr>
          <w:ilvl w:val="0"/>
          <w:numId w:val="54"/>
        </w:numPr>
        <w:ind w:left="426" w:hanging="426"/>
      </w:pPr>
      <w:bookmarkStart w:id="83" w:name="_Rezervy"/>
      <w:bookmarkEnd w:id="83"/>
      <w:r>
        <w:t>Rezervy</w:t>
      </w:r>
      <w:r w:rsidR="00647542" w:rsidRPr="00295977">
        <w:t xml:space="preserve"> </w:t>
      </w:r>
    </w:p>
    <w:p w14:paraId="3AECCDD8" w14:textId="27975C51" w:rsidR="0006597C" w:rsidRPr="001960A0" w:rsidRDefault="00647542" w:rsidP="001960A0">
      <w:pPr>
        <w:spacing w:after="120" w:line="240" w:lineRule="auto"/>
        <w:jc w:val="both"/>
        <w:rPr>
          <w:rFonts w:ascii="Times New Roman" w:hAnsi="Times New Roman"/>
          <w:szCs w:val="22"/>
        </w:rPr>
      </w:pPr>
      <w:bookmarkStart w:id="84" w:name="_Ref86186462"/>
      <w:bookmarkEnd w:id="82"/>
      <w:r w:rsidRPr="001960A0">
        <w:rPr>
          <w:rFonts w:ascii="Times New Roman" w:hAnsi="Times New Roman"/>
          <w:szCs w:val="22"/>
          <w:lang w:eastAsia="sk-SK"/>
        </w:rPr>
        <w:t xml:space="preserve">Výnosy zo zúčtovania rezerv v celkovej sume </w:t>
      </w:r>
      <w:r w:rsidR="00925502" w:rsidRPr="0085799C">
        <w:rPr>
          <w:rFonts w:ascii="Times New Roman" w:hAnsi="Times New Roman"/>
          <w:szCs w:val="22"/>
          <w:lang w:eastAsia="sk-SK"/>
        </w:rPr>
        <w:t>1</w:t>
      </w:r>
      <w:r w:rsidR="004541E2">
        <w:rPr>
          <w:rFonts w:ascii="Times New Roman" w:hAnsi="Times New Roman"/>
          <w:szCs w:val="22"/>
          <w:lang w:eastAsia="sk-SK"/>
        </w:rPr>
        <w:t> </w:t>
      </w:r>
      <w:r w:rsidR="00925502" w:rsidRPr="0085799C">
        <w:rPr>
          <w:rFonts w:ascii="Times New Roman" w:hAnsi="Times New Roman"/>
          <w:szCs w:val="22"/>
          <w:lang w:eastAsia="sk-SK"/>
        </w:rPr>
        <w:t>276</w:t>
      </w:r>
      <w:r w:rsidR="004541E2">
        <w:rPr>
          <w:rFonts w:ascii="Times New Roman" w:hAnsi="Times New Roman"/>
          <w:szCs w:val="22"/>
          <w:lang w:eastAsia="sk-SK"/>
        </w:rPr>
        <w:t> </w:t>
      </w:r>
      <w:r w:rsidR="00925502" w:rsidRPr="0085799C">
        <w:rPr>
          <w:rFonts w:ascii="Times New Roman" w:hAnsi="Times New Roman"/>
          <w:szCs w:val="22"/>
          <w:lang w:eastAsia="sk-SK"/>
        </w:rPr>
        <w:t>682</w:t>
      </w:r>
      <w:r w:rsidRPr="001960A0">
        <w:rPr>
          <w:rFonts w:ascii="Times New Roman" w:hAnsi="Times New Roman"/>
          <w:szCs w:val="22"/>
          <w:lang w:eastAsia="sk-SK"/>
        </w:rPr>
        <w:t xml:space="preserve"> tis. eur sú vykazované z</w:t>
      </w:r>
      <w:r w:rsidR="004541E2">
        <w:rPr>
          <w:rFonts w:ascii="Times New Roman" w:hAnsi="Times New Roman"/>
          <w:szCs w:val="22"/>
          <w:lang w:eastAsia="sk-SK"/>
        </w:rPr>
        <w:t xml:space="preserve"> </w:t>
      </w:r>
      <w:r w:rsidRPr="001960A0">
        <w:rPr>
          <w:rFonts w:ascii="Times New Roman" w:hAnsi="Times New Roman"/>
          <w:szCs w:val="22"/>
          <w:lang w:eastAsia="sk-SK"/>
        </w:rPr>
        <w:t>dôvodu ich použitia na vymedzený účel</w:t>
      </w:r>
      <w:r w:rsidR="00925502" w:rsidRPr="0085799C">
        <w:rPr>
          <w:rFonts w:ascii="Times New Roman" w:hAnsi="Times New Roman"/>
          <w:szCs w:val="22"/>
          <w:lang w:eastAsia="sk-SK"/>
        </w:rPr>
        <w:t>,</w:t>
      </w:r>
      <w:r w:rsidRPr="001960A0">
        <w:rPr>
          <w:rFonts w:ascii="Times New Roman" w:hAnsi="Times New Roman"/>
          <w:szCs w:val="22"/>
          <w:lang w:eastAsia="sk-SK"/>
        </w:rPr>
        <w:t xml:space="preserve"> resp. z dôvodu zrušenia pri zániku rizika, na ktoré boli rezervy tvorené (rovnako tak aj pri aktualizácii ich výšky vytvorenej v predchádzajúcich obdobiach). </w:t>
      </w:r>
      <w:r w:rsidR="003D3AEF" w:rsidRPr="0085799C">
        <w:rPr>
          <w:rFonts w:ascii="Times New Roman" w:hAnsi="Times New Roman"/>
          <w:szCs w:val="22"/>
          <w:lang w:eastAsia="sk-SK"/>
        </w:rPr>
        <w:t>Najvýznamnejšou položkou bolo zúčtovanie rezervy na zamestnanecké požitky vo výške 390 137 tis. eur a zrušenie rezervy na záväzky z odpočítaných nezrovnalostí a odpočítaných vrátení v účtoch za 9. účtovný rok programového obdobia 2014 - 2020 a zaúčtovanie záväzkov voči EK v schválenej výške 46 077 tis.</w:t>
      </w:r>
      <w:r w:rsidR="004541E2">
        <w:rPr>
          <w:rFonts w:ascii="Times New Roman" w:hAnsi="Times New Roman"/>
          <w:szCs w:val="22"/>
          <w:lang w:eastAsia="sk-SK"/>
        </w:rPr>
        <w:t> </w:t>
      </w:r>
      <w:r w:rsidR="003D3AEF" w:rsidRPr="0085799C">
        <w:rPr>
          <w:rFonts w:ascii="Times New Roman" w:hAnsi="Times New Roman"/>
          <w:szCs w:val="22"/>
          <w:lang w:eastAsia="sk-SK"/>
        </w:rPr>
        <w:t>eur.</w:t>
      </w:r>
      <w:r w:rsidR="0067763E" w:rsidRPr="001960A0">
        <w:rPr>
          <w:rFonts w:ascii="Times New Roman" w:hAnsi="Times New Roman"/>
          <w:szCs w:val="22"/>
          <w:lang w:eastAsia="sk-SK"/>
        </w:rPr>
        <w:t xml:space="preserve"> </w:t>
      </w:r>
      <w:r w:rsidRPr="001960A0">
        <w:rPr>
          <w:rFonts w:ascii="Times New Roman" w:hAnsi="Times New Roman"/>
          <w:szCs w:val="22"/>
        </w:rPr>
        <w:t xml:space="preserve">Územná samospráva vykázala zúčtovanie rezerv vo výške </w:t>
      </w:r>
      <w:r w:rsidRPr="001960A0">
        <w:rPr>
          <w:rFonts w:ascii="Times New Roman" w:hAnsi="Times New Roman"/>
          <w:szCs w:val="22"/>
          <w:lang w:eastAsia="sk-SK"/>
        </w:rPr>
        <w:t>1</w:t>
      </w:r>
      <w:r w:rsidR="000E58AB" w:rsidRPr="0085799C">
        <w:rPr>
          <w:rFonts w:ascii="Times New Roman" w:hAnsi="Times New Roman"/>
          <w:szCs w:val="22"/>
          <w:lang w:eastAsia="sk-SK"/>
        </w:rPr>
        <w:t>32</w:t>
      </w:r>
      <w:r w:rsidR="001E40AB">
        <w:rPr>
          <w:rFonts w:ascii="Times New Roman" w:hAnsi="Times New Roman"/>
          <w:szCs w:val="22"/>
          <w:lang w:eastAsia="sk-SK"/>
        </w:rPr>
        <w:t> </w:t>
      </w:r>
      <w:r w:rsidR="000E58AB" w:rsidRPr="0085799C">
        <w:rPr>
          <w:rFonts w:ascii="Times New Roman" w:hAnsi="Times New Roman"/>
          <w:szCs w:val="22"/>
          <w:lang w:eastAsia="sk-SK"/>
        </w:rPr>
        <w:t>221</w:t>
      </w:r>
      <w:r w:rsidRPr="001960A0">
        <w:rPr>
          <w:rFonts w:ascii="Times New Roman" w:hAnsi="Times New Roman"/>
          <w:szCs w:val="22"/>
          <w:lang w:eastAsia="sk-SK"/>
        </w:rPr>
        <w:t> </w:t>
      </w:r>
      <w:r w:rsidRPr="001960A0">
        <w:rPr>
          <w:rFonts w:ascii="Times New Roman" w:hAnsi="Times New Roman"/>
          <w:szCs w:val="22"/>
        </w:rPr>
        <w:t>tis. eur.</w:t>
      </w:r>
    </w:p>
    <w:p w14:paraId="1FD0FD0C" w14:textId="10D95B0C" w:rsidR="00647542" w:rsidRPr="000E58AB" w:rsidRDefault="0006597C" w:rsidP="0085799C">
      <w:pPr>
        <w:pStyle w:val="Nadpis4"/>
        <w:numPr>
          <w:ilvl w:val="0"/>
          <w:numId w:val="54"/>
        </w:numPr>
        <w:ind w:left="426" w:hanging="426"/>
        <w:rPr>
          <w:szCs w:val="22"/>
          <w:lang w:eastAsia="sk-SK"/>
        </w:rPr>
      </w:pPr>
      <w:bookmarkStart w:id="85" w:name="_Opravné_položky"/>
      <w:bookmarkEnd w:id="85"/>
      <w:r>
        <w:t>Opravné položky</w:t>
      </w:r>
      <w:r w:rsidR="00647542" w:rsidRPr="00295977">
        <w:rPr>
          <w:rFonts w:cs="Times New Roman"/>
        </w:rPr>
        <w:t xml:space="preserve"> </w:t>
      </w:r>
    </w:p>
    <w:bookmarkEnd w:id="84"/>
    <w:p w14:paraId="23A877B0" w14:textId="1F605440" w:rsidR="00647542" w:rsidRPr="001960A0" w:rsidRDefault="00647542" w:rsidP="00647542">
      <w:pPr>
        <w:spacing w:after="120" w:line="240" w:lineRule="auto"/>
        <w:jc w:val="both"/>
        <w:rPr>
          <w:rFonts w:ascii="Times New Roman" w:hAnsi="Times New Roman"/>
          <w:szCs w:val="22"/>
          <w:lang w:eastAsia="sk-SK"/>
        </w:rPr>
      </w:pPr>
      <w:r w:rsidRPr="001960A0">
        <w:rPr>
          <w:rFonts w:ascii="Times New Roman" w:hAnsi="Times New Roman"/>
          <w:szCs w:val="22"/>
          <w:lang w:eastAsia="sk-SK"/>
        </w:rPr>
        <w:t xml:space="preserve">Výnosy zo zúčtovania opravných položiek dosiahli </w:t>
      </w:r>
      <w:r w:rsidR="00465479" w:rsidRPr="0085799C">
        <w:rPr>
          <w:rFonts w:ascii="Times New Roman" w:hAnsi="Times New Roman"/>
          <w:szCs w:val="22"/>
          <w:lang w:eastAsia="sk-SK"/>
        </w:rPr>
        <w:t>1</w:t>
      </w:r>
      <w:r w:rsidR="00625A52">
        <w:rPr>
          <w:rFonts w:ascii="Times New Roman" w:hAnsi="Times New Roman"/>
          <w:szCs w:val="22"/>
          <w:lang w:eastAsia="sk-SK"/>
        </w:rPr>
        <w:t> </w:t>
      </w:r>
      <w:r w:rsidR="00465479" w:rsidRPr="0085799C">
        <w:rPr>
          <w:rFonts w:ascii="Times New Roman" w:hAnsi="Times New Roman"/>
          <w:szCs w:val="22"/>
          <w:lang w:eastAsia="sk-SK"/>
        </w:rPr>
        <w:t>174</w:t>
      </w:r>
      <w:r w:rsidR="00625A52">
        <w:rPr>
          <w:rFonts w:ascii="Times New Roman" w:hAnsi="Times New Roman"/>
          <w:szCs w:val="22"/>
          <w:lang w:eastAsia="sk-SK"/>
        </w:rPr>
        <w:t> </w:t>
      </w:r>
      <w:r w:rsidR="00465479" w:rsidRPr="0085799C">
        <w:rPr>
          <w:rFonts w:ascii="Times New Roman" w:hAnsi="Times New Roman"/>
          <w:szCs w:val="22"/>
          <w:lang w:eastAsia="sk-SK"/>
        </w:rPr>
        <w:t>047</w:t>
      </w:r>
      <w:r w:rsidRPr="001960A0">
        <w:rPr>
          <w:rFonts w:ascii="Times New Roman" w:hAnsi="Times New Roman"/>
          <w:szCs w:val="22"/>
          <w:lang w:eastAsia="sk-SK"/>
        </w:rPr>
        <w:t> tis. eur a medziročne boli vyššie o</w:t>
      </w:r>
      <w:r w:rsidR="00625A52">
        <w:rPr>
          <w:rFonts w:ascii="Times New Roman" w:hAnsi="Times New Roman"/>
          <w:szCs w:val="22"/>
          <w:lang w:eastAsia="sk-SK"/>
        </w:rPr>
        <w:t xml:space="preserve"> </w:t>
      </w:r>
      <w:r w:rsidR="00E65C36" w:rsidRPr="0085799C">
        <w:rPr>
          <w:rFonts w:ascii="Times New Roman" w:hAnsi="Times New Roman"/>
          <w:szCs w:val="22"/>
          <w:lang w:eastAsia="sk-SK"/>
        </w:rPr>
        <w:t>230</w:t>
      </w:r>
      <w:r w:rsidR="00625A52">
        <w:rPr>
          <w:rFonts w:ascii="Times New Roman" w:hAnsi="Times New Roman"/>
          <w:szCs w:val="22"/>
          <w:lang w:eastAsia="sk-SK"/>
        </w:rPr>
        <w:t> </w:t>
      </w:r>
      <w:r w:rsidR="00E65C36" w:rsidRPr="0085799C">
        <w:rPr>
          <w:rFonts w:ascii="Times New Roman" w:hAnsi="Times New Roman"/>
          <w:szCs w:val="22"/>
          <w:lang w:eastAsia="sk-SK"/>
        </w:rPr>
        <w:t>953</w:t>
      </w:r>
      <w:r w:rsidRPr="001960A0">
        <w:rPr>
          <w:rFonts w:ascii="Times New Roman" w:hAnsi="Times New Roman"/>
          <w:szCs w:val="22"/>
          <w:lang w:eastAsia="sk-SK"/>
        </w:rPr>
        <w:t> tis. eur. Podobne ako v</w:t>
      </w:r>
      <w:r w:rsidR="00FB70AF">
        <w:rPr>
          <w:rFonts w:ascii="Times New Roman" w:hAnsi="Times New Roman"/>
          <w:szCs w:val="22"/>
          <w:lang w:eastAsia="sk-SK"/>
        </w:rPr>
        <w:t xml:space="preserve"> </w:t>
      </w:r>
      <w:r w:rsidRPr="001960A0">
        <w:rPr>
          <w:rFonts w:ascii="Times New Roman" w:hAnsi="Times New Roman"/>
          <w:szCs w:val="22"/>
          <w:lang w:eastAsia="sk-SK"/>
        </w:rPr>
        <w:t>prípade výnosov zo zúčtovania rezerv, aj výnosy zo zúčtovania opravných položiek pri ich zrušení alebo znížení, sú najvýznamnejšie v ústrednej správe v</w:t>
      </w:r>
      <w:r w:rsidR="00FB70AF">
        <w:rPr>
          <w:rFonts w:ascii="Times New Roman" w:hAnsi="Times New Roman"/>
          <w:szCs w:val="22"/>
          <w:lang w:eastAsia="sk-SK"/>
        </w:rPr>
        <w:t xml:space="preserve"> </w:t>
      </w:r>
      <w:r w:rsidRPr="001960A0">
        <w:rPr>
          <w:rFonts w:ascii="Times New Roman" w:hAnsi="Times New Roman"/>
          <w:szCs w:val="22"/>
          <w:lang w:eastAsia="sk-SK"/>
        </w:rPr>
        <w:t xml:space="preserve">hodnote </w:t>
      </w:r>
      <w:r w:rsidR="00256A5C" w:rsidRPr="0085799C">
        <w:rPr>
          <w:rFonts w:ascii="Times New Roman" w:hAnsi="Times New Roman"/>
          <w:szCs w:val="22"/>
          <w:lang w:eastAsia="sk-SK"/>
        </w:rPr>
        <w:t>1 037</w:t>
      </w:r>
      <w:r w:rsidR="00FB70AF">
        <w:rPr>
          <w:rFonts w:ascii="Times New Roman" w:hAnsi="Times New Roman"/>
          <w:szCs w:val="22"/>
          <w:lang w:eastAsia="sk-SK"/>
        </w:rPr>
        <w:t> </w:t>
      </w:r>
      <w:r w:rsidR="00256A5C" w:rsidRPr="0085799C">
        <w:rPr>
          <w:rFonts w:ascii="Times New Roman" w:hAnsi="Times New Roman"/>
          <w:szCs w:val="22"/>
          <w:lang w:eastAsia="sk-SK"/>
        </w:rPr>
        <w:t>530</w:t>
      </w:r>
      <w:r w:rsidRPr="001960A0">
        <w:rPr>
          <w:rFonts w:ascii="Times New Roman" w:hAnsi="Times New Roman"/>
          <w:szCs w:val="22"/>
          <w:lang w:eastAsia="sk-SK"/>
        </w:rPr>
        <w:t> tis. eur (88,</w:t>
      </w:r>
      <w:r w:rsidR="00256A5C" w:rsidRPr="0085799C">
        <w:rPr>
          <w:rFonts w:ascii="Times New Roman" w:hAnsi="Times New Roman"/>
          <w:szCs w:val="22"/>
          <w:lang w:eastAsia="sk-SK"/>
        </w:rPr>
        <w:t>4</w:t>
      </w:r>
      <w:r w:rsidRPr="001960A0">
        <w:rPr>
          <w:rFonts w:ascii="Times New Roman" w:hAnsi="Times New Roman"/>
          <w:szCs w:val="22"/>
          <w:lang w:eastAsia="sk-SK"/>
        </w:rPr>
        <w:t xml:space="preserve"> %).</w:t>
      </w:r>
    </w:p>
    <w:p w14:paraId="29942EE2" w14:textId="0EDF51D2" w:rsidR="00534BCE" w:rsidRPr="0085799C" w:rsidRDefault="00534BCE" w:rsidP="00647542">
      <w:pPr>
        <w:spacing w:after="120" w:line="240" w:lineRule="auto"/>
        <w:jc w:val="both"/>
        <w:rPr>
          <w:rFonts w:ascii="Times New Roman" w:hAnsi="Times New Roman"/>
          <w:b/>
          <w:bCs/>
          <w:szCs w:val="22"/>
        </w:rPr>
      </w:pPr>
      <w:r w:rsidRPr="0085799C">
        <w:rPr>
          <w:rFonts w:ascii="Times New Roman" w:hAnsi="Times New Roman"/>
          <w:lang w:eastAsia="x-none"/>
        </w:rPr>
        <w:t xml:space="preserve">Finančná </w:t>
      </w:r>
      <w:r w:rsidRPr="0085799C">
        <w:rPr>
          <w:rFonts w:ascii="Times New Roman" w:hAnsi="Times New Roman"/>
          <w:lang w:val="x-none" w:eastAsia="x-none"/>
        </w:rPr>
        <w:t xml:space="preserve">správa zrušila </w:t>
      </w:r>
      <w:r w:rsidRPr="0085799C">
        <w:rPr>
          <w:rFonts w:ascii="Times New Roman" w:hAnsi="Times New Roman"/>
          <w:lang w:eastAsia="x-none"/>
        </w:rPr>
        <w:t xml:space="preserve">vytvorené </w:t>
      </w:r>
      <w:r w:rsidRPr="0085799C">
        <w:rPr>
          <w:rFonts w:ascii="Times New Roman" w:hAnsi="Times New Roman"/>
          <w:lang w:val="x-none" w:eastAsia="x-none"/>
        </w:rPr>
        <w:t xml:space="preserve">opravné položky z prevádzkovej činnosti vo výške </w:t>
      </w:r>
      <w:r w:rsidRPr="0085799C">
        <w:rPr>
          <w:rFonts w:ascii="Times New Roman" w:hAnsi="Times New Roman"/>
          <w:szCs w:val="22"/>
          <w:lang w:val="x-none" w:eastAsia="x-none"/>
        </w:rPr>
        <w:t>661 370</w:t>
      </w:r>
      <w:r w:rsidR="00D277DA" w:rsidRPr="0085799C">
        <w:rPr>
          <w:rFonts w:ascii="Times New Roman" w:hAnsi="Times New Roman"/>
          <w:szCs w:val="22"/>
          <w:lang w:val="x-none" w:eastAsia="x-none"/>
        </w:rPr>
        <w:t> tis.</w:t>
      </w:r>
      <w:r w:rsidRPr="0085799C">
        <w:rPr>
          <w:rFonts w:ascii="Times New Roman" w:hAnsi="Times New Roman"/>
          <w:szCs w:val="22"/>
          <w:lang w:val="x-none" w:eastAsia="x-none"/>
        </w:rPr>
        <w:t> eur</w:t>
      </w:r>
      <w:r w:rsidRPr="0085799C">
        <w:rPr>
          <w:rFonts w:ascii="Times New Roman" w:hAnsi="Times New Roman"/>
          <w:lang w:val="x-none" w:eastAsia="x-none"/>
        </w:rPr>
        <w:t xml:space="preserve">, </w:t>
      </w:r>
      <w:r w:rsidRPr="0085799C">
        <w:rPr>
          <w:rFonts w:ascii="Times New Roman" w:hAnsi="Times New Roman"/>
          <w:lang w:eastAsia="x-none"/>
        </w:rPr>
        <w:t xml:space="preserve">najmä z </w:t>
      </w:r>
      <w:r w:rsidRPr="0085799C">
        <w:rPr>
          <w:rFonts w:ascii="Times New Roman" w:hAnsi="Times New Roman"/>
          <w:lang w:val="x-none" w:eastAsia="x-none"/>
        </w:rPr>
        <w:t>dôvodu odpísania pohľadávky so zánikom v zmysle zákona č. 563/2009 Z. z.</w:t>
      </w:r>
      <w:r w:rsidRPr="0085799C">
        <w:rPr>
          <w:rFonts w:ascii="Times New Roman" w:hAnsi="Times New Roman"/>
          <w:lang w:eastAsia="x-none"/>
        </w:rPr>
        <w:t xml:space="preserve"> </w:t>
      </w:r>
      <w:r w:rsidRPr="0085799C">
        <w:rPr>
          <w:rFonts w:ascii="Times New Roman" w:hAnsi="Times New Roman"/>
          <w:lang w:val="x-none" w:eastAsia="x-none"/>
        </w:rPr>
        <w:t>o správe daní v znení neskorších predpisov a zákona</w:t>
      </w:r>
      <w:r w:rsidRPr="0085799C">
        <w:rPr>
          <w:rFonts w:ascii="Times New Roman" w:hAnsi="Times New Roman"/>
          <w:lang w:eastAsia="x-none"/>
        </w:rPr>
        <w:t xml:space="preserve"> </w:t>
      </w:r>
      <w:r w:rsidRPr="0085799C">
        <w:rPr>
          <w:rFonts w:ascii="Times New Roman" w:hAnsi="Times New Roman"/>
          <w:lang w:val="x-none" w:eastAsia="x-none"/>
        </w:rPr>
        <w:t>č.</w:t>
      </w:r>
      <w:r w:rsidRPr="0085799C">
        <w:rPr>
          <w:rFonts w:ascii="Times New Roman" w:hAnsi="Times New Roman"/>
          <w:lang w:eastAsia="x-none"/>
        </w:rPr>
        <w:t> </w:t>
      </w:r>
      <w:r w:rsidRPr="0085799C">
        <w:rPr>
          <w:rFonts w:ascii="Times New Roman" w:hAnsi="Times New Roman"/>
          <w:lang w:val="x-none" w:eastAsia="x-none"/>
        </w:rPr>
        <w:t>278/1993</w:t>
      </w:r>
      <w:r w:rsidRPr="0085799C">
        <w:rPr>
          <w:rFonts w:ascii="Times New Roman" w:hAnsi="Times New Roman"/>
          <w:lang w:eastAsia="x-none"/>
        </w:rPr>
        <w:t> </w:t>
      </w:r>
      <w:r w:rsidRPr="0085799C">
        <w:rPr>
          <w:rFonts w:ascii="Times New Roman" w:hAnsi="Times New Roman"/>
          <w:lang w:val="x-none" w:eastAsia="x-none"/>
        </w:rPr>
        <w:t>Z.</w:t>
      </w:r>
      <w:r w:rsidRPr="0085799C">
        <w:rPr>
          <w:rFonts w:ascii="Times New Roman" w:hAnsi="Times New Roman"/>
          <w:lang w:eastAsia="x-none"/>
        </w:rPr>
        <w:t> </w:t>
      </w:r>
      <w:r w:rsidRPr="0085799C">
        <w:rPr>
          <w:rFonts w:ascii="Times New Roman" w:hAnsi="Times New Roman"/>
          <w:lang w:val="x-none" w:eastAsia="x-none"/>
        </w:rPr>
        <w:t>z. o správe majetku štátu v znení neskorších predpisov, z dôvodu prehodnotenia opodstatnenosti vytvorenej opravnej položky v predchádzajúcich rokoch a z dôvodu úhrady pohľadávok</w:t>
      </w:r>
      <w:r w:rsidRPr="0085799C">
        <w:rPr>
          <w:rFonts w:ascii="Times New Roman" w:hAnsi="Times New Roman"/>
        </w:rPr>
        <w:t>.</w:t>
      </w:r>
    </w:p>
    <w:p w14:paraId="6D5DC8E2" w14:textId="7BF00FD0" w:rsidR="00647542" w:rsidRPr="001960A0" w:rsidRDefault="00647542" w:rsidP="0006597C">
      <w:pPr>
        <w:spacing w:after="120" w:line="240" w:lineRule="auto"/>
        <w:jc w:val="both"/>
        <w:rPr>
          <w:rFonts w:ascii="Times New Roman" w:hAnsi="Times New Roman"/>
          <w:szCs w:val="22"/>
          <w:lang w:eastAsia="sk-SK"/>
        </w:rPr>
      </w:pPr>
      <w:r w:rsidRPr="001960A0">
        <w:rPr>
          <w:rFonts w:ascii="Times New Roman" w:hAnsi="Times New Roman"/>
          <w:szCs w:val="22"/>
          <w:lang w:eastAsia="sk-SK"/>
        </w:rPr>
        <w:t xml:space="preserve">Výnosy zo zúčtovania opravných položiek z finančnej činnosti </w:t>
      </w:r>
      <w:r w:rsidR="008654FE" w:rsidRPr="0085799C">
        <w:rPr>
          <w:rFonts w:ascii="Times New Roman" w:hAnsi="Times New Roman"/>
          <w:szCs w:val="22"/>
          <w:lang w:eastAsia="sk-SK"/>
        </w:rPr>
        <w:t>sú vykázané v hodnote 3</w:t>
      </w:r>
      <w:r w:rsidR="00D94C7F" w:rsidRPr="0085799C">
        <w:rPr>
          <w:rFonts w:ascii="Times New Roman" w:hAnsi="Times New Roman"/>
          <w:szCs w:val="22"/>
          <w:lang w:eastAsia="sk-SK"/>
        </w:rPr>
        <w:t>8</w:t>
      </w:r>
      <w:r w:rsidR="00AC1202">
        <w:rPr>
          <w:rFonts w:ascii="Times New Roman" w:hAnsi="Times New Roman"/>
          <w:szCs w:val="22"/>
          <w:lang w:eastAsia="sk-SK"/>
        </w:rPr>
        <w:t> </w:t>
      </w:r>
      <w:r w:rsidR="00D94C7F" w:rsidRPr="0085799C">
        <w:rPr>
          <w:rFonts w:ascii="Times New Roman" w:hAnsi="Times New Roman"/>
          <w:szCs w:val="22"/>
          <w:lang w:eastAsia="sk-SK"/>
        </w:rPr>
        <w:t>336</w:t>
      </w:r>
      <w:r w:rsidR="00AC1202">
        <w:rPr>
          <w:rFonts w:ascii="Times New Roman" w:hAnsi="Times New Roman"/>
          <w:szCs w:val="22"/>
          <w:lang w:eastAsia="sk-SK"/>
        </w:rPr>
        <w:t> </w:t>
      </w:r>
      <w:r w:rsidRPr="001960A0">
        <w:rPr>
          <w:rFonts w:ascii="Times New Roman" w:hAnsi="Times New Roman"/>
          <w:szCs w:val="22"/>
          <w:lang w:eastAsia="sk-SK"/>
        </w:rPr>
        <w:t>tis.</w:t>
      </w:r>
      <w:r w:rsidR="00AC1202">
        <w:rPr>
          <w:rFonts w:ascii="Times New Roman" w:hAnsi="Times New Roman"/>
          <w:szCs w:val="22"/>
          <w:lang w:eastAsia="sk-SK"/>
        </w:rPr>
        <w:t> </w:t>
      </w:r>
      <w:r w:rsidRPr="001960A0">
        <w:rPr>
          <w:rFonts w:ascii="Times New Roman" w:hAnsi="Times New Roman"/>
          <w:szCs w:val="22"/>
          <w:lang w:eastAsia="sk-SK"/>
        </w:rPr>
        <w:t xml:space="preserve">eur, čo je oproti roku </w:t>
      </w:r>
      <w:r w:rsidR="00D94C7F" w:rsidRPr="0085799C">
        <w:rPr>
          <w:rFonts w:ascii="Times New Roman" w:hAnsi="Times New Roman"/>
          <w:szCs w:val="22"/>
          <w:lang w:eastAsia="sk-SK"/>
        </w:rPr>
        <w:t>2023</w:t>
      </w:r>
      <w:r w:rsidRPr="001960A0">
        <w:rPr>
          <w:rFonts w:ascii="Times New Roman" w:hAnsi="Times New Roman"/>
          <w:szCs w:val="22"/>
          <w:lang w:eastAsia="sk-SK"/>
        </w:rPr>
        <w:t xml:space="preserve"> menej o</w:t>
      </w:r>
      <w:r w:rsidR="00AC1202">
        <w:rPr>
          <w:rFonts w:ascii="Times New Roman" w:hAnsi="Times New Roman"/>
          <w:szCs w:val="22"/>
          <w:lang w:eastAsia="sk-SK"/>
        </w:rPr>
        <w:t> </w:t>
      </w:r>
      <w:r w:rsidR="00D94C7F" w:rsidRPr="0085799C">
        <w:rPr>
          <w:rFonts w:ascii="Times New Roman" w:hAnsi="Times New Roman"/>
          <w:szCs w:val="22"/>
          <w:lang w:eastAsia="sk-SK"/>
        </w:rPr>
        <w:t>18</w:t>
      </w:r>
      <w:r w:rsidR="00AC1202">
        <w:rPr>
          <w:rFonts w:ascii="Times New Roman" w:hAnsi="Times New Roman"/>
          <w:szCs w:val="22"/>
          <w:lang w:eastAsia="sk-SK"/>
        </w:rPr>
        <w:t> </w:t>
      </w:r>
      <w:r w:rsidR="00D94C7F" w:rsidRPr="0085799C">
        <w:rPr>
          <w:rFonts w:ascii="Times New Roman" w:hAnsi="Times New Roman"/>
          <w:szCs w:val="22"/>
          <w:lang w:eastAsia="sk-SK"/>
        </w:rPr>
        <w:t>554</w:t>
      </w:r>
      <w:r w:rsidRPr="001960A0">
        <w:rPr>
          <w:rFonts w:ascii="Times New Roman" w:hAnsi="Times New Roman"/>
          <w:szCs w:val="22"/>
          <w:lang w:eastAsia="sk-SK"/>
        </w:rPr>
        <w:t> tis.</w:t>
      </w:r>
      <w:r w:rsidR="00AC1202">
        <w:rPr>
          <w:rFonts w:ascii="Times New Roman" w:hAnsi="Times New Roman"/>
          <w:szCs w:val="22"/>
          <w:lang w:eastAsia="sk-SK"/>
        </w:rPr>
        <w:t> </w:t>
      </w:r>
      <w:r w:rsidRPr="001960A0">
        <w:rPr>
          <w:rFonts w:ascii="Times New Roman" w:hAnsi="Times New Roman"/>
          <w:szCs w:val="22"/>
          <w:lang w:eastAsia="sk-SK"/>
        </w:rPr>
        <w:t>eur.</w:t>
      </w:r>
    </w:p>
    <w:p w14:paraId="6DAE742F" w14:textId="77777777" w:rsidR="0006597C" w:rsidRPr="001960A0" w:rsidRDefault="0006597C" w:rsidP="0006597C">
      <w:pPr>
        <w:spacing w:after="120" w:line="240" w:lineRule="auto"/>
        <w:jc w:val="both"/>
        <w:rPr>
          <w:rFonts w:ascii="Times New Roman" w:hAnsi="Times New Roman"/>
          <w:szCs w:val="22"/>
          <w:lang w:eastAsia="sk-SK"/>
        </w:rPr>
      </w:pPr>
    </w:p>
    <w:p w14:paraId="7B70E7B1" w14:textId="25D935B5" w:rsidR="0006597C" w:rsidRDefault="0006597C" w:rsidP="0085799C">
      <w:pPr>
        <w:pStyle w:val="Nadpis3"/>
        <w:numPr>
          <w:ilvl w:val="0"/>
          <w:numId w:val="53"/>
        </w:numPr>
        <w:ind w:left="709"/>
        <w:rPr>
          <w:lang w:eastAsia="sk-SK"/>
        </w:rPr>
      </w:pPr>
      <w:r>
        <w:rPr>
          <w:lang w:eastAsia="sk-SK"/>
        </w:rPr>
        <w:t>Ostatné výnosy z prevádzkovej činnosti</w:t>
      </w:r>
    </w:p>
    <w:p w14:paraId="42DEB5C6" w14:textId="0FD8AD4B" w:rsidR="00647542" w:rsidRDefault="00647542" w:rsidP="00647542">
      <w:pPr>
        <w:pStyle w:val="Popis"/>
        <w:keepNext/>
        <w:rPr>
          <w:noProof/>
        </w:rPr>
      </w:pPr>
      <w:r w:rsidRPr="00907622">
        <w:t xml:space="preserve">Tabuľka </w:t>
      </w:r>
      <w:r w:rsidRPr="00907622">
        <w:fldChar w:fldCharType="begin"/>
      </w:r>
      <w:r w:rsidRPr="00907622">
        <w:instrText xml:space="preserve"> SEQ Tabuľka \* ARABIC </w:instrText>
      </w:r>
      <w:r w:rsidRPr="00907622">
        <w:fldChar w:fldCharType="separate"/>
      </w:r>
      <w:r w:rsidRPr="00907622">
        <w:rPr>
          <w:noProof/>
        </w:rPr>
        <w:t>21</w:t>
      </w:r>
      <w:r w:rsidRPr="00907622">
        <w:rPr>
          <w:noProof/>
        </w:rPr>
        <w:fldChar w:fldCharType="end"/>
      </w:r>
    </w:p>
    <w:tbl>
      <w:tblPr>
        <w:tblW w:w="5000" w:type="pct"/>
        <w:jc w:val="center"/>
        <w:tblCellMar>
          <w:left w:w="70" w:type="dxa"/>
          <w:right w:w="70" w:type="dxa"/>
        </w:tblCellMar>
        <w:tblLook w:val="04A0" w:firstRow="1" w:lastRow="0" w:firstColumn="1" w:lastColumn="0" w:noHBand="0" w:noVBand="1"/>
      </w:tblPr>
      <w:tblGrid>
        <w:gridCol w:w="5768"/>
        <w:gridCol w:w="1101"/>
        <w:gridCol w:w="1101"/>
        <w:gridCol w:w="1101"/>
      </w:tblGrid>
      <w:tr w:rsidR="006516DB" w:rsidRPr="006516DB" w14:paraId="71FEF1E0" w14:textId="77777777" w:rsidTr="0085799C">
        <w:trPr>
          <w:trHeight w:val="227"/>
          <w:jc w:val="center"/>
        </w:trPr>
        <w:tc>
          <w:tcPr>
            <w:tcW w:w="3179" w:type="pct"/>
            <w:tcBorders>
              <w:top w:val="single" w:sz="8" w:space="0" w:color="auto"/>
              <w:left w:val="nil"/>
              <w:bottom w:val="single" w:sz="8" w:space="0" w:color="auto"/>
              <w:right w:val="nil"/>
            </w:tcBorders>
            <w:shd w:val="clear" w:color="000000" w:fill="F4B084"/>
            <w:noWrap/>
            <w:vAlign w:val="center"/>
            <w:hideMark/>
          </w:tcPr>
          <w:p w14:paraId="5C35E4A1" w14:textId="77777777" w:rsidR="006516DB" w:rsidRPr="006516DB" w:rsidRDefault="006516DB" w:rsidP="006516DB">
            <w:pPr>
              <w:spacing w:after="0" w:line="240" w:lineRule="auto"/>
              <w:rPr>
                <w:rFonts w:ascii="Times New Roman" w:hAnsi="Times New Roman"/>
                <w:b/>
                <w:bCs/>
                <w:color w:val="000000"/>
                <w:sz w:val="18"/>
                <w:szCs w:val="18"/>
                <w:lang w:eastAsia="sk-SK"/>
              </w:rPr>
            </w:pPr>
            <w:r w:rsidRPr="006516DB">
              <w:rPr>
                <w:rFonts w:ascii="Times New Roman" w:hAnsi="Times New Roman"/>
                <w:b/>
                <w:bCs/>
                <w:color w:val="000000"/>
                <w:sz w:val="18"/>
                <w:szCs w:val="18"/>
                <w:lang w:eastAsia="sk-SK"/>
              </w:rPr>
              <w:t>Ostatné výnosy z prevádzkovej činnosti podľa druhu</w:t>
            </w:r>
          </w:p>
        </w:tc>
        <w:tc>
          <w:tcPr>
            <w:tcW w:w="607" w:type="pct"/>
            <w:tcBorders>
              <w:top w:val="single" w:sz="8" w:space="0" w:color="auto"/>
              <w:left w:val="nil"/>
              <w:bottom w:val="single" w:sz="8" w:space="0" w:color="auto"/>
              <w:right w:val="nil"/>
            </w:tcBorders>
            <w:shd w:val="clear" w:color="000000" w:fill="F4B084"/>
            <w:noWrap/>
            <w:vAlign w:val="center"/>
            <w:hideMark/>
          </w:tcPr>
          <w:p w14:paraId="1A90DF90" w14:textId="77777777" w:rsidR="006516DB" w:rsidRPr="006516DB" w:rsidRDefault="006516DB" w:rsidP="006516DB">
            <w:pPr>
              <w:spacing w:after="0" w:line="240" w:lineRule="auto"/>
              <w:jc w:val="center"/>
              <w:rPr>
                <w:rFonts w:ascii="Times New Roman" w:hAnsi="Times New Roman"/>
                <w:b/>
                <w:bCs/>
                <w:color w:val="000000"/>
                <w:sz w:val="18"/>
                <w:szCs w:val="18"/>
                <w:lang w:eastAsia="sk-SK"/>
              </w:rPr>
            </w:pPr>
            <w:r w:rsidRPr="006516DB">
              <w:rPr>
                <w:rFonts w:ascii="Times New Roman" w:hAnsi="Times New Roman"/>
                <w:b/>
                <w:bCs/>
                <w:color w:val="000000"/>
                <w:sz w:val="18"/>
                <w:szCs w:val="18"/>
                <w:lang w:eastAsia="sk-SK"/>
              </w:rPr>
              <w:t> </w:t>
            </w:r>
          </w:p>
        </w:tc>
        <w:tc>
          <w:tcPr>
            <w:tcW w:w="607" w:type="pct"/>
            <w:tcBorders>
              <w:top w:val="single" w:sz="8" w:space="0" w:color="auto"/>
              <w:left w:val="nil"/>
              <w:bottom w:val="single" w:sz="8" w:space="0" w:color="auto"/>
              <w:right w:val="nil"/>
            </w:tcBorders>
            <w:shd w:val="clear" w:color="000000" w:fill="F4B084"/>
            <w:noWrap/>
            <w:vAlign w:val="center"/>
            <w:hideMark/>
          </w:tcPr>
          <w:p w14:paraId="42DD6071" w14:textId="77777777" w:rsidR="006516DB" w:rsidRPr="006516DB" w:rsidRDefault="006516DB" w:rsidP="006516DB">
            <w:pPr>
              <w:spacing w:after="0" w:line="240" w:lineRule="auto"/>
              <w:jc w:val="center"/>
              <w:rPr>
                <w:rFonts w:ascii="Times New Roman" w:hAnsi="Times New Roman"/>
                <w:b/>
                <w:bCs/>
                <w:color w:val="000000"/>
                <w:sz w:val="18"/>
                <w:szCs w:val="18"/>
                <w:lang w:eastAsia="sk-SK"/>
              </w:rPr>
            </w:pPr>
            <w:r w:rsidRPr="006516DB">
              <w:rPr>
                <w:rFonts w:ascii="Times New Roman" w:hAnsi="Times New Roman"/>
                <w:b/>
                <w:bCs/>
                <w:color w:val="000000"/>
                <w:sz w:val="18"/>
                <w:szCs w:val="18"/>
                <w:lang w:eastAsia="sk-SK"/>
              </w:rPr>
              <w:t>(v tis. eur)</w:t>
            </w:r>
          </w:p>
        </w:tc>
        <w:tc>
          <w:tcPr>
            <w:tcW w:w="607" w:type="pct"/>
            <w:tcBorders>
              <w:top w:val="single" w:sz="8" w:space="0" w:color="auto"/>
              <w:left w:val="nil"/>
              <w:bottom w:val="single" w:sz="8" w:space="0" w:color="auto"/>
              <w:right w:val="nil"/>
            </w:tcBorders>
            <w:shd w:val="clear" w:color="000000" w:fill="F4B084"/>
            <w:noWrap/>
            <w:vAlign w:val="center"/>
            <w:hideMark/>
          </w:tcPr>
          <w:p w14:paraId="41C9B3AE" w14:textId="77777777" w:rsidR="006516DB" w:rsidRPr="006516DB" w:rsidRDefault="006516DB" w:rsidP="006516DB">
            <w:pPr>
              <w:spacing w:after="0" w:line="240" w:lineRule="auto"/>
              <w:jc w:val="center"/>
              <w:rPr>
                <w:rFonts w:ascii="Times New Roman" w:hAnsi="Times New Roman"/>
                <w:b/>
                <w:bCs/>
                <w:color w:val="000000"/>
                <w:sz w:val="18"/>
                <w:szCs w:val="18"/>
                <w:lang w:eastAsia="sk-SK"/>
              </w:rPr>
            </w:pPr>
            <w:r w:rsidRPr="006516DB">
              <w:rPr>
                <w:rFonts w:ascii="Times New Roman" w:hAnsi="Times New Roman"/>
                <w:b/>
                <w:bCs/>
                <w:color w:val="000000"/>
                <w:sz w:val="18"/>
                <w:szCs w:val="18"/>
                <w:lang w:eastAsia="sk-SK"/>
              </w:rPr>
              <w:t> </w:t>
            </w:r>
          </w:p>
        </w:tc>
      </w:tr>
      <w:tr w:rsidR="006516DB" w:rsidRPr="006516DB" w14:paraId="1F2A2CF5" w14:textId="77777777" w:rsidTr="0085799C">
        <w:trPr>
          <w:trHeight w:val="227"/>
          <w:jc w:val="center"/>
        </w:trPr>
        <w:tc>
          <w:tcPr>
            <w:tcW w:w="3179" w:type="pct"/>
            <w:tcBorders>
              <w:top w:val="nil"/>
              <w:left w:val="nil"/>
              <w:bottom w:val="single" w:sz="8" w:space="0" w:color="auto"/>
              <w:right w:val="nil"/>
            </w:tcBorders>
            <w:shd w:val="clear" w:color="000000" w:fill="BDD7EE"/>
            <w:noWrap/>
            <w:vAlign w:val="center"/>
            <w:hideMark/>
          </w:tcPr>
          <w:p w14:paraId="5C920C25" w14:textId="77777777" w:rsidR="006516DB" w:rsidRPr="006516DB" w:rsidRDefault="006516DB" w:rsidP="006516DB">
            <w:pPr>
              <w:spacing w:after="0" w:line="240" w:lineRule="auto"/>
              <w:rPr>
                <w:rFonts w:ascii="Times New Roman" w:hAnsi="Times New Roman"/>
                <w:b/>
                <w:bCs/>
                <w:color w:val="000000"/>
                <w:sz w:val="18"/>
                <w:szCs w:val="18"/>
                <w:lang w:eastAsia="sk-SK"/>
              </w:rPr>
            </w:pPr>
            <w:r w:rsidRPr="006516DB">
              <w:rPr>
                <w:rFonts w:ascii="Times New Roman" w:hAnsi="Times New Roman"/>
                <w:b/>
                <w:bCs/>
                <w:color w:val="000000"/>
                <w:sz w:val="18"/>
                <w:szCs w:val="18"/>
                <w:lang w:eastAsia="sk-SK"/>
              </w:rPr>
              <w:t> </w:t>
            </w:r>
          </w:p>
        </w:tc>
        <w:tc>
          <w:tcPr>
            <w:tcW w:w="607" w:type="pct"/>
            <w:tcBorders>
              <w:top w:val="nil"/>
              <w:left w:val="nil"/>
              <w:bottom w:val="single" w:sz="8" w:space="0" w:color="auto"/>
              <w:right w:val="nil"/>
            </w:tcBorders>
            <w:shd w:val="clear" w:color="000000" w:fill="BDD7EE"/>
            <w:noWrap/>
            <w:vAlign w:val="center"/>
            <w:hideMark/>
          </w:tcPr>
          <w:p w14:paraId="69E8C553" w14:textId="77777777" w:rsidR="006516DB" w:rsidRPr="006516DB" w:rsidRDefault="006516DB" w:rsidP="006516DB">
            <w:pPr>
              <w:spacing w:after="0" w:line="240" w:lineRule="auto"/>
              <w:jc w:val="center"/>
              <w:rPr>
                <w:rFonts w:ascii="Times New Roman" w:hAnsi="Times New Roman"/>
                <w:b/>
                <w:bCs/>
                <w:color w:val="000000"/>
                <w:sz w:val="18"/>
                <w:szCs w:val="18"/>
                <w:lang w:eastAsia="sk-SK"/>
              </w:rPr>
            </w:pPr>
            <w:r w:rsidRPr="006516DB">
              <w:rPr>
                <w:rFonts w:ascii="Times New Roman" w:hAnsi="Times New Roman"/>
                <w:b/>
                <w:bCs/>
                <w:color w:val="000000"/>
                <w:sz w:val="18"/>
                <w:szCs w:val="18"/>
                <w:lang w:eastAsia="sk-SK"/>
              </w:rPr>
              <w:t>2024</w:t>
            </w:r>
          </w:p>
        </w:tc>
        <w:tc>
          <w:tcPr>
            <w:tcW w:w="607" w:type="pct"/>
            <w:tcBorders>
              <w:top w:val="nil"/>
              <w:left w:val="nil"/>
              <w:bottom w:val="single" w:sz="8" w:space="0" w:color="auto"/>
              <w:right w:val="nil"/>
            </w:tcBorders>
            <w:shd w:val="clear" w:color="000000" w:fill="BDD7EE"/>
            <w:noWrap/>
            <w:vAlign w:val="center"/>
            <w:hideMark/>
          </w:tcPr>
          <w:p w14:paraId="21E6F1D9" w14:textId="77777777" w:rsidR="006516DB" w:rsidRPr="006516DB" w:rsidRDefault="006516DB" w:rsidP="006516DB">
            <w:pPr>
              <w:spacing w:after="0" w:line="240" w:lineRule="auto"/>
              <w:jc w:val="center"/>
              <w:rPr>
                <w:rFonts w:ascii="Times New Roman" w:hAnsi="Times New Roman"/>
                <w:b/>
                <w:bCs/>
                <w:color w:val="000000"/>
                <w:sz w:val="18"/>
                <w:szCs w:val="18"/>
                <w:lang w:eastAsia="sk-SK"/>
              </w:rPr>
            </w:pPr>
            <w:r w:rsidRPr="006516DB">
              <w:rPr>
                <w:rFonts w:ascii="Times New Roman" w:hAnsi="Times New Roman"/>
                <w:b/>
                <w:bCs/>
                <w:color w:val="000000"/>
                <w:sz w:val="18"/>
                <w:szCs w:val="18"/>
                <w:lang w:eastAsia="sk-SK"/>
              </w:rPr>
              <w:t>2023</w:t>
            </w:r>
          </w:p>
        </w:tc>
        <w:tc>
          <w:tcPr>
            <w:tcW w:w="607" w:type="pct"/>
            <w:tcBorders>
              <w:top w:val="nil"/>
              <w:left w:val="nil"/>
              <w:bottom w:val="single" w:sz="8" w:space="0" w:color="auto"/>
              <w:right w:val="nil"/>
            </w:tcBorders>
            <w:shd w:val="clear" w:color="000000" w:fill="BDD7EE"/>
            <w:vAlign w:val="center"/>
            <w:hideMark/>
          </w:tcPr>
          <w:p w14:paraId="33D8CC81" w14:textId="77777777" w:rsidR="006516DB" w:rsidRPr="006516DB" w:rsidRDefault="006516DB" w:rsidP="006516DB">
            <w:pPr>
              <w:spacing w:after="0" w:line="240" w:lineRule="auto"/>
              <w:jc w:val="center"/>
              <w:rPr>
                <w:rFonts w:ascii="Times New Roman" w:hAnsi="Times New Roman"/>
                <w:b/>
                <w:bCs/>
                <w:color w:val="000000"/>
                <w:sz w:val="18"/>
                <w:szCs w:val="18"/>
                <w:lang w:eastAsia="sk-SK"/>
              </w:rPr>
            </w:pPr>
            <w:r w:rsidRPr="006516DB">
              <w:rPr>
                <w:rFonts w:ascii="Times New Roman" w:hAnsi="Times New Roman"/>
                <w:b/>
                <w:bCs/>
                <w:color w:val="000000"/>
                <w:sz w:val="18"/>
                <w:szCs w:val="18"/>
                <w:lang w:eastAsia="sk-SK"/>
              </w:rPr>
              <w:t>Δ 2024-2023</w:t>
            </w:r>
          </w:p>
        </w:tc>
      </w:tr>
      <w:tr w:rsidR="006516DB" w:rsidRPr="006516DB" w14:paraId="7A218BC9" w14:textId="77777777" w:rsidTr="0085799C">
        <w:trPr>
          <w:trHeight w:val="227"/>
          <w:jc w:val="center"/>
        </w:trPr>
        <w:tc>
          <w:tcPr>
            <w:tcW w:w="3179" w:type="pct"/>
            <w:tcBorders>
              <w:top w:val="nil"/>
              <w:left w:val="nil"/>
              <w:bottom w:val="nil"/>
              <w:right w:val="nil"/>
            </w:tcBorders>
            <w:noWrap/>
            <w:vAlign w:val="center"/>
            <w:hideMark/>
          </w:tcPr>
          <w:p w14:paraId="300B8068" w14:textId="77777777" w:rsidR="006516DB" w:rsidRPr="006516DB" w:rsidRDefault="006516DB" w:rsidP="006516DB">
            <w:pPr>
              <w:spacing w:after="0" w:line="240" w:lineRule="auto"/>
              <w:rPr>
                <w:rFonts w:ascii="Times New Roman" w:hAnsi="Times New Roman"/>
                <w:color w:val="000000"/>
                <w:sz w:val="18"/>
                <w:szCs w:val="18"/>
                <w:lang w:eastAsia="sk-SK"/>
              </w:rPr>
            </w:pPr>
            <w:r w:rsidRPr="006516DB">
              <w:rPr>
                <w:rFonts w:ascii="Times New Roman" w:hAnsi="Times New Roman"/>
                <w:color w:val="000000"/>
                <w:sz w:val="18"/>
                <w:szCs w:val="18"/>
                <w:lang w:eastAsia="sk-SK"/>
              </w:rPr>
              <w:t>Výnosy</w:t>
            </w:r>
            <w:r w:rsidRPr="006516DB">
              <w:rPr>
                <w:rFonts w:ascii="Times New Roman" w:hAnsi="Times New Roman"/>
                <w:color w:val="000000"/>
                <w:sz w:val="16"/>
                <w:szCs w:val="16"/>
                <w:lang w:eastAsia="sk-SK"/>
              </w:rPr>
              <w:t> </w:t>
            </w:r>
            <w:r w:rsidRPr="006516DB">
              <w:rPr>
                <w:rFonts w:ascii="Times New Roman" w:hAnsi="Times New Roman"/>
                <w:color w:val="000000"/>
                <w:sz w:val="18"/>
                <w:szCs w:val="18"/>
                <w:lang w:eastAsia="sk-SK"/>
              </w:rPr>
              <w:t xml:space="preserve"> Všeobecnej zdravotnej poisťovne, a.s. z poistného </w:t>
            </w:r>
          </w:p>
        </w:tc>
        <w:tc>
          <w:tcPr>
            <w:tcW w:w="607" w:type="pct"/>
            <w:tcBorders>
              <w:top w:val="nil"/>
              <w:left w:val="nil"/>
              <w:bottom w:val="nil"/>
              <w:right w:val="nil"/>
            </w:tcBorders>
            <w:noWrap/>
            <w:vAlign w:val="center"/>
            <w:hideMark/>
          </w:tcPr>
          <w:p w14:paraId="4449E19C"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644 483</w:t>
            </w:r>
          </w:p>
        </w:tc>
        <w:tc>
          <w:tcPr>
            <w:tcW w:w="607" w:type="pct"/>
            <w:tcBorders>
              <w:top w:val="nil"/>
              <w:left w:val="nil"/>
              <w:bottom w:val="nil"/>
              <w:right w:val="nil"/>
            </w:tcBorders>
            <w:noWrap/>
            <w:vAlign w:val="center"/>
            <w:hideMark/>
          </w:tcPr>
          <w:p w14:paraId="6160F09E"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538 803</w:t>
            </w:r>
          </w:p>
        </w:tc>
        <w:tc>
          <w:tcPr>
            <w:tcW w:w="607" w:type="pct"/>
            <w:tcBorders>
              <w:top w:val="nil"/>
              <w:left w:val="nil"/>
              <w:bottom w:val="nil"/>
              <w:right w:val="nil"/>
            </w:tcBorders>
            <w:vAlign w:val="center"/>
            <w:hideMark/>
          </w:tcPr>
          <w:p w14:paraId="5EFBBA28"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105 680</w:t>
            </w:r>
          </w:p>
        </w:tc>
      </w:tr>
      <w:tr w:rsidR="006516DB" w:rsidRPr="006516DB" w14:paraId="746A2D1D" w14:textId="77777777" w:rsidTr="0085799C">
        <w:trPr>
          <w:trHeight w:val="227"/>
          <w:jc w:val="center"/>
        </w:trPr>
        <w:tc>
          <w:tcPr>
            <w:tcW w:w="3179" w:type="pct"/>
            <w:tcBorders>
              <w:top w:val="nil"/>
              <w:left w:val="nil"/>
              <w:bottom w:val="nil"/>
              <w:right w:val="nil"/>
            </w:tcBorders>
            <w:vAlign w:val="center"/>
            <w:hideMark/>
          </w:tcPr>
          <w:p w14:paraId="73FC9680" w14:textId="77777777" w:rsidR="006516DB" w:rsidRPr="006516DB" w:rsidRDefault="006516DB" w:rsidP="006516DB">
            <w:pPr>
              <w:spacing w:after="0" w:line="240" w:lineRule="auto"/>
              <w:rPr>
                <w:rFonts w:ascii="Times New Roman" w:hAnsi="Times New Roman"/>
                <w:color w:val="000000"/>
                <w:sz w:val="18"/>
                <w:szCs w:val="18"/>
                <w:lang w:eastAsia="sk-SK"/>
              </w:rPr>
            </w:pPr>
            <w:r w:rsidRPr="006516DB">
              <w:rPr>
                <w:rFonts w:ascii="Times New Roman" w:hAnsi="Times New Roman"/>
                <w:color w:val="000000"/>
                <w:sz w:val="18"/>
                <w:szCs w:val="18"/>
                <w:lang w:eastAsia="sk-SK"/>
              </w:rPr>
              <w:t>Špecifické</w:t>
            </w:r>
            <w:r w:rsidRPr="006516DB">
              <w:rPr>
                <w:rFonts w:ascii="Times New Roman" w:hAnsi="Times New Roman"/>
                <w:color w:val="000000"/>
                <w:sz w:val="16"/>
                <w:szCs w:val="16"/>
                <w:lang w:eastAsia="sk-SK"/>
              </w:rPr>
              <w:t> </w:t>
            </w:r>
            <w:r w:rsidRPr="006516DB">
              <w:rPr>
                <w:rFonts w:ascii="Times New Roman" w:hAnsi="Times New Roman"/>
                <w:color w:val="000000"/>
                <w:sz w:val="18"/>
                <w:szCs w:val="18"/>
                <w:lang w:eastAsia="sk-SK"/>
              </w:rPr>
              <w:t xml:space="preserve"> výnosy Ministerstva financií SR</w:t>
            </w:r>
          </w:p>
        </w:tc>
        <w:tc>
          <w:tcPr>
            <w:tcW w:w="607" w:type="pct"/>
            <w:tcBorders>
              <w:top w:val="nil"/>
              <w:left w:val="nil"/>
              <w:bottom w:val="nil"/>
              <w:right w:val="nil"/>
            </w:tcBorders>
            <w:vAlign w:val="center"/>
            <w:hideMark/>
          </w:tcPr>
          <w:p w14:paraId="3C26AFB3"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284 581</w:t>
            </w:r>
          </w:p>
        </w:tc>
        <w:tc>
          <w:tcPr>
            <w:tcW w:w="607" w:type="pct"/>
            <w:tcBorders>
              <w:top w:val="nil"/>
              <w:left w:val="nil"/>
              <w:bottom w:val="nil"/>
              <w:right w:val="nil"/>
            </w:tcBorders>
            <w:vAlign w:val="center"/>
            <w:hideMark/>
          </w:tcPr>
          <w:p w14:paraId="332F41F7"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149 867</w:t>
            </w:r>
          </w:p>
        </w:tc>
        <w:tc>
          <w:tcPr>
            <w:tcW w:w="607" w:type="pct"/>
            <w:tcBorders>
              <w:top w:val="nil"/>
              <w:left w:val="nil"/>
              <w:bottom w:val="nil"/>
              <w:right w:val="nil"/>
            </w:tcBorders>
            <w:vAlign w:val="center"/>
            <w:hideMark/>
          </w:tcPr>
          <w:p w14:paraId="370275B3"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134 714</w:t>
            </w:r>
          </w:p>
        </w:tc>
      </w:tr>
      <w:tr w:rsidR="006516DB" w:rsidRPr="006516DB" w14:paraId="543CD676" w14:textId="77777777" w:rsidTr="0085799C">
        <w:trPr>
          <w:trHeight w:val="227"/>
          <w:jc w:val="center"/>
        </w:trPr>
        <w:tc>
          <w:tcPr>
            <w:tcW w:w="3179" w:type="pct"/>
            <w:tcBorders>
              <w:top w:val="nil"/>
              <w:left w:val="nil"/>
              <w:bottom w:val="nil"/>
              <w:right w:val="nil"/>
            </w:tcBorders>
            <w:vAlign w:val="center"/>
            <w:hideMark/>
          </w:tcPr>
          <w:p w14:paraId="2851B09E" w14:textId="77777777" w:rsidR="006516DB" w:rsidRPr="006516DB" w:rsidRDefault="006516DB" w:rsidP="006516DB">
            <w:pPr>
              <w:spacing w:after="0" w:line="240" w:lineRule="auto"/>
              <w:rPr>
                <w:rFonts w:ascii="Times New Roman" w:hAnsi="Times New Roman"/>
                <w:color w:val="000000"/>
                <w:sz w:val="18"/>
                <w:szCs w:val="18"/>
                <w:lang w:eastAsia="sk-SK"/>
              </w:rPr>
            </w:pPr>
            <w:r w:rsidRPr="006516DB">
              <w:rPr>
                <w:rFonts w:ascii="Times New Roman" w:hAnsi="Times New Roman"/>
                <w:color w:val="000000"/>
                <w:sz w:val="18"/>
                <w:szCs w:val="18"/>
                <w:lang w:eastAsia="sk-SK"/>
              </w:rPr>
              <w:t>Výnosy</w:t>
            </w:r>
            <w:r w:rsidRPr="006516DB">
              <w:rPr>
                <w:rFonts w:ascii="Times New Roman" w:hAnsi="Times New Roman"/>
                <w:color w:val="000000"/>
                <w:sz w:val="16"/>
                <w:szCs w:val="16"/>
                <w:lang w:eastAsia="sk-SK"/>
              </w:rPr>
              <w:t> </w:t>
            </w:r>
            <w:r w:rsidRPr="006516DB">
              <w:rPr>
                <w:rFonts w:ascii="Times New Roman" w:hAnsi="Times New Roman"/>
                <w:color w:val="000000"/>
                <w:sz w:val="18"/>
                <w:szCs w:val="18"/>
                <w:lang w:eastAsia="sk-SK"/>
              </w:rPr>
              <w:t xml:space="preserve"> Ministerstva vnútra SR z poistenia príslušníkov Policajného zboru a Hasičského záchranného zboru</w:t>
            </w:r>
          </w:p>
        </w:tc>
        <w:tc>
          <w:tcPr>
            <w:tcW w:w="607" w:type="pct"/>
            <w:tcBorders>
              <w:top w:val="nil"/>
              <w:left w:val="nil"/>
              <w:bottom w:val="nil"/>
              <w:right w:val="nil"/>
            </w:tcBorders>
            <w:noWrap/>
            <w:vAlign w:val="center"/>
            <w:hideMark/>
          </w:tcPr>
          <w:p w14:paraId="60F15345"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273 408</w:t>
            </w:r>
          </w:p>
        </w:tc>
        <w:tc>
          <w:tcPr>
            <w:tcW w:w="607" w:type="pct"/>
            <w:tcBorders>
              <w:top w:val="nil"/>
              <w:left w:val="nil"/>
              <w:bottom w:val="nil"/>
              <w:right w:val="nil"/>
            </w:tcBorders>
            <w:noWrap/>
            <w:vAlign w:val="center"/>
            <w:hideMark/>
          </w:tcPr>
          <w:p w14:paraId="25146EE9"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255 528</w:t>
            </w:r>
          </w:p>
        </w:tc>
        <w:tc>
          <w:tcPr>
            <w:tcW w:w="607" w:type="pct"/>
            <w:tcBorders>
              <w:top w:val="nil"/>
              <w:left w:val="nil"/>
              <w:bottom w:val="nil"/>
              <w:right w:val="nil"/>
            </w:tcBorders>
            <w:vAlign w:val="center"/>
            <w:hideMark/>
          </w:tcPr>
          <w:p w14:paraId="1BEFA941"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17 880</w:t>
            </w:r>
          </w:p>
        </w:tc>
      </w:tr>
      <w:tr w:rsidR="006516DB" w:rsidRPr="006516DB" w14:paraId="4B885AD4" w14:textId="77777777" w:rsidTr="0085799C">
        <w:trPr>
          <w:trHeight w:val="227"/>
          <w:jc w:val="center"/>
        </w:trPr>
        <w:tc>
          <w:tcPr>
            <w:tcW w:w="3179" w:type="pct"/>
            <w:tcBorders>
              <w:top w:val="nil"/>
              <w:left w:val="nil"/>
              <w:bottom w:val="nil"/>
              <w:right w:val="nil"/>
            </w:tcBorders>
            <w:noWrap/>
            <w:vAlign w:val="center"/>
            <w:hideMark/>
          </w:tcPr>
          <w:p w14:paraId="3CFC6162" w14:textId="77777777" w:rsidR="006516DB" w:rsidRPr="006516DB" w:rsidRDefault="006516DB" w:rsidP="006516DB">
            <w:pPr>
              <w:spacing w:after="0" w:line="240" w:lineRule="auto"/>
              <w:rPr>
                <w:rFonts w:ascii="Times New Roman" w:hAnsi="Times New Roman"/>
                <w:color w:val="000000"/>
                <w:sz w:val="18"/>
                <w:szCs w:val="18"/>
                <w:lang w:eastAsia="sk-SK"/>
              </w:rPr>
            </w:pPr>
            <w:r w:rsidRPr="006516DB">
              <w:rPr>
                <w:rFonts w:ascii="Times New Roman" w:hAnsi="Times New Roman"/>
                <w:color w:val="000000"/>
                <w:sz w:val="18"/>
                <w:szCs w:val="18"/>
                <w:lang w:eastAsia="sk-SK"/>
              </w:rPr>
              <w:t>Tržby z predaja dlhodobého majetku</w:t>
            </w:r>
          </w:p>
        </w:tc>
        <w:tc>
          <w:tcPr>
            <w:tcW w:w="607" w:type="pct"/>
            <w:tcBorders>
              <w:top w:val="nil"/>
              <w:left w:val="nil"/>
              <w:bottom w:val="nil"/>
              <w:right w:val="nil"/>
            </w:tcBorders>
            <w:noWrap/>
            <w:vAlign w:val="center"/>
            <w:hideMark/>
          </w:tcPr>
          <w:p w14:paraId="3930B163"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200 452</w:t>
            </w:r>
          </w:p>
        </w:tc>
        <w:tc>
          <w:tcPr>
            <w:tcW w:w="607" w:type="pct"/>
            <w:tcBorders>
              <w:top w:val="nil"/>
              <w:left w:val="nil"/>
              <w:bottom w:val="nil"/>
              <w:right w:val="nil"/>
            </w:tcBorders>
            <w:noWrap/>
            <w:vAlign w:val="center"/>
            <w:hideMark/>
          </w:tcPr>
          <w:p w14:paraId="1C11F311"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198 777</w:t>
            </w:r>
          </w:p>
        </w:tc>
        <w:tc>
          <w:tcPr>
            <w:tcW w:w="607" w:type="pct"/>
            <w:tcBorders>
              <w:top w:val="nil"/>
              <w:left w:val="nil"/>
              <w:bottom w:val="nil"/>
              <w:right w:val="nil"/>
            </w:tcBorders>
            <w:vAlign w:val="center"/>
            <w:hideMark/>
          </w:tcPr>
          <w:p w14:paraId="77A68D51"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1 675</w:t>
            </w:r>
          </w:p>
        </w:tc>
      </w:tr>
      <w:tr w:rsidR="006516DB" w:rsidRPr="006516DB" w14:paraId="021883AD" w14:textId="77777777" w:rsidTr="0085799C">
        <w:trPr>
          <w:trHeight w:val="227"/>
          <w:jc w:val="center"/>
        </w:trPr>
        <w:tc>
          <w:tcPr>
            <w:tcW w:w="3179" w:type="pct"/>
            <w:tcBorders>
              <w:top w:val="nil"/>
              <w:left w:val="nil"/>
              <w:bottom w:val="nil"/>
              <w:right w:val="nil"/>
            </w:tcBorders>
            <w:vAlign w:val="center"/>
            <w:hideMark/>
          </w:tcPr>
          <w:p w14:paraId="49116157" w14:textId="77777777" w:rsidR="006516DB" w:rsidRPr="006516DB" w:rsidRDefault="006516DB" w:rsidP="006516DB">
            <w:pPr>
              <w:spacing w:after="0" w:line="240" w:lineRule="auto"/>
              <w:rPr>
                <w:rFonts w:ascii="Times New Roman" w:hAnsi="Times New Roman"/>
                <w:color w:val="000000"/>
                <w:sz w:val="18"/>
                <w:szCs w:val="18"/>
                <w:lang w:eastAsia="sk-SK"/>
              </w:rPr>
            </w:pPr>
            <w:r w:rsidRPr="006516DB">
              <w:rPr>
                <w:rFonts w:ascii="Times New Roman" w:hAnsi="Times New Roman"/>
                <w:color w:val="000000"/>
                <w:sz w:val="18"/>
                <w:szCs w:val="18"/>
                <w:lang w:eastAsia="sk-SK"/>
              </w:rPr>
              <w:t>Pokuty, penále a úroky z omeškania</w:t>
            </w:r>
          </w:p>
        </w:tc>
        <w:tc>
          <w:tcPr>
            <w:tcW w:w="607" w:type="pct"/>
            <w:tcBorders>
              <w:top w:val="nil"/>
              <w:left w:val="nil"/>
              <w:bottom w:val="nil"/>
              <w:right w:val="nil"/>
            </w:tcBorders>
            <w:vAlign w:val="center"/>
            <w:hideMark/>
          </w:tcPr>
          <w:p w14:paraId="3AD016C8"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161 371</w:t>
            </w:r>
          </w:p>
        </w:tc>
        <w:tc>
          <w:tcPr>
            <w:tcW w:w="607" w:type="pct"/>
            <w:tcBorders>
              <w:top w:val="nil"/>
              <w:left w:val="nil"/>
              <w:bottom w:val="nil"/>
              <w:right w:val="nil"/>
            </w:tcBorders>
            <w:vAlign w:val="center"/>
            <w:hideMark/>
          </w:tcPr>
          <w:p w14:paraId="5C06B7C4"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138 375</w:t>
            </w:r>
          </w:p>
        </w:tc>
        <w:tc>
          <w:tcPr>
            <w:tcW w:w="607" w:type="pct"/>
            <w:tcBorders>
              <w:top w:val="nil"/>
              <w:left w:val="nil"/>
              <w:bottom w:val="nil"/>
              <w:right w:val="nil"/>
            </w:tcBorders>
            <w:vAlign w:val="center"/>
            <w:hideMark/>
          </w:tcPr>
          <w:p w14:paraId="08C4D47D"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22 996</w:t>
            </w:r>
          </w:p>
        </w:tc>
      </w:tr>
      <w:tr w:rsidR="006516DB" w:rsidRPr="006516DB" w14:paraId="0AF45FE5" w14:textId="77777777" w:rsidTr="0085799C">
        <w:trPr>
          <w:trHeight w:val="227"/>
          <w:jc w:val="center"/>
        </w:trPr>
        <w:tc>
          <w:tcPr>
            <w:tcW w:w="3179" w:type="pct"/>
            <w:tcBorders>
              <w:top w:val="nil"/>
              <w:left w:val="nil"/>
              <w:bottom w:val="nil"/>
              <w:right w:val="nil"/>
            </w:tcBorders>
            <w:vAlign w:val="center"/>
            <w:hideMark/>
          </w:tcPr>
          <w:p w14:paraId="0180232C" w14:textId="77777777" w:rsidR="006516DB" w:rsidRPr="006516DB" w:rsidRDefault="006516DB" w:rsidP="006516DB">
            <w:pPr>
              <w:spacing w:after="0" w:line="240" w:lineRule="auto"/>
              <w:rPr>
                <w:rFonts w:ascii="Times New Roman" w:hAnsi="Times New Roman"/>
                <w:color w:val="000000"/>
                <w:sz w:val="18"/>
                <w:szCs w:val="18"/>
                <w:lang w:eastAsia="sk-SK"/>
              </w:rPr>
            </w:pPr>
            <w:r w:rsidRPr="006516DB">
              <w:rPr>
                <w:rFonts w:ascii="Times New Roman" w:hAnsi="Times New Roman"/>
                <w:color w:val="000000"/>
                <w:sz w:val="18"/>
                <w:szCs w:val="18"/>
                <w:lang w:eastAsia="sk-SK"/>
              </w:rPr>
              <w:t>Výnosy</w:t>
            </w:r>
            <w:r w:rsidRPr="006516DB">
              <w:rPr>
                <w:rFonts w:ascii="Times New Roman" w:hAnsi="Times New Roman"/>
                <w:color w:val="000000"/>
                <w:sz w:val="16"/>
                <w:szCs w:val="16"/>
                <w:lang w:eastAsia="sk-SK"/>
              </w:rPr>
              <w:t> </w:t>
            </w:r>
            <w:r w:rsidRPr="006516DB">
              <w:rPr>
                <w:rFonts w:ascii="Times New Roman" w:hAnsi="Times New Roman"/>
                <w:color w:val="000000"/>
                <w:sz w:val="18"/>
                <w:szCs w:val="18"/>
                <w:lang w:eastAsia="sk-SK"/>
              </w:rPr>
              <w:t xml:space="preserve"> Ministerstva hospodárstva SR z odvodov z prenosovej a distribučných sústav</w:t>
            </w:r>
          </w:p>
        </w:tc>
        <w:tc>
          <w:tcPr>
            <w:tcW w:w="607" w:type="pct"/>
            <w:tcBorders>
              <w:top w:val="nil"/>
              <w:left w:val="nil"/>
              <w:bottom w:val="nil"/>
              <w:right w:val="nil"/>
            </w:tcBorders>
            <w:vAlign w:val="center"/>
            <w:hideMark/>
          </w:tcPr>
          <w:p w14:paraId="2BD1FF9E"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68 569</w:t>
            </w:r>
          </w:p>
        </w:tc>
        <w:tc>
          <w:tcPr>
            <w:tcW w:w="607" w:type="pct"/>
            <w:tcBorders>
              <w:top w:val="nil"/>
              <w:left w:val="nil"/>
              <w:bottom w:val="nil"/>
              <w:right w:val="nil"/>
            </w:tcBorders>
            <w:vAlign w:val="center"/>
            <w:hideMark/>
          </w:tcPr>
          <w:p w14:paraId="32481674"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66 874</w:t>
            </w:r>
          </w:p>
        </w:tc>
        <w:tc>
          <w:tcPr>
            <w:tcW w:w="607" w:type="pct"/>
            <w:tcBorders>
              <w:top w:val="nil"/>
              <w:left w:val="nil"/>
              <w:bottom w:val="nil"/>
              <w:right w:val="nil"/>
            </w:tcBorders>
            <w:vAlign w:val="center"/>
            <w:hideMark/>
          </w:tcPr>
          <w:p w14:paraId="12922078"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1 695</w:t>
            </w:r>
          </w:p>
        </w:tc>
      </w:tr>
      <w:tr w:rsidR="006516DB" w:rsidRPr="006516DB" w14:paraId="0260D839" w14:textId="77777777" w:rsidTr="0085799C">
        <w:trPr>
          <w:trHeight w:val="227"/>
          <w:jc w:val="center"/>
        </w:trPr>
        <w:tc>
          <w:tcPr>
            <w:tcW w:w="3179" w:type="pct"/>
            <w:tcBorders>
              <w:top w:val="nil"/>
              <w:left w:val="nil"/>
              <w:bottom w:val="nil"/>
              <w:right w:val="nil"/>
            </w:tcBorders>
            <w:vAlign w:val="center"/>
            <w:hideMark/>
          </w:tcPr>
          <w:p w14:paraId="5C0F8A2D" w14:textId="77777777" w:rsidR="006516DB" w:rsidRPr="006516DB" w:rsidRDefault="006516DB" w:rsidP="006516DB">
            <w:pPr>
              <w:spacing w:after="0" w:line="240" w:lineRule="auto"/>
              <w:rPr>
                <w:rFonts w:ascii="Times New Roman" w:hAnsi="Times New Roman"/>
                <w:color w:val="000000"/>
                <w:sz w:val="18"/>
                <w:szCs w:val="18"/>
                <w:lang w:eastAsia="sk-SK"/>
              </w:rPr>
            </w:pPr>
            <w:r w:rsidRPr="006516DB">
              <w:rPr>
                <w:rFonts w:ascii="Times New Roman" w:hAnsi="Times New Roman"/>
                <w:color w:val="000000"/>
                <w:sz w:val="18"/>
                <w:szCs w:val="18"/>
                <w:lang w:eastAsia="sk-SK"/>
              </w:rPr>
              <w:t>Výnosy</w:t>
            </w:r>
            <w:r w:rsidRPr="006516DB">
              <w:rPr>
                <w:rFonts w:ascii="Times New Roman" w:hAnsi="Times New Roman"/>
                <w:color w:val="000000"/>
                <w:sz w:val="16"/>
                <w:szCs w:val="16"/>
                <w:lang w:eastAsia="sk-SK"/>
              </w:rPr>
              <w:t> </w:t>
            </w:r>
            <w:r w:rsidRPr="006516DB">
              <w:rPr>
                <w:rFonts w:ascii="Times New Roman" w:hAnsi="Times New Roman"/>
                <w:color w:val="000000"/>
                <w:sz w:val="18"/>
                <w:szCs w:val="18"/>
                <w:lang w:eastAsia="sk-SK"/>
              </w:rPr>
              <w:t xml:space="preserve"> Vojenského úradu sociálneho zabezpečenia z poistenia profesionálnych vojakov</w:t>
            </w:r>
            <w:r w:rsidRPr="006516DB">
              <w:rPr>
                <w:rFonts w:ascii="Times New Roman" w:hAnsi="Times New Roman"/>
                <w:color w:val="000000"/>
                <w:sz w:val="16"/>
                <w:szCs w:val="16"/>
                <w:lang w:eastAsia="sk-SK"/>
              </w:rPr>
              <w:t> </w:t>
            </w:r>
          </w:p>
        </w:tc>
        <w:tc>
          <w:tcPr>
            <w:tcW w:w="607" w:type="pct"/>
            <w:tcBorders>
              <w:top w:val="nil"/>
              <w:left w:val="nil"/>
              <w:bottom w:val="nil"/>
              <w:right w:val="nil"/>
            </w:tcBorders>
            <w:vAlign w:val="center"/>
            <w:hideMark/>
          </w:tcPr>
          <w:p w14:paraId="5B34C876"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42 930</w:t>
            </w:r>
          </w:p>
        </w:tc>
        <w:tc>
          <w:tcPr>
            <w:tcW w:w="607" w:type="pct"/>
            <w:tcBorders>
              <w:top w:val="nil"/>
              <w:left w:val="nil"/>
              <w:bottom w:val="nil"/>
              <w:right w:val="nil"/>
            </w:tcBorders>
            <w:vAlign w:val="center"/>
            <w:hideMark/>
          </w:tcPr>
          <w:p w14:paraId="12FB2C70"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40 978</w:t>
            </w:r>
          </w:p>
        </w:tc>
        <w:tc>
          <w:tcPr>
            <w:tcW w:w="607" w:type="pct"/>
            <w:tcBorders>
              <w:top w:val="nil"/>
              <w:left w:val="nil"/>
              <w:bottom w:val="nil"/>
              <w:right w:val="nil"/>
            </w:tcBorders>
            <w:vAlign w:val="center"/>
            <w:hideMark/>
          </w:tcPr>
          <w:p w14:paraId="48E488CC"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1 952</w:t>
            </w:r>
          </w:p>
        </w:tc>
      </w:tr>
      <w:tr w:rsidR="006516DB" w:rsidRPr="006516DB" w14:paraId="4C068312" w14:textId="77777777" w:rsidTr="0085799C">
        <w:trPr>
          <w:trHeight w:val="227"/>
          <w:jc w:val="center"/>
        </w:trPr>
        <w:tc>
          <w:tcPr>
            <w:tcW w:w="3179" w:type="pct"/>
            <w:tcBorders>
              <w:top w:val="nil"/>
              <w:left w:val="nil"/>
              <w:bottom w:val="nil"/>
              <w:right w:val="nil"/>
            </w:tcBorders>
            <w:vAlign w:val="center"/>
            <w:hideMark/>
          </w:tcPr>
          <w:p w14:paraId="5853BB94" w14:textId="77777777" w:rsidR="006516DB" w:rsidRPr="006516DB" w:rsidRDefault="006516DB" w:rsidP="006516DB">
            <w:pPr>
              <w:spacing w:after="0" w:line="240" w:lineRule="auto"/>
              <w:rPr>
                <w:rFonts w:ascii="Times New Roman" w:hAnsi="Times New Roman"/>
                <w:color w:val="000000"/>
                <w:sz w:val="18"/>
                <w:szCs w:val="18"/>
                <w:lang w:eastAsia="sk-SK"/>
              </w:rPr>
            </w:pPr>
            <w:r w:rsidRPr="006516DB">
              <w:rPr>
                <w:rFonts w:ascii="Times New Roman" w:hAnsi="Times New Roman"/>
                <w:color w:val="000000"/>
                <w:sz w:val="18"/>
                <w:szCs w:val="18"/>
                <w:lang w:eastAsia="sk-SK"/>
              </w:rPr>
              <w:t>Tržby z predaja materiálu</w:t>
            </w:r>
          </w:p>
        </w:tc>
        <w:tc>
          <w:tcPr>
            <w:tcW w:w="607" w:type="pct"/>
            <w:tcBorders>
              <w:top w:val="nil"/>
              <w:left w:val="nil"/>
              <w:bottom w:val="nil"/>
              <w:right w:val="nil"/>
            </w:tcBorders>
            <w:vAlign w:val="center"/>
            <w:hideMark/>
          </w:tcPr>
          <w:p w14:paraId="1F4FF170"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13 139</w:t>
            </w:r>
          </w:p>
        </w:tc>
        <w:tc>
          <w:tcPr>
            <w:tcW w:w="607" w:type="pct"/>
            <w:tcBorders>
              <w:top w:val="nil"/>
              <w:left w:val="nil"/>
              <w:bottom w:val="nil"/>
              <w:right w:val="nil"/>
            </w:tcBorders>
            <w:vAlign w:val="center"/>
            <w:hideMark/>
          </w:tcPr>
          <w:p w14:paraId="58EE29E8"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10 929</w:t>
            </w:r>
          </w:p>
        </w:tc>
        <w:tc>
          <w:tcPr>
            <w:tcW w:w="607" w:type="pct"/>
            <w:tcBorders>
              <w:top w:val="nil"/>
              <w:left w:val="nil"/>
              <w:bottom w:val="nil"/>
              <w:right w:val="nil"/>
            </w:tcBorders>
            <w:vAlign w:val="center"/>
            <w:hideMark/>
          </w:tcPr>
          <w:p w14:paraId="43CA896A"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2 210</w:t>
            </w:r>
          </w:p>
        </w:tc>
      </w:tr>
      <w:tr w:rsidR="006516DB" w:rsidRPr="006516DB" w14:paraId="0B0FF332" w14:textId="77777777" w:rsidTr="0085799C">
        <w:trPr>
          <w:trHeight w:val="227"/>
          <w:jc w:val="center"/>
        </w:trPr>
        <w:tc>
          <w:tcPr>
            <w:tcW w:w="3179" w:type="pct"/>
            <w:tcBorders>
              <w:top w:val="nil"/>
              <w:left w:val="nil"/>
              <w:bottom w:val="nil"/>
              <w:right w:val="nil"/>
            </w:tcBorders>
            <w:vAlign w:val="center"/>
            <w:hideMark/>
          </w:tcPr>
          <w:p w14:paraId="30DF2208" w14:textId="77777777" w:rsidR="006516DB" w:rsidRPr="006516DB" w:rsidRDefault="006516DB" w:rsidP="006516DB">
            <w:pPr>
              <w:spacing w:after="0" w:line="240" w:lineRule="auto"/>
              <w:rPr>
                <w:rFonts w:ascii="Times New Roman" w:hAnsi="Times New Roman"/>
                <w:color w:val="000000"/>
                <w:sz w:val="18"/>
                <w:szCs w:val="18"/>
                <w:lang w:eastAsia="sk-SK"/>
              </w:rPr>
            </w:pPr>
            <w:r w:rsidRPr="006516DB">
              <w:rPr>
                <w:rFonts w:ascii="Times New Roman" w:hAnsi="Times New Roman"/>
                <w:color w:val="000000"/>
                <w:sz w:val="18"/>
                <w:szCs w:val="18"/>
                <w:lang w:eastAsia="sk-SK"/>
              </w:rPr>
              <w:t>Výnosy z odpísaných pohľadávok</w:t>
            </w:r>
          </w:p>
        </w:tc>
        <w:tc>
          <w:tcPr>
            <w:tcW w:w="607" w:type="pct"/>
            <w:tcBorders>
              <w:top w:val="nil"/>
              <w:left w:val="nil"/>
              <w:bottom w:val="nil"/>
              <w:right w:val="nil"/>
            </w:tcBorders>
            <w:vAlign w:val="center"/>
            <w:hideMark/>
          </w:tcPr>
          <w:p w14:paraId="7B29543C"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10 895</w:t>
            </w:r>
          </w:p>
        </w:tc>
        <w:tc>
          <w:tcPr>
            <w:tcW w:w="607" w:type="pct"/>
            <w:tcBorders>
              <w:top w:val="nil"/>
              <w:left w:val="nil"/>
              <w:bottom w:val="nil"/>
              <w:right w:val="nil"/>
            </w:tcBorders>
            <w:vAlign w:val="center"/>
            <w:hideMark/>
          </w:tcPr>
          <w:p w14:paraId="7B917F00"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13 267</w:t>
            </w:r>
          </w:p>
        </w:tc>
        <w:tc>
          <w:tcPr>
            <w:tcW w:w="607" w:type="pct"/>
            <w:tcBorders>
              <w:top w:val="nil"/>
              <w:left w:val="nil"/>
              <w:bottom w:val="nil"/>
              <w:right w:val="nil"/>
            </w:tcBorders>
            <w:vAlign w:val="center"/>
            <w:hideMark/>
          </w:tcPr>
          <w:p w14:paraId="17C210EC"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-2 372</w:t>
            </w:r>
          </w:p>
        </w:tc>
      </w:tr>
      <w:tr w:rsidR="006516DB" w:rsidRPr="006516DB" w14:paraId="5B4C3F6F" w14:textId="77777777" w:rsidTr="0085799C">
        <w:trPr>
          <w:trHeight w:val="227"/>
          <w:jc w:val="center"/>
        </w:trPr>
        <w:tc>
          <w:tcPr>
            <w:tcW w:w="3179" w:type="pct"/>
            <w:tcBorders>
              <w:top w:val="nil"/>
              <w:left w:val="nil"/>
              <w:bottom w:val="single" w:sz="8" w:space="0" w:color="auto"/>
              <w:right w:val="nil"/>
            </w:tcBorders>
            <w:vAlign w:val="center"/>
            <w:hideMark/>
          </w:tcPr>
          <w:p w14:paraId="7DF1873F" w14:textId="77777777" w:rsidR="006516DB" w:rsidRPr="006516DB" w:rsidRDefault="006516DB" w:rsidP="006516DB">
            <w:pPr>
              <w:spacing w:after="0" w:line="240" w:lineRule="auto"/>
              <w:rPr>
                <w:rFonts w:ascii="Times New Roman" w:hAnsi="Times New Roman"/>
                <w:color w:val="000000"/>
                <w:sz w:val="18"/>
                <w:szCs w:val="18"/>
                <w:lang w:eastAsia="sk-SK"/>
              </w:rPr>
            </w:pPr>
            <w:r w:rsidRPr="006516DB">
              <w:rPr>
                <w:rFonts w:ascii="Times New Roman" w:hAnsi="Times New Roman"/>
                <w:color w:val="000000"/>
                <w:sz w:val="18"/>
                <w:szCs w:val="18"/>
                <w:lang w:eastAsia="sk-SK"/>
              </w:rPr>
              <w:t>Ostatné výnosy z prevádzkovej činnosti</w:t>
            </w:r>
          </w:p>
        </w:tc>
        <w:tc>
          <w:tcPr>
            <w:tcW w:w="607" w:type="pct"/>
            <w:tcBorders>
              <w:top w:val="nil"/>
              <w:left w:val="nil"/>
              <w:bottom w:val="single" w:sz="8" w:space="0" w:color="auto"/>
              <w:right w:val="nil"/>
            </w:tcBorders>
            <w:vAlign w:val="center"/>
            <w:hideMark/>
          </w:tcPr>
          <w:p w14:paraId="35DE8408"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1 650 464</w:t>
            </w:r>
          </w:p>
        </w:tc>
        <w:tc>
          <w:tcPr>
            <w:tcW w:w="607" w:type="pct"/>
            <w:tcBorders>
              <w:top w:val="nil"/>
              <w:left w:val="nil"/>
              <w:bottom w:val="single" w:sz="8" w:space="0" w:color="auto"/>
              <w:right w:val="nil"/>
            </w:tcBorders>
            <w:vAlign w:val="center"/>
            <w:hideMark/>
          </w:tcPr>
          <w:p w14:paraId="347C0265"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1 459 828</w:t>
            </w:r>
          </w:p>
        </w:tc>
        <w:tc>
          <w:tcPr>
            <w:tcW w:w="607" w:type="pct"/>
            <w:tcBorders>
              <w:top w:val="nil"/>
              <w:left w:val="nil"/>
              <w:bottom w:val="nil"/>
              <w:right w:val="nil"/>
            </w:tcBorders>
            <w:vAlign w:val="center"/>
            <w:hideMark/>
          </w:tcPr>
          <w:p w14:paraId="1474AE37" w14:textId="77777777" w:rsidR="006516DB" w:rsidRPr="006516DB" w:rsidRDefault="006516DB" w:rsidP="006516DB">
            <w:pPr>
              <w:spacing w:after="0" w:line="240" w:lineRule="auto"/>
              <w:jc w:val="right"/>
              <w:rPr>
                <w:rFonts w:ascii="Times New Roman" w:hAnsi="Times New Roman"/>
                <w:color w:val="000000"/>
                <w:sz w:val="18"/>
                <w:szCs w:val="18"/>
                <w:lang w:eastAsia="sk-SK"/>
              </w:rPr>
            </w:pPr>
            <w:r w:rsidRPr="006516DB">
              <w:rPr>
                <w:rFonts w:ascii="Times New Roman" w:hAnsi="Times New Roman"/>
                <w:color w:val="000000"/>
                <w:sz w:val="18"/>
                <w:szCs w:val="18"/>
                <w:lang w:eastAsia="sk-SK"/>
              </w:rPr>
              <w:t>190 636</w:t>
            </w:r>
          </w:p>
        </w:tc>
      </w:tr>
      <w:tr w:rsidR="006516DB" w:rsidRPr="006516DB" w14:paraId="56300A62" w14:textId="77777777" w:rsidTr="0085799C">
        <w:trPr>
          <w:trHeight w:val="227"/>
          <w:jc w:val="center"/>
        </w:trPr>
        <w:tc>
          <w:tcPr>
            <w:tcW w:w="3179" w:type="pct"/>
            <w:tcBorders>
              <w:top w:val="nil"/>
              <w:left w:val="nil"/>
              <w:bottom w:val="single" w:sz="8" w:space="0" w:color="000000"/>
              <w:right w:val="nil"/>
            </w:tcBorders>
            <w:vAlign w:val="center"/>
            <w:hideMark/>
          </w:tcPr>
          <w:p w14:paraId="172A5BCB" w14:textId="77777777" w:rsidR="006516DB" w:rsidRPr="006516DB" w:rsidRDefault="006516DB" w:rsidP="006516DB">
            <w:pPr>
              <w:spacing w:after="0" w:line="240" w:lineRule="auto"/>
              <w:rPr>
                <w:rFonts w:ascii="Times New Roman" w:hAnsi="Times New Roman"/>
                <w:b/>
                <w:bCs/>
                <w:color w:val="000000"/>
                <w:sz w:val="18"/>
                <w:szCs w:val="18"/>
                <w:lang w:eastAsia="sk-SK"/>
              </w:rPr>
            </w:pPr>
            <w:r w:rsidRPr="006516DB">
              <w:rPr>
                <w:rFonts w:ascii="Times New Roman" w:hAnsi="Times New Roman"/>
                <w:b/>
                <w:bCs/>
                <w:color w:val="000000"/>
                <w:sz w:val="18"/>
                <w:szCs w:val="18"/>
                <w:lang w:eastAsia="sk-SK"/>
              </w:rPr>
              <w:t>Spolu</w:t>
            </w:r>
          </w:p>
        </w:tc>
        <w:tc>
          <w:tcPr>
            <w:tcW w:w="607" w:type="pct"/>
            <w:tcBorders>
              <w:top w:val="nil"/>
              <w:left w:val="nil"/>
              <w:bottom w:val="single" w:sz="8" w:space="0" w:color="000000"/>
              <w:right w:val="nil"/>
            </w:tcBorders>
            <w:vAlign w:val="center"/>
            <w:hideMark/>
          </w:tcPr>
          <w:p w14:paraId="4F1045C0" w14:textId="77777777" w:rsidR="006516DB" w:rsidRPr="006516DB" w:rsidRDefault="006516DB" w:rsidP="006516DB">
            <w:pPr>
              <w:spacing w:after="0" w:line="240" w:lineRule="auto"/>
              <w:jc w:val="right"/>
              <w:rPr>
                <w:rFonts w:ascii="Times New Roman" w:hAnsi="Times New Roman"/>
                <w:b/>
                <w:bCs/>
                <w:color w:val="000000"/>
                <w:sz w:val="18"/>
                <w:szCs w:val="18"/>
                <w:lang w:eastAsia="sk-SK"/>
              </w:rPr>
            </w:pPr>
            <w:r w:rsidRPr="006516DB">
              <w:rPr>
                <w:rFonts w:ascii="Times New Roman" w:hAnsi="Times New Roman"/>
                <w:b/>
                <w:bCs/>
                <w:color w:val="000000"/>
                <w:sz w:val="18"/>
                <w:szCs w:val="18"/>
                <w:lang w:eastAsia="sk-SK"/>
              </w:rPr>
              <w:t>3 350 292</w:t>
            </w:r>
          </w:p>
        </w:tc>
        <w:tc>
          <w:tcPr>
            <w:tcW w:w="607" w:type="pct"/>
            <w:tcBorders>
              <w:top w:val="nil"/>
              <w:left w:val="nil"/>
              <w:bottom w:val="single" w:sz="8" w:space="0" w:color="000000"/>
              <w:right w:val="nil"/>
            </w:tcBorders>
            <w:vAlign w:val="center"/>
            <w:hideMark/>
          </w:tcPr>
          <w:p w14:paraId="3E50A9C5" w14:textId="77777777" w:rsidR="006516DB" w:rsidRPr="006516DB" w:rsidRDefault="006516DB" w:rsidP="006516DB">
            <w:pPr>
              <w:spacing w:after="0" w:line="240" w:lineRule="auto"/>
              <w:jc w:val="right"/>
              <w:rPr>
                <w:rFonts w:ascii="Times New Roman" w:hAnsi="Times New Roman"/>
                <w:b/>
                <w:bCs/>
                <w:color w:val="000000"/>
                <w:sz w:val="18"/>
                <w:szCs w:val="18"/>
                <w:lang w:eastAsia="sk-SK"/>
              </w:rPr>
            </w:pPr>
            <w:r w:rsidRPr="006516DB">
              <w:rPr>
                <w:rFonts w:ascii="Times New Roman" w:hAnsi="Times New Roman"/>
                <w:b/>
                <w:bCs/>
                <w:color w:val="000000"/>
                <w:sz w:val="18"/>
                <w:szCs w:val="18"/>
                <w:lang w:eastAsia="sk-SK"/>
              </w:rPr>
              <w:t>2 873 226</w:t>
            </w:r>
          </w:p>
        </w:tc>
        <w:tc>
          <w:tcPr>
            <w:tcW w:w="607" w:type="pct"/>
            <w:tcBorders>
              <w:top w:val="single" w:sz="8" w:space="0" w:color="000000"/>
              <w:left w:val="nil"/>
              <w:bottom w:val="single" w:sz="8" w:space="0" w:color="000000"/>
              <w:right w:val="nil"/>
            </w:tcBorders>
            <w:vAlign w:val="center"/>
            <w:hideMark/>
          </w:tcPr>
          <w:p w14:paraId="378DCE4C" w14:textId="77777777" w:rsidR="006516DB" w:rsidRPr="006516DB" w:rsidRDefault="006516DB" w:rsidP="006516DB">
            <w:pPr>
              <w:spacing w:after="0" w:line="240" w:lineRule="auto"/>
              <w:jc w:val="right"/>
              <w:rPr>
                <w:rFonts w:ascii="Times New Roman" w:hAnsi="Times New Roman"/>
                <w:b/>
                <w:bCs/>
                <w:color w:val="000000"/>
                <w:sz w:val="18"/>
                <w:szCs w:val="18"/>
                <w:lang w:eastAsia="sk-SK"/>
              </w:rPr>
            </w:pPr>
            <w:r w:rsidRPr="006516DB">
              <w:rPr>
                <w:rFonts w:ascii="Times New Roman" w:hAnsi="Times New Roman"/>
                <w:b/>
                <w:bCs/>
                <w:color w:val="000000"/>
                <w:sz w:val="18"/>
                <w:szCs w:val="18"/>
                <w:lang w:eastAsia="sk-SK"/>
              </w:rPr>
              <w:t>477 066</w:t>
            </w:r>
          </w:p>
        </w:tc>
      </w:tr>
      <w:tr w:rsidR="006516DB" w:rsidRPr="006516DB" w14:paraId="2274AC66" w14:textId="77777777" w:rsidTr="0085799C">
        <w:trPr>
          <w:trHeight w:val="227"/>
          <w:jc w:val="center"/>
        </w:trPr>
        <w:tc>
          <w:tcPr>
            <w:tcW w:w="5000" w:type="pct"/>
            <w:gridSpan w:val="4"/>
            <w:tcBorders>
              <w:top w:val="single" w:sz="8" w:space="0" w:color="000000"/>
              <w:left w:val="nil"/>
              <w:bottom w:val="nil"/>
              <w:right w:val="nil"/>
            </w:tcBorders>
            <w:noWrap/>
            <w:vAlign w:val="center"/>
            <w:hideMark/>
          </w:tcPr>
          <w:p w14:paraId="0C0B241A" w14:textId="77777777" w:rsidR="006516DB" w:rsidRPr="006516DB" w:rsidRDefault="006516DB" w:rsidP="006516DB">
            <w:pPr>
              <w:spacing w:after="0" w:line="240" w:lineRule="auto"/>
              <w:jc w:val="right"/>
              <w:rPr>
                <w:rFonts w:ascii="Times New Roman" w:hAnsi="Times New Roman"/>
                <w:color w:val="000000"/>
                <w:sz w:val="16"/>
                <w:szCs w:val="16"/>
                <w:lang w:eastAsia="sk-SK"/>
              </w:rPr>
            </w:pPr>
            <w:r w:rsidRPr="006516DB">
              <w:rPr>
                <w:rFonts w:ascii="Times New Roman" w:hAnsi="Times New Roman"/>
                <w:color w:val="000000"/>
                <w:sz w:val="16"/>
                <w:szCs w:val="16"/>
                <w:lang w:eastAsia="sk-SK"/>
              </w:rPr>
              <w:t>Zdroj: MF SR, Centrálny konsolidačný systém</w:t>
            </w:r>
          </w:p>
        </w:tc>
      </w:tr>
    </w:tbl>
    <w:p w14:paraId="7C4E097F" w14:textId="77777777" w:rsidR="00C50A5D" w:rsidRPr="00907622" w:rsidRDefault="00C50A5D" w:rsidP="0085799C">
      <w:pPr>
        <w:pStyle w:val="Pismenka"/>
        <w:tabs>
          <w:tab w:val="clear" w:pos="426"/>
        </w:tabs>
        <w:spacing w:after="120"/>
        <w:rPr>
          <w:b w:val="0"/>
          <w:i/>
          <w:sz w:val="22"/>
          <w:szCs w:val="22"/>
          <w:u w:val="single"/>
        </w:rPr>
      </w:pPr>
    </w:p>
    <w:p w14:paraId="16A7187D" w14:textId="5B31E9CF" w:rsidR="00647542" w:rsidRPr="001960A0" w:rsidRDefault="00647542" w:rsidP="0085799C">
      <w:pPr>
        <w:spacing w:after="120" w:line="240" w:lineRule="auto"/>
        <w:jc w:val="both"/>
        <w:rPr>
          <w:rFonts w:ascii="Times New Roman" w:hAnsi="Times New Roman"/>
          <w:szCs w:val="22"/>
          <w:lang w:eastAsia="sk-SK"/>
        </w:rPr>
      </w:pPr>
      <w:r w:rsidRPr="001960A0">
        <w:rPr>
          <w:rFonts w:ascii="Times New Roman" w:hAnsi="Times New Roman"/>
          <w:szCs w:val="22"/>
          <w:lang w:eastAsia="sk-SK"/>
        </w:rPr>
        <w:lastRenderedPageBreak/>
        <w:t xml:space="preserve">Ostatné výnosy z prevádzkovej činnosti dosiahli hodnotu </w:t>
      </w:r>
      <w:r w:rsidR="00EF5D25" w:rsidRPr="0085799C">
        <w:rPr>
          <w:rFonts w:ascii="Times New Roman" w:hAnsi="Times New Roman"/>
          <w:szCs w:val="22"/>
          <w:lang w:eastAsia="sk-SK"/>
        </w:rPr>
        <w:t>3</w:t>
      </w:r>
      <w:r w:rsidR="00AC1202">
        <w:rPr>
          <w:rFonts w:ascii="Times New Roman" w:hAnsi="Times New Roman"/>
          <w:szCs w:val="22"/>
          <w:lang w:eastAsia="sk-SK"/>
        </w:rPr>
        <w:t> </w:t>
      </w:r>
      <w:r w:rsidR="00EF5D25" w:rsidRPr="0085799C">
        <w:rPr>
          <w:rFonts w:ascii="Times New Roman" w:hAnsi="Times New Roman"/>
          <w:szCs w:val="22"/>
          <w:lang w:eastAsia="sk-SK"/>
        </w:rPr>
        <w:t>350</w:t>
      </w:r>
      <w:r w:rsidR="00AC1202">
        <w:rPr>
          <w:rFonts w:ascii="Times New Roman" w:hAnsi="Times New Roman"/>
          <w:szCs w:val="22"/>
          <w:lang w:eastAsia="sk-SK"/>
        </w:rPr>
        <w:t> </w:t>
      </w:r>
      <w:r w:rsidR="00EF5D25" w:rsidRPr="0085799C">
        <w:rPr>
          <w:rFonts w:ascii="Times New Roman" w:hAnsi="Times New Roman"/>
          <w:szCs w:val="22"/>
          <w:lang w:eastAsia="sk-SK"/>
        </w:rPr>
        <w:t>292</w:t>
      </w:r>
      <w:r w:rsidRPr="001960A0">
        <w:rPr>
          <w:rFonts w:ascii="Times New Roman" w:hAnsi="Times New Roman"/>
          <w:szCs w:val="22"/>
          <w:lang w:eastAsia="sk-SK"/>
        </w:rPr>
        <w:t> tis. eur a sú oproti roku 202</w:t>
      </w:r>
      <w:r w:rsidR="00EF5D25" w:rsidRPr="0085799C">
        <w:rPr>
          <w:rFonts w:ascii="Times New Roman" w:hAnsi="Times New Roman"/>
          <w:szCs w:val="22"/>
          <w:lang w:eastAsia="sk-SK"/>
        </w:rPr>
        <w:t>3</w:t>
      </w:r>
      <w:r w:rsidRPr="001960A0">
        <w:rPr>
          <w:rFonts w:ascii="Times New Roman" w:hAnsi="Times New Roman"/>
          <w:szCs w:val="22"/>
          <w:lang w:eastAsia="sk-SK"/>
        </w:rPr>
        <w:t xml:space="preserve"> vyššie o</w:t>
      </w:r>
      <w:r w:rsidR="00AC1202">
        <w:rPr>
          <w:rFonts w:ascii="Times New Roman" w:hAnsi="Times New Roman"/>
          <w:szCs w:val="22"/>
          <w:lang w:eastAsia="sk-SK"/>
        </w:rPr>
        <w:t> </w:t>
      </w:r>
      <w:r w:rsidR="00EF5D25" w:rsidRPr="0085799C">
        <w:rPr>
          <w:rFonts w:ascii="Times New Roman" w:hAnsi="Times New Roman"/>
          <w:szCs w:val="22"/>
          <w:lang w:eastAsia="sk-SK"/>
        </w:rPr>
        <w:t>477</w:t>
      </w:r>
      <w:r w:rsidR="00AC1202">
        <w:rPr>
          <w:rFonts w:ascii="Times New Roman" w:hAnsi="Times New Roman"/>
          <w:szCs w:val="22"/>
          <w:lang w:eastAsia="sk-SK"/>
        </w:rPr>
        <w:t> </w:t>
      </w:r>
      <w:r w:rsidR="00EF5D25" w:rsidRPr="0085799C">
        <w:rPr>
          <w:rFonts w:ascii="Times New Roman" w:hAnsi="Times New Roman"/>
          <w:szCs w:val="22"/>
          <w:lang w:eastAsia="sk-SK"/>
        </w:rPr>
        <w:t>066</w:t>
      </w:r>
      <w:r w:rsidRPr="001960A0">
        <w:rPr>
          <w:rFonts w:ascii="Times New Roman" w:hAnsi="Times New Roman"/>
          <w:szCs w:val="22"/>
          <w:lang w:eastAsia="sk-SK"/>
        </w:rPr>
        <w:t xml:space="preserve"> tis. eur. Ústredná správa vykázala </w:t>
      </w:r>
      <w:r w:rsidR="00443A3A" w:rsidRPr="0085799C">
        <w:rPr>
          <w:rFonts w:ascii="Times New Roman" w:hAnsi="Times New Roman"/>
          <w:szCs w:val="22"/>
          <w:lang w:eastAsia="sk-SK"/>
        </w:rPr>
        <w:t>2</w:t>
      </w:r>
      <w:r w:rsidR="00AC1202">
        <w:rPr>
          <w:rFonts w:ascii="Times New Roman" w:hAnsi="Times New Roman"/>
          <w:szCs w:val="22"/>
          <w:lang w:eastAsia="sk-SK"/>
        </w:rPr>
        <w:t> </w:t>
      </w:r>
      <w:r w:rsidR="0030432E" w:rsidRPr="0085799C">
        <w:rPr>
          <w:rFonts w:ascii="Times New Roman" w:hAnsi="Times New Roman"/>
          <w:szCs w:val="22"/>
          <w:lang w:eastAsia="sk-SK"/>
        </w:rPr>
        <w:t>1</w:t>
      </w:r>
      <w:r w:rsidR="00FA345D" w:rsidRPr="0085799C">
        <w:rPr>
          <w:rFonts w:ascii="Times New Roman" w:hAnsi="Times New Roman"/>
          <w:szCs w:val="22"/>
          <w:lang w:eastAsia="sk-SK"/>
        </w:rPr>
        <w:t>23</w:t>
      </w:r>
      <w:r w:rsidR="00AC1202">
        <w:rPr>
          <w:rFonts w:ascii="Times New Roman" w:hAnsi="Times New Roman"/>
          <w:szCs w:val="22"/>
          <w:lang w:eastAsia="sk-SK"/>
        </w:rPr>
        <w:t> </w:t>
      </w:r>
      <w:r w:rsidR="00FA345D" w:rsidRPr="0085799C">
        <w:rPr>
          <w:rFonts w:ascii="Times New Roman" w:hAnsi="Times New Roman"/>
          <w:szCs w:val="22"/>
          <w:lang w:eastAsia="sk-SK"/>
        </w:rPr>
        <w:t>206</w:t>
      </w:r>
      <w:r w:rsidR="00AC1202">
        <w:rPr>
          <w:rFonts w:ascii="Times New Roman" w:hAnsi="Times New Roman"/>
          <w:szCs w:val="22"/>
          <w:lang w:eastAsia="sk-SK"/>
        </w:rPr>
        <w:t> </w:t>
      </w:r>
      <w:r w:rsidRPr="001960A0">
        <w:rPr>
          <w:rFonts w:ascii="Times New Roman" w:hAnsi="Times New Roman"/>
          <w:szCs w:val="22"/>
          <w:lang w:eastAsia="sk-SK"/>
        </w:rPr>
        <w:t xml:space="preserve">tis. eur, </w:t>
      </w:r>
      <w:r w:rsidR="00E6358F" w:rsidRPr="0085799C">
        <w:rPr>
          <w:rFonts w:ascii="Times New Roman" w:hAnsi="Times New Roman"/>
          <w:szCs w:val="22"/>
          <w:lang w:eastAsia="sk-SK"/>
        </w:rPr>
        <w:t xml:space="preserve">ostatné subjekty verejnej správy </w:t>
      </w:r>
      <w:r w:rsidR="00222D59" w:rsidRPr="0085799C">
        <w:rPr>
          <w:rFonts w:ascii="Times New Roman" w:hAnsi="Times New Roman"/>
          <w:szCs w:val="22"/>
          <w:lang w:eastAsia="sk-SK"/>
        </w:rPr>
        <w:t>640</w:t>
      </w:r>
      <w:r w:rsidR="00AC1202">
        <w:rPr>
          <w:rFonts w:ascii="Times New Roman" w:hAnsi="Times New Roman"/>
          <w:szCs w:val="22"/>
          <w:lang w:eastAsia="sk-SK"/>
        </w:rPr>
        <w:t> </w:t>
      </w:r>
      <w:r w:rsidR="00222D59" w:rsidRPr="0085799C">
        <w:rPr>
          <w:rFonts w:ascii="Times New Roman" w:hAnsi="Times New Roman"/>
          <w:szCs w:val="22"/>
          <w:lang w:eastAsia="sk-SK"/>
        </w:rPr>
        <w:t>977</w:t>
      </w:r>
      <w:r w:rsidR="00AC1202">
        <w:rPr>
          <w:rFonts w:ascii="Times New Roman" w:hAnsi="Times New Roman"/>
          <w:szCs w:val="22"/>
          <w:lang w:eastAsia="sk-SK"/>
        </w:rPr>
        <w:t> </w:t>
      </w:r>
      <w:r w:rsidR="00E6358F" w:rsidRPr="0085799C">
        <w:rPr>
          <w:rFonts w:ascii="Times New Roman" w:hAnsi="Times New Roman"/>
          <w:szCs w:val="22"/>
          <w:lang w:eastAsia="sk-SK"/>
        </w:rPr>
        <w:t>tis.</w:t>
      </w:r>
      <w:r w:rsidR="00AC1202">
        <w:rPr>
          <w:rFonts w:ascii="Times New Roman" w:hAnsi="Times New Roman"/>
          <w:szCs w:val="22"/>
          <w:lang w:eastAsia="sk-SK"/>
        </w:rPr>
        <w:t> </w:t>
      </w:r>
      <w:r w:rsidR="00E6358F" w:rsidRPr="0085799C">
        <w:rPr>
          <w:rFonts w:ascii="Times New Roman" w:hAnsi="Times New Roman"/>
          <w:szCs w:val="22"/>
          <w:lang w:eastAsia="sk-SK"/>
        </w:rPr>
        <w:t>eur a</w:t>
      </w:r>
      <w:r w:rsidRPr="001960A0">
        <w:rPr>
          <w:rFonts w:ascii="Times New Roman" w:hAnsi="Times New Roman"/>
          <w:szCs w:val="22"/>
          <w:lang w:eastAsia="sk-SK"/>
        </w:rPr>
        <w:t xml:space="preserve"> územná samospráva </w:t>
      </w:r>
      <w:r w:rsidR="00696E63" w:rsidRPr="0085799C">
        <w:rPr>
          <w:rFonts w:ascii="Times New Roman" w:hAnsi="Times New Roman"/>
          <w:szCs w:val="22"/>
          <w:lang w:eastAsia="sk-SK"/>
        </w:rPr>
        <w:t>586</w:t>
      </w:r>
      <w:r w:rsidR="00AC1202">
        <w:rPr>
          <w:rFonts w:ascii="Times New Roman" w:hAnsi="Times New Roman"/>
          <w:szCs w:val="22"/>
          <w:lang w:eastAsia="sk-SK"/>
        </w:rPr>
        <w:t> </w:t>
      </w:r>
      <w:r w:rsidR="00696E63" w:rsidRPr="0085799C">
        <w:rPr>
          <w:rFonts w:ascii="Times New Roman" w:hAnsi="Times New Roman"/>
          <w:szCs w:val="22"/>
          <w:lang w:eastAsia="sk-SK"/>
        </w:rPr>
        <w:t>109</w:t>
      </w:r>
      <w:r w:rsidRPr="001960A0">
        <w:rPr>
          <w:rFonts w:ascii="Times New Roman" w:hAnsi="Times New Roman"/>
          <w:szCs w:val="22"/>
          <w:lang w:eastAsia="sk-SK"/>
        </w:rPr>
        <w:t> tis. eur</w:t>
      </w:r>
      <w:r w:rsidR="007A7D4F" w:rsidRPr="0085799C">
        <w:rPr>
          <w:rFonts w:ascii="Times New Roman" w:hAnsi="Times New Roman"/>
          <w:szCs w:val="22"/>
          <w:lang w:eastAsia="sk-SK"/>
        </w:rPr>
        <w:t>.</w:t>
      </w:r>
      <w:r w:rsidRPr="001960A0">
        <w:rPr>
          <w:rFonts w:ascii="Times New Roman" w:hAnsi="Times New Roman"/>
          <w:szCs w:val="22"/>
          <w:lang w:eastAsia="sk-SK"/>
        </w:rPr>
        <w:t xml:space="preserve"> </w:t>
      </w:r>
    </w:p>
    <w:p w14:paraId="71FA6EBB" w14:textId="5F8FAC61" w:rsidR="00744E45" w:rsidRPr="0085799C" w:rsidRDefault="00647542" w:rsidP="0085799C">
      <w:pPr>
        <w:spacing w:after="120" w:line="240" w:lineRule="auto"/>
        <w:jc w:val="both"/>
        <w:rPr>
          <w:rFonts w:ascii="Times New Roman" w:hAnsi="Times New Roman"/>
        </w:rPr>
      </w:pPr>
      <w:r w:rsidRPr="001960A0">
        <w:rPr>
          <w:rFonts w:ascii="Times New Roman" w:hAnsi="Times New Roman"/>
          <w:szCs w:val="22"/>
          <w:lang w:eastAsia="sk-SK"/>
        </w:rPr>
        <w:t xml:space="preserve">V rámci ústrednej správy vykazuje </w:t>
      </w:r>
      <w:r w:rsidRPr="001960A0">
        <w:rPr>
          <w:rFonts w:ascii="Times New Roman" w:hAnsi="Times New Roman"/>
          <w:szCs w:val="22"/>
          <w:u w:val="single"/>
          <w:lang w:eastAsia="sk-SK"/>
        </w:rPr>
        <w:t>špecifické výnosy Ministerstvo financií SR</w:t>
      </w:r>
      <w:r w:rsidR="00744E45" w:rsidRPr="0085799C">
        <w:rPr>
          <w:rFonts w:ascii="Times New Roman" w:hAnsi="Times New Roman"/>
        </w:rPr>
        <w:t xml:space="preserve"> </w:t>
      </w:r>
      <w:r w:rsidR="000C0E71" w:rsidRPr="001960A0">
        <w:rPr>
          <w:rFonts w:ascii="Times New Roman" w:hAnsi="Times New Roman"/>
          <w:szCs w:val="22"/>
        </w:rPr>
        <w:t xml:space="preserve">v hodnote </w:t>
      </w:r>
      <w:r w:rsidR="00A06328" w:rsidRPr="001960A0">
        <w:rPr>
          <w:rFonts w:ascii="Times New Roman" w:hAnsi="Times New Roman"/>
          <w:szCs w:val="22"/>
        </w:rPr>
        <w:t>284</w:t>
      </w:r>
      <w:r w:rsidR="006F2892">
        <w:rPr>
          <w:rFonts w:ascii="Times New Roman" w:hAnsi="Times New Roman"/>
          <w:szCs w:val="22"/>
        </w:rPr>
        <w:t> </w:t>
      </w:r>
      <w:r w:rsidR="00A06328" w:rsidRPr="001960A0">
        <w:rPr>
          <w:rFonts w:ascii="Times New Roman" w:hAnsi="Times New Roman"/>
          <w:szCs w:val="22"/>
        </w:rPr>
        <w:t>581</w:t>
      </w:r>
      <w:r w:rsidR="006F2892">
        <w:rPr>
          <w:rFonts w:ascii="Times New Roman" w:hAnsi="Times New Roman"/>
          <w:szCs w:val="22"/>
        </w:rPr>
        <w:t> </w:t>
      </w:r>
      <w:r w:rsidRPr="001960A0">
        <w:rPr>
          <w:rFonts w:ascii="Times New Roman" w:hAnsi="Times New Roman"/>
          <w:szCs w:val="22"/>
        </w:rPr>
        <w:t>tis.</w:t>
      </w:r>
      <w:r w:rsidR="006F2892">
        <w:rPr>
          <w:rFonts w:ascii="Times New Roman" w:hAnsi="Times New Roman"/>
          <w:szCs w:val="22"/>
        </w:rPr>
        <w:t> </w:t>
      </w:r>
      <w:r w:rsidR="000C0E71" w:rsidRPr="001960A0">
        <w:rPr>
          <w:rFonts w:ascii="Times New Roman" w:hAnsi="Times New Roman"/>
          <w:szCs w:val="22"/>
        </w:rPr>
        <w:t>eur, čo predstavovalo náras</w:t>
      </w:r>
      <w:r w:rsidR="00CC40A9" w:rsidRPr="001960A0">
        <w:rPr>
          <w:rFonts w:ascii="Times New Roman" w:hAnsi="Times New Roman"/>
          <w:szCs w:val="22"/>
        </w:rPr>
        <w:t>t</w:t>
      </w:r>
      <w:r w:rsidR="000C0E71" w:rsidRPr="001960A0">
        <w:rPr>
          <w:rFonts w:ascii="Times New Roman" w:hAnsi="Times New Roman"/>
          <w:szCs w:val="22"/>
        </w:rPr>
        <w:t xml:space="preserve"> o 1</w:t>
      </w:r>
      <w:r w:rsidR="00F8243D">
        <w:rPr>
          <w:rFonts w:ascii="Times New Roman" w:hAnsi="Times New Roman"/>
          <w:szCs w:val="22"/>
        </w:rPr>
        <w:t>34 714</w:t>
      </w:r>
      <w:r w:rsidR="006F2892">
        <w:rPr>
          <w:rFonts w:ascii="Times New Roman" w:hAnsi="Times New Roman"/>
          <w:szCs w:val="22"/>
        </w:rPr>
        <w:t> </w:t>
      </w:r>
      <w:r w:rsidR="000C0E71" w:rsidRPr="001960A0">
        <w:rPr>
          <w:rFonts w:ascii="Times New Roman" w:hAnsi="Times New Roman"/>
          <w:szCs w:val="22"/>
        </w:rPr>
        <w:t>tis.</w:t>
      </w:r>
      <w:r w:rsidR="006F2892">
        <w:rPr>
          <w:rFonts w:ascii="Times New Roman" w:hAnsi="Times New Roman"/>
          <w:szCs w:val="22"/>
        </w:rPr>
        <w:t> </w:t>
      </w:r>
      <w:r w:rsidR="000C0E71" w:rsidRPr="001960A0">
        <w:rPr>
          <w:rFonts w:ascii="Times New Roman" w:hAnsi="Times New Roman"/>
          <w:szCs w:val="22"/>
        </w:rPr>
        <w:t>eur.</w:t>
      </w:r>
      <w:r w:rsidR="00744E45" w:rsidRPr="0085799C">
        <w:rPr>
          <w:rFonts w:ascii="Times New Roman" w:hAnsi="Times New Roman"/>
        </w:rPr>
        <w:t xml:space="preserve"> Ostatné výnosy z prevádzkovej činnosti predstavujú hodnotu vo výnosoch súvisiacich najmä s vysporiadaním finančných vzťahov s</w:t>
      </w:r>
      <w:r w:rsidR="00C8604D" w:rsidRPr="0085799C">
        <w:rPr>
          <w:rFonts w:ascii="Times New Roman" w:hAnsi="Times New Roman"/>
        </w:rPr>
        <w:t> </w:t>
      </w:r>
      <w:r w:rsidR="00744E45" w:rsidRPr="0085799C">
        <w:rPr>
          <w:rFonts w:ascii="Times New Roman" w:hAnsi="Times New Roman"/>
        </w:rPr>
        <w:t>E</w:t>
      </w:r>
      <w:r w:rsidR="00C8604D" w:rsidRPr="0085799C">
        <w:rPr>
          <w:rFonts w:ascii="Times New Roman" w:hAnsi="Times New Roman"/>
        </w:rPr>
        <w:t>urópskou komisiou</w:t>
      </w:r>
      <w:r w:rsidR="00744E45" w:rsidRPr="0085799C">
        <w:rPr>
          <w:rFonts w:ascii="Times New Roman" w:hAnsi="Times New Roman"/>
        </w:rPr>
        <w:t xml:space="preserve"> a výnosy súvisiace s pohľadávkami voči prijímateľom, riadiacim orgánom alebo sprostredkovateľským orgánom z titulu nezrovnalostí alebo vrátenia poskytnutých prostriedkov v rámci </w:t>
      </w:r>
      <w:r w:rsidR="00D6641A">
        <w:rPr>
          <w:rFonts w:ascii="Times New Roman" w:hAnsi="Times New Roman"/>
        </w:rPr>
        <w:t xml:space="preserve">príslušných </w:t>
      </w:r>
      <w:r w:rsidR="00744E45" w:rsidRPr="0085799C">
        <w:rPr>
          <w:rFonts w:ascii="Times New Roman" w:hAnsi="Times New Roman"/>
        </w:rPr>
        <w:t>programo</w:t>
      </w:r>
      <w:r w:rsidR="00D6641A">
        <w:rPr>
          <w:rFonts w:ascii="Times New Roman" w:hAnsi="Times New Roman"/>
        </w:rPr>
        <w:t>vých období.</w:t>
      </w:r>
      <w:r w:rsidR="000C0E71" w:rsidRPr="001960A0">
        <w:rPr>
          <w:rFonts w:ascii="Times New Roman" w:hAnsi="Times New Roman"/>
          <w:szCs w:val="22"/>
        </w:rPr>
        <w:t xml:space="preserve"> </w:t>
      </w:r>
      <w:r w:rsidR="00744E45" w:rsidRPr="0085799C">
        <w:rPr>
          <w:rFonts w:ascii="Times New Roman" w:hAnsi="Times New Roman"/>
        </w:rPr>
        <w:t>Výnosy v sume 182</w:t>
      </w:r>
      <w:r w:rsidR="00C8604D" w:rsidRPr="0085799C">
        <w:rPr>
          <w:rFonts w:ascii="Times New Roman" w:hAnsi="Times New Roman"/>
        </w:rPr>
        <w:t> </w:t>
      </w:r>
      <w:r w:rsidR="00744E45" w:rsidRPr="0085799C">
        <w:rPr>
          <w:rFonts w:ascii="Times New Roman" w:hAnsi="Times New Roman"/>
        </w:rPr>
        <w:t>80</w:t>
      </w:r>
      <w:r w:rsidR="00C8604D" w:rsidRPr="0085799C">
        <w:rPr>
          <w:rFonts w:ascii="Times New Roman" w:hAnsi="Times New Roman"/>
        </w:rPr>
        <w:t>1 tis.</w:t>
      </w:r>
      <w:r w:rsidR="00744E45" w:rsidRPr="0085799C">
        <w:rPr>
          <w:rFonts w:ascii="Times New Roman" w:hAnsi="Times New Roman"/>
        </w:rPr>
        <w:t> eur súvisia s priebežným účtovaním rozdielov vznikajúcich z dôvodu rozdielneho prepočtu mier financovania v informačnom systéme EK pre manažovanie fondov EÚ v priebehu financovania projektov z európskych štrukturálnych a investičných fondov v programovom období 2014 - 2020.</w:t>
      </w:r>
    </w:p>
    <w:p w14:paraId="56B3C671" w14:textId="5C2D0C13" w:rsidR="00647542" w:rsidRPr="0085799C" w:rsidRDefault="00647542" w:rsidP="0085799C">
      <w:pPr>
        <w:spacing w:after="120" w:line="240" w:lineRule="auto"/>
        <w:jc w:val="both"/>
        <w:rPr>
          <w:rFonts w:ascii="Times New Roman" w:hAnsi="Times New Roman"/>
          <w:szCs w:val="22"/>
        </w:rPr>
      </w:pPr>
      <w:r w:rsidRPr="001960A0">
        <w:rPr>
          <w:rFonts w:ascii="Times New Roman" w:hAnsi="Times New Roman"/>
          <w:szCs w:val="22"/>
        </w:rPr>
        <w:t xml:space="preserve">Ďalšie výnosy ako </w:t>
      </w:r>
      <w:r w:rsidRPr="001960A0">
        <w:rPr>
          <w:rFonts w:ascii="Times New Roman" w:hAnsi="Times New Roman"/>
          <w:szCs w:val="22"/>
          <w:u w:val="single"/>
        </w:rPr>
        <w:t>tržby z predaja dlhodobého hmotného a nehmotného majetku</w:t>
      </w:r>
      <w:r w:rsidRPr="001960A0">
        <w:rPr>
          <w:rFonts w:ascii="Times New Roman" w:hAnsi="Times New Roman"/>
          <w:szCs w:val="22"/>
        </w:rPr>
        <w:t xml:space="preserve"> tvoria sumu </w:t>
      </w:r>
      <w:r w:rsidR="0093056A" w:rsidRPr="0085799C">
        <w:rPr>
          <w:rFonts w:ascii="Times New Roman" w:hAnsi="Times New Roman"/>
          <w:szCs w:val="22"/>
          <w:lang w:eastAsia="sk-SK"/>
        </w:rPr>
        <w:t>200</w:t>
      </w:r>
      <w:r w:rsidR="006F2892">
        <w:rPr>
          <w:rFonts w:ascii="Times New Roman" w:hAnsi="Times New Roman"/>
          <w:szCs w:val="22"/>
          <w:lang w:eastAsia="sk-SK"/>
        </w:rPr>
        <w:t> </w:t>
      </w:r>
      <w:r w:rsidR="0093056A" w:rsidRPr="0085799C">
        <w:rPr>
          <w:rFonts w:ascii="Times New Roman" w:hAnsi="Times New Roman"/>
          <w:szCs w:val="22"/>
          <w:lang w:eastAsia="sk-SK"/>
        </w:rPr>
        <w:t>452</w:t>
      </w:r>
      <w:r w:rsidRPr="001960A0">
        <w:rPr>
          <w:rFonts w:ascii="Times New Roman" w:hAnsi="Times New Roman"/>
          <w:szCs w:val="22"/>
        </w:rPr>
        <w:t> tis. eur (202</w:t>
      </w:r>
      <w:r w:rsidR="0093056A" w:rsidRPr="0085799C">
        <w:rPr>
          <w:rFonts w:ascii="Times New Roman" w:hAnsi="Times New Roman"/>
          <w:szCs w:val="22"/>
        </w:rPr>
        <w:t>3</w:t>
      </w:r>
      <w:r w:rsidRPr="001960A0">
        <w:rPr>
          <w:rFonts w:ascii="Times New Roman" w:hAnsi="Times New Roman"/>
          <w:szCs w:val="22"/>
        </w:rPr>
        <w:t xml:space="preserve">: </w:t>
      </w:r>
      <w:r w:rsidR="0093056A" w:rsidRPr="0085799C">
        <w:rPr>
          <w:rFonts w:ascii="Times New Roman" w:hAnsi="Times New Roman"/>
          <w:szCs w:val="22"/>
        </w:rPr>
        <w:t>198</w:t>
      </w:r>
      <w:r w:rsidR="006F2892">
        <w:rPr>
          <w:rFonts w:ascii="Times New Roman" w:hAnsi="Times New Roman"/>
          <w:szCs w:val="22"/>
        </w:rPr>
        <w:t> </w:t>
      </w:r>
      <w:r w:rsidR="0093056A" w:rsidRPr="0085799C">
        <w:rPr>
          <w:rFonts w:ascii="Times New Roman" w:hAnsi="Times New Roman"/>
          <w:szCs w:val="22"/>
        </w:rPr>
        <w:t>777</w:t>
      </w:r>
      <w:r w:rsidRPr="001960A0">
        <w:rPr>
          <w:rFonts w:ascii="Times New Roman" w:hAnsi="Times New Roman"/>
          <w:szCs w:val="22"/>
        </w:rPr>
        <w:t xml:space="preserve"> tis. eur), </w:t>
      </w:r>
      <w:r w:rsidRPr="001960A0">
        <w:rPr>
          <w:rFonts w:ascii="Times New Roman" w:hAnsi="Times New Roman"/>
          <w:szCs w:val="22"/>
          <w:u w:val="single"/>
        </w:rPr>
        <w:t>zmluvné a ostatné pokuty a penále</w:t>
      </w:r>
      <w:r w:rsidRPr="001960A0">
        <w:rPr>
          <w:rFonts w:ascii="Times New Roman" w:hAnsi="Times New Roman"/>
          <w:szCs w:val="22"/>
        </w:rPr>
        <w:t xml:space="preserve"> </w:t>
      </w:r>
      <w:r w:rsidR="0093056A" w:rsidRPr="0085799C">
        <w:rPr>
          <w:rFonts w:ascii="Times New Roman" w:hAnsi="Times New Roman"/>
          <w:szCs w:val="22"/>
        </w:rPr>
        <w:t>161</w:t>
      </w:r>
      <w:r w:rsidR="006F2892">
        <w:rPr>
          <w:rFonts w:ascii="Times New Roman" w:hAnsi="Times New Roman"/>
          <w:szCs w:val="22"/>
        </w:rPr>
        <w:t> </w:t>
      </w:r>
      <w:r w:rsidR="0093056A" w:rsidRPr="0085799C">
        <w:rPr>
          <w:rFonts w:ascii="Times New Roman" w:hAnsi="Times New Roman"/>
          <w:szCs w:val="22"/>
        </w:rPr>
        <w:t>371</w:t>
      </w:r>
      <w:r w:rsidRPr="001960A0">
        <w:rPr>
          <w:rFonts w:ascii="Times New Roman" w:hAnsi="Times New Roman"/>
          <w:szCs w:val="22"/>
        </w:rPr>
        <w:t> tis. eur (202</w:t>
      </w:r>
      <w:r w:rsidR="0093056A" w:rsidRPr="0085799C">
        <w:rPr>
          <w:rFonts w:ascii="Times New Roman" w:hAnsi="Times New Roman"/>
          <w:szCs w:val="22"/>
        </w:rPr>
        <w:t>3</w:t>
      </w:r>
      <w:r w:rsidRPr="001960A0">
        <w:rPr>
          <w:rFonts w:ascii="Times New Roman" w:hAnsi="Times New Roman"/>
          <w:szCs w:val="22"/>
        </w:rPr>
        <w:t xml:space="preserve">: </w:t>
      </w:r>
      <w:r w:rsidR="0093056A" w:rsidRPr="0085799C">
        <w:rPr>
          <w:rFonts w:ascii="Times New Roman" w:hAnsi="Times New Roman"/>
          <w:szCs w:val="22"/>
        </w:rPr>
        <w:t>138</w:t>
      </w:r>
      <w:r w:rsidR="006F2892">
        <w:rPr>
          <w:rFonts w:ascii="Times New Roman" w:hAnsi="Times New Roman"/>
          <w:szCs w:val="22"/>
        </w:rPr>
        <w:t> </w:t>
      </w:r>
      <w:r w:rsidR="0093056A" w:rsidRPr="0085799C">
        <w:rPr>
          <w:rFonts w:ascii="Times New Roman" w:hAnsi="Times New Roman"/>
          <w:szCs w:val="22"/>
        </w:rPr>
        <w:t>375</w:t>
      </w:r>
      <w:r w:rsidRPr="001960A0">
        <w:rPr>
          <w:rFonts w:ascii="Times New Roman" w:hAnsi="Times New Roman"/>
          <w:szCs w:val="22"/>
        </w:rPr>
        <w:t xml:space="preserve"> tis. eur), </w:t>
      </w:r>
      <w:r w:rsidRPr="001960A0">
        <w:rPr>
          <w:rFonts w:ascii="Times New Roman" w:hAnsi="Times New Roman"/>
          <w:szCs w:val="22"/>
          <w:u w:val="single"/>
        </w:rPr>
        <w:t>tržby z predaja materiálu</w:t>
      </w:r>
      <w:r w:rsidRPr="001960A0">
        <w:rPr>
          <w:rFonts w:ascii="Times New Roman" w:hAnsi="Times New Roman"/>
          <w:szCs w:val="22"/>
        </w:rPr>
        <w:t xml:space="preserve"> </w:t>
      </w:r>
      <w:r w:rsidR="0093056A" w:rsidRPr="0085799C">
        <w:rPr>
          <w:rFonts w:ascii="Times New Roman" w:hAnsi="Times New Roman"/>
          <w:szCs w:val="22"/>
          <w:lang w:eastAsia="sk-SK"/>
        </w:rPr>
        <w:t>13</w:t>
      </w:r>
      <w:r w:rsidR="006F2892">
        <w:rPr>
          <w:rFonts w:ascii="Times New Roman" w:hAnsi="Times New Roman"/>
          <w:szCs w:val="22"/>
          <w:lang w:eastAsia="sk-SK"/>
        </w:rPr>
        <w:t> </w:t>
      </w:r>
      <w:r w:rsidR="0093056A" w:rsidRPr="0085799C">
        <w:rPr>
          <w:rFonts w:ascii="Times New Roman" w:hAnsi="Times New Roman"/>
          <w:szCs w:val="22"/>
          <w:lang w:eastAsia="sk-SK"/>
        </w:rPr>
        <w:t>139</w:t>
      </w:r>
      <w:r w:rsidRPr="001960A0">
        <w:rPr>
          <w:rFonts w:ascii="Times New Roman" w:hAnsi="Times New Roman"/>
          <w:szCs w:val="22"/>
          <w:lang w:eastAsia="sk-SK"/>
        </w:rPr>
        <w:t> </w:t>
      </w:r>
      <w:r w:rsidRPr="001960A0">
        <w:rPr>
          <w:rFonts w:ascii="Times New Roman" w:hAnsi="Times New Roman"/>
          <w:szCs w:val="22"/>
        </w:rPr>
        <w:t>tis. eur (202</w:t>
      </w:r>
      <w:r w:rsidR="0093056A" w:rsidRPr="0085799C">
        <w:rPr>
          <w:rFonts w:ascii="Times New Roman" w:hAnsi="Times New Roman"/>
          <w:szCs w:val="22"/>
        </w:rPr>
        <w:t>3</w:t>
      </w:r>
      <w:r w:rsidRPr="001960A0">
        <w:rPr>
          <w:rFonts w:ascii="Times New Roman" w:hAnsi="Times New Roman"/>
          <w:szCs w:val="22"/>
        </w:rPr>
        <w:t xml:space="preserve">: </w:t>
      </w:r>
      <w:r w:rsidR="0046772E" w:rsidRPr="0085799C">
        <w:rPr>
          <w:rFonts w:ascii="Times New Roman" w:hAnsi="Times New Roman"/>
          <w:szCs w:val="22"/>
        </w:rPr>
        <w:t>10</w:t>
      </w:r>
      <w:r w:rsidR="006F2892">
        <w:rPr>
          <w:rFonts w:ascii="Times New Roman" w:hAnsi="Times New Roman"/>
          <w:szCs w:val="22"/>
        </w:rPr>
        <w:t> </w:t>
      </w:r>
      <w:r w:rsidR="0046772E" w:rsidRPr="0085799C">
        <w:rPr>
          <w:rFonts w:ascii="Times New Roman" w:hAnsi="Times New Roman"/>
          <w:szCs w:val="22"/>
        </w:rPr>
        <w:t>929</w:t>
      </w:r>
      <w:r w:rsidR="006F2892">
        <w:rPr>
          <w:rFonts w:ascii="Times New Roman" w:hAnsi="Times New Roman"/>
          <w:szCs w:val="22"/>
        </w:rPr>
        <w:t> </w:t>
      </w:r>
      <w:r w:rsidRPr="001960A0">
        <w:rPr>
          <w:rFonts w:ascii="Times New Roman" w:hAnsi="Times New Roman"/>
          <w:szCs w:val="22"/>
        </w:rPr>
        <w:t>tis.</w:t>
      </w:r>
      <w:r w:rsidR="006F2892">
        <w:rPr>
          <w:rFonts w:ascii="Times New Roman" w:hAnsi="Times New Roman"/>
          <w:szCs w:val="22"/>
        </w:rPr>
        <w:t> </w:t>
      </w:r>
      <w:r w:rsidRPr="001960A0">
        <w:rPr>
          <w:rFonts w:ascii="Times New Roman" w:hAnsi="Times New Roman"/>
          <w:szCs w:val="22"/>
        </w:rPr>
        <w:t xml:space="preserve">eur), </w:t>
      </w:r>
      <w:r w:rsidRPr="001960A0">
        <w:rPr>
          <w:rFonts w:ascii="Times New Roman" w:hAnsi="Times New Roman"/>
          <w:szCs w:val="22"/>
          <w:u w:val="single"/>
        </w:rPr>
        <w:t>výnosy z</w:t>
      </w:r>
      <w:r w:rsidR="006F2892">
        <w:rPr>
          <w:rFonts w:ascii="Times New Roman" w:hAnsi="Times New Roman"/>
          <w:szCs w:val="22"/>
          <w:u w:val="single"/>
        </w:rPr>
        <w:t xml:space="preserve"> </w:t>
      </w:r>
      <w:r w:rsidRPr="001960A0">
        <w:rPr>
          <w:rFonts w:ascii="Times New Roman" w:hAnsi="Times New Roman"/>
          <w:szCs w:val="22"/>
          <w:u w:val="single"/>
        </w:rPr>
        <w:t>odpísaných pohľadávok</w:t>
      </w:r>
      <w:r w:rsidRPr="001960A0">
        <w:rPr>
          <w:rFonts w:ascii="Times New Roman" w:hAnsi="Times New Roman"/>
          <w:szCs w:val="22"/>
        </w:rPr>
        <w:t xml:space="preserve"> </w:t>
      </w:r>
      <w:r w:rsidR="0046772E" w:rsidRPr="0085799C">
        <w:rPr>
          <w:rFonts w:ascii="Times New Roman" w:hAnsi="Times New Roman"/>
          <w:szCs w:val="22"/>
          <w:lang w:eastAsia="sk-SK"/>
        </w:rPr>
        <w:t>10</w:t>
      </w:r>
      <w:r w:rsidR="006F2892">
        <w:rPr>
          <w:rFonts w:ascii="Times New Roman" w:hAnsi="Times New Roman"/>
          <w:szCs w:val="22"/>
          <w:lang w:eastAsia="sk-SK"/>
        </w:rPr>
        <w:t> </w:t>
      </w:r>
      <w:r w:rsidR="0046772E" w:rsidRPr="0085799C">
        <w:rPr>
          <w:rFonts w:ascii="Times New Roman" w:hAnsi="Times New Roman"/>
          <w:szCs w:val="22"/>
          <w:lang w:eastAsia="sk-SK"/>
        </w:rPr>
        <w:t>895</w:t>
      </w:r>
      <w:r w:rsidRPr="001960A0">
        <w:rPr>
          <w:rFonts w:ascii="Times New Roman" w:hAnsi="Times New Roman"/>
          <w:szCs w:val="22"/>
          <w:lang w:eastAsia="sk-SK"/>
        </w:rPr>
        <w:t> </w:t>
      </w:r>
      <w:r w:rsidRPr="001960A0">
        <w:rPr>
          <w:rFonts w:ascii="Times New Roman" w:hAnsi="Times New Roman"/>
          <w:szCs w:val="22"/>
        </w:rPr>
        <w:t>tis.</w:t>
      </w:r>
      <w:r w:rsidR="006F2892">
        <w:rPr>
          <w:rFonts w:ascii="Times New Roman" w:hAnsi="Times New Roman"/>
          <w:szCs w:val="22"/>
        </w:rPr>
        <w:t> </w:t>
      </w:r>
      <w:r w:rsidRPr="001960A0">
        <w:rPr>
          <w:rFonts w:ascii="Times New Roman" w:hAnsi="Times New Roman"/>
          <w:szCs w:val="22"/>
        </w:rPr>
        <w:t>eur (202</w:t>
      </w:r>
      <w:r w:rsidR="0046772E" w:rsidRPr="0085799C">
        <w:rPr>
          <w:rFonts w:ascii="Times New Roman" w:hAnsi="Times New Roman"/>
          <w:szCs w:val="22"/>
        </w:rPr>
        <w:t>3</w:t>
      </w:r>
      <w:r w:rsidRPr="001960A0">
        <w:rPr>
          <w:rFonts w:ascii="Times New Roman" w:hAnsi="Times New Roman"/>
          <w:szCs w:val="22"/>
        </w:rPr>
        <w:t xml:space="preserve">: </w:t>
      </w:r>
      <w:r w:rsidR="0046772E" w:rsidRPr="0085799C">
        <w:rPr>
          <w:rFonts w:ascii="Times New Roman" w:hAnsi="Times New Roman"/>
          <w:szCs w:val="22"/>
        </w:rPr>
        <w:t>13</w:t>
      </w:r>
      <w:r w:rsidR="006F2892">
        <w:rPr>
          <w:rFonts w:ascii="Times New Roman" w:hAnsi="Times New Roman"/>
          <w:szCs w:val="22"/>
        </w:rPr>
        <w:t> </w:t>
      </w:r>
      <w:r w:rsidR="0046772E" w:rsidRPr="0085799C">
        <w:rPr>
          <w:rFonts w:ascii="Times New Roman" w:hAnsi="Times New Roman"/>
          <w:szCs w:val="22"/>
        </w:rPr>
        <w:t>267</w:t>
      </w:r>
      <w:r w:rsidR="006F2892">
        <w:rPr>
          <w:rFonts w:ascii="Times New Roman" w:hAnsi="Times New Roman"/>
          <w:szCs w:val="22"/>
        </w:rPr>
        <w:t> </w:t>
      </w:r>
      <w:r w:rsidRPr="001960A0">
        <w:rPr>
          <w:rFonts w:ascii="Times New Roman" w:hAnsi="Times New Roman"/>
          <w:szCs w:val="22"/>
        </w:rPr>
        <w:t xml:space="preserve">tis. eur). </w:t>
      </w:r>
    </w:p>
    <w:p w14:paraId="7D61C2F3" w14:textId="0416A727" w:rsidR="00F8243D" w:rsidRPr="00971103" w:rsidRDefault="00F8243D" w:rsidP="00F8243D">
      <w:pPr>
        <w:spacing w:after="120" w:line="240" w:lineRule="auto"/>
        <w:jc w:val="both"/>
        <w:rPr>
          <w:rFonts w:ascii="Times New Roman" w:hAnsi="Times New Roman"/>
          <w:szCs w:val="22"/>
          <w:lang w:eastAsia="sk-SK"/>
        </w:rPr>
      </w:pPr>
      <w:r w:rsidRPr="00971103">
        <w:rPr>
          <w:rFonts w:ascii="Times New Roman" w:hAnsi="Times New Roman"/>
          <w:szCs w:val="22"/>
          <w:u w:val="single"/>
          <w:lang w:eastAsia="sk-SK"/>
        </w:rPr>
        <w:t>Ministerstvo vnútra SR</w:t>
      </w:r>
      <w:r w:rsidRPr="00971103">
        <w:rPr>
          <w:rFonts w:ascii="Times New Roman" w:hAnsi="Times New Roman"/>
          <w:szCs w:val="22"/>
          <w:lang w:eastAsia="sk-SK"/>
        </w:rPr>
        <w:t xml:space="preserve"> vykazuje výnosy z titulu poistného hradeného zamestnancom a zamestnávateľom na starobné poistenie, nemocenské poistenie, úrazové poistenie a invalidné poistenie príslušníkov Policajného zboru a Hasičského záchranného zboru v celkovej sume 2</w:t>
      </w:r>
      <w:r>
        <w:rPr>
          <w:rFonts w:ascii="Times New Roman" w:hAnsi="Times New Roman"/>
          <w:szCs w:val="22"/>
          <w:lang w:eastAsia="sk-SK"/>
        </w:rPr>
        <w:t>73 408</w:t>
      </w:r>
      <w:r w:rsidRPr="00971103">
        <w:rPr>
          <w:rFonts w:ascii="Times New Roman" w:hAnsi="Times New Roman"/>
          <w:szCs w:val="22"/>
          <w:lang w:eastAsia="sk-SK"/>
        </w:rPr>
        <w:t xml:space="preserve"> tis. eur. </w:t>
      </w:r>
    </w:p>
    <w:p w14:paraId="629FDF71" w14:textId="63E440B4" w:rsidR="004026E9" w:rsidRPr="0085799C" w:rsidRDefault="00F8243D" w:rsidP="002B5E5D">
      <w:pPr>
        <w:spacing w:after="120" w:line="240" w:lineRule="auto"/>
        <w:jc w:val="both"/>
        <w:rPr>
          <w:rFonts w:ascii="Times New Roman" w:hAnsi="Times New Roman"/>
          <w:b/>
          <w:szCs w:val="22"/>
          <w:lang w:eastAsia="sk-SK"/>
        </w:rPr>
      </w:pPr>
      <w:r>
        <w:rPr>
          <w:rFonts w:ascii="Times New Roman" w:hAnsi="Times New Roman"/>
          <w:szCs w:val="22"/>
        </w:rPr>
        <w:t xml:space="preserve"> </w:t>
      </w:r>
      <w:r w:rsidR="00647542" w:rsidRPr="00A7107D">
        <w:rPr>
          <w:rFonts w:ascii="Times New Roman" w:hAnsi="Times New Roman"/>
          <w:szCs w:val="22"/>
          <w:u w:val="single"/>
        </w:rPr>
        <w:t>Ministerstvo hospodárstva SR</w:t>
      </w:r>
      <w:r w:rsidR="00647542" w:rsidRPr="001960A0">
        <w:rPr>
          <w:rFonts w:ascii="Times New Roman" w:hAnsi="Times New Roman"/>
          <w:szCs w:val="22"/>
        </w:rPr>
        <w:t xml:space="preserve"> vykázalo výnosy z odvodov z prenosovej sústavy a distribučných sústav v sume </w:t>
      </w:r>
      <w:r w:rsidR="00C757DD" w:rsidRPr="0085799C">
        <w:rPr>
          <w:rFonts w:ascii="Times New Roman" w:hAnsi="Times New Roman"/>
          <w:szCs w:val="22"/>
        </w:rPr>
        <w:t>68</w:t>
      </w:r>
      <w:r w:rsidR="006F2892">
        <w:rPr>
          <w:rFonts w:ascii="Times New Roman" w:hAnsi="Times New Roman"/>
          <w:szCs w:val="22"/>
        </w:rPr>
        <w:t> </w:t>
      </w:r>
      <w:r w:rsidR="00C757DD" w:rsidRPr="0085799C">
        <w:rPr>
          <w:rFonts w:ascii="Times New Roman" w:hAnsi="Times New Roman"/>
          <w:szCs w:val="22"/>
        </w:rPr>
        <w:t>569</w:t>
      </w:r>
      <w:r w:rsidR="00647542" w:rsidRPr="001960A0">
        <w:rPr>
          <w:rFonts w:ascii="Times New Roman" w:hAnsi="Times New Roman"/>
          <w:szCs w:val="22"/>
        </w:rPr>
        <w:t> tis. eur</w:t>
      </w:r>
      <w:r w:rsidR="00156F31" w:rsidRPr="0085799C">
        <w:rPr>
          <w:rFonts w:ascii="Times New Roman" w:hAnsi="Times New Roman"/>
          <w:szCs w:val="22"/>
        </w:rPr>
        <w:t xml:space="preserve"> a</w:t>
      </w:r>
      <w:r w:rsidR="006F2892">
        <w:rPr>
          <w:rFonts w:ascii="Times New Roman" w:hAnsi="Times New Roman"/>
          <w:szCs w:val="22"/>
        </w:rPr>
        <w:t xml:space="preserve"> </w:t>
      </w:r>
      <w:r w:rsidR="00156F31" w:rsidRPr="0085799C">
        <w:rPr>
          <w:rFonts w:ascii="Times New Roman" w:hAnsi="Times New Roman"/>
          <w:szCs w:val="22"/>
        </w:rPr>
        <w:t>Vojenský úrad sociálneho zabezpečenia vykazuje výnosy z</w:t>
      </w:r>
      <w:r w:rsidR="006F2892">
        <w:rPr>
          <w:rFonts w:ascii="Times New Roman" w:hAnsi="Times New Roman"/>
          <w:szCs w:val="22"/>
        </w:rPr>
        <w:t xml:space="preserve"> </w:t>
      </w:r>
      <w:r w:rsidR="00156F31" w:rsidRPr="0085799C">
        <w:rPr>
          <w:rFonts w:ascii="Times New Roman" w:hAnsi="Times New Roman"/>
          <w:szCs w:val="22"/>
        </w:rPr>
        <w:t>poistenia profesionálnych vojakov v</w:t>
      </w:r>
      <w:r w:rsidR="006F2892" w:rsidRPr="00047E5C">
        <w:rPr>
          <w:rFonts w:ascii="Times New Roman" w:hAnsi="Times New Roman"/>
          <w:szCs w:val="22"/>
        </w:rPr>
        <w:t xml:space="preserve"> </w:t>
      </w:r>
      <w:r w:rsidR="00156F31" w:rsidRPr="0085799C">
        <w:rPr>
          <w:rFonts w:ascii="Times New Roman" w:hAnsi="Times New Roman"/>
          <w:szCs w:val="22"/>
        </w:rPr>
        <w:t>hodnote 42</w:t>
      </w:r>
      <w:r w:rsidR="006F2892" w:rsidRPr="00047E5C">
        <w:rPr>
          <w:rFonts w:ascii="Times New Roman" w:hAnsi="Times New Roman"/>
          <w:szCs w:val="22"/>
        </w:rPr>
        <w:t> </w:t>
      </w:r>
      <w:r w:rsidR="00156F31" w:rsidRPr="0085799C">
        <w:rPr>
          <w:rFonts w:ascii="Times New Roman" w:hAnsi="Times New Roman"/>
          <w:szCs w:val="22"/>
        </w:rPr>
        <w:t>930</w:t>
      </w:r>
      <w:r w:rsidR="006F2892" w:rsidRPr="00047E5C">
        <w:rPr>
          <w:rFonts w:ascii="Times New Roman" w:hAnsi="Times New Roman"/>
          <w:szCs w:val="22"/>
        </w:rPr>
        <w:t> </w:t>
      </w:r>
      <w:r w:rsidR="00156F31" w:rsidRPr="0085799C">
        <w:rPr>
          <w:rFonts w:ascii="Times New Roman" w:hAnsi="Times New Roman"/>
          <w:szCs w:val="22"/>
        </w:rPr>
        <w:t>tis.</w:t>
      </w:r>
      <w:r w:rsidR="006F2892" w:rsidRPr="00047E5C">
        <w:rPr>
          <w:rFonts w:ascii="Times New Roman" w:hAnsi="Times New Roman"/>
          <w:szCs w:val="22"/>
        </w:rPr>
        <w:t> </w:t>
      </w:r>
      <w:r w:rsidR="00647542" w:rsidRPr="007B5185">
        <w:rPr>
          <w:rFonts w:ascii="Times New Roman" w:hAnsi="Times New Roman"/>
          <w:szCs w:val="22"/>
        </w:rPr>
        <w:t>eur.</w:t>
      </w:r>
    </w:p>
    <w:p w14:paraId="5CD5F76E" w14:textId="76460E1D" w:rsidR="0006597C" w:rsidRPr="0085799C" w:rsidRDefault="00F20A85" w:rsidP="0085799C">
      <w:pPr>
        <w:pStyle w:val="Nadpis3"/>
        <w:rPr>
          <w:b w:val="0"/>
          <w:lang w:eastAsia="sk-SK"/>
        </w:rPr>
      </w:pPr>
      <w:r>
        <w:rPr>
          <w:lang w:eastAsia="sk-SK"/>
        </w:rPr>
        <w:t>NÁKLADY</w:t>
      </w:r>
    </w:p>
    <w:p w14:paraId="26443091" w14:textId="3A2D08E3" w:rsidR="00647542" w:rsidRPr="00363CA3" w:rsidRDefault="00647542" w:rsidP="00363CA3">
      <w:pPr>
        <w:pStyle w:val="Pismenka"/>
        <w:tabs>
          <w:tab w:val="clear" w:pos="426"/>
        </w:tabs>
        <w:spacing w:after="120"/>
        <w:ind w:left="0" w:firstLine="0"/>
        <w:rPr>
          <w:b w:val="0"/>
          <w:color w:val="000000" w:themeColor="text1"/>
          <w:sz w:val="22"/>
          <w:szCs w:val="22"/>
        </w:rPr>
      </w:pPr>
      <w:r w:rsidRPr="00363CA3">
        <w:rPr>
          <w:b w:val="0"/>
          <w:color w:val="000000" w:themeColor="text1"/>
          <w:sz w:val="22"/>
          <w:szCs w:val="22"/>
        </w:rPr>
        <w:t>Náklady súhrnného celku za rok 202</w:t>
      </w:r>
      <w:r w:rsidR="008C0C06" w:rsidRPr="0085799C">
        <w:rPr>
          <w:b w:val="0"/>
          <w:bCs w:val="0"/>
          <w:color w:val="000000" w:themeColor="text1"/>
          <w:sz w:val="22"/>
          <w:szCs w:val="22"/>
        </w:rPr>
        <w:t>4</w:t>
      </w:r>
      <w:r w:rsidRPr="00363CA3">
        <w:rPr>
          <w:b w:val="0"/>
          <w:color w:val="000000" w:themeColor="text1"/>
          <w:sz w:val="22"/>
          <w:szCs w:val="22"/>
        </w:rPr>
        <w:t xml:space="preserve"> </w:t>
      </w:r>
      <w:r w:rsidR="0021590A" w:rsidRPr="0085799C">
        <w:rPr>
          <w:b w:val="0"/>
          <w:bCs w:val="0"/>
          <w:color w:val="000000" w:themeColor="text1"/>
          <w:sz w:val="22"/>
          <w:szCs w:val="22"/>
        </w:rPr>
        <w:t>sú vykázané v hodnote</w:t>
      </w:r>
      <w:r w:rsidRPr="00363CA3">
        <w:rPr>
          <w:b w:val="0"/>
          <w:color w:val="000000" w:themeColor="text1"/>
          <w:sz w:val="22"/>
          <w:szCs w:val="22"/>
        </w:rPr>
        <w:t xml:space="preserve"> </w:t>
      </w:r>
      <w:r w:rsidR="0021590A" w:rsidRPr="0085799C">
        <w:rPr>
          <w:b w:val="0"/>
          <w:bCs w:val="0"/>
          <w:color w:val="000000" w:themeColor="text1"/>
          <w:sz w:val="22"/>
          <w:szCs w:val="22"/>
        </w:rPr>
        <w:t>75 470</w:t>
      </w:r>
      <w:r w:rsidR="006F2892">
        <w:rPr>
          <w:b w:val="0"/>
          <w:bCs w:val="0"/>
          <w:color w:val="000000" w:themeColor="text1"/>
          <w:sz w:val="22"/>
          <w:szCs w:val="22"/>
        </w:rPr>
        <w:t> </w:t>
      </w:r>
      <w:r w:rsidR="0021590A" w:rsidRPr="0085799C">
        <w:rPr>
          <w:b w:val="0"/>
          <w:bCs w:val="0"/>
          <w:color w:val="000000" w:themeColor="text1"/>
          <w:sz w:val="22"/>
          <w:szCs w:val="22"/>
        </w:rPr>
        <w:t>1</w:t>
      </w:r>
      <w:r w:rsidR="003A51AE">
        <w:rPr>
          <w:b w:val="0"/>
          <w:bCs w:val="0"/>
          <w:color w:val="000000" w:themeColor="text1"/>
          <w:sz w:val="22"/>
          <w:szCs w:val="22"/>
        </w:rPr>
        <w:t>70</w:t>
      </w:r>
      <w:r w:rsidRPr="00363CA3">
        <w:rPr>
          <w:b w:val="0"/>
          <w:color w:val="000000" w:themeColor="text1"/>
          <w:sz w:val="22"/>
          <w:szCs w:val="22"/>
        </w:rPr>
        <w:t> tis. eur a oproti roku 202</w:t>
      </w:r>
      <w:r w:rsidR="0021590A" w:rsidRPr="0085799C">
        <w:rPr>
          <w:b w:val="0"/>
          <w:bCs w:val="0"/>
          <w:color w:val="000000" w:themeColor="text1"/>
          <w:sz w:val="22"/>
          <w:szCs w:val="22"/>
        </w:rPr>
        <w:t>3</w:t>
      </w:r>
      <w:r w:rsidRPr="00363CA3">
        <w:rPr>
          <w:b w:val="0"/>
          <w:color w:val="000000" w:themeColor="text1"/>
          <w:sz w:val="22"/>
          <w:szCs w:val="22"/>
        </w:rPr>
        <w:t xml:space="preserve"> sa zvýšili o</w:t>
      </w:r>
      <w:r w:rsidR="0021590A" w:rsidRPr="0085799C">
        <w:rPr>
          <w:b w:val="0"/>
          <w:bCs w:val="0"/>
          <w:color w:val="000000" w:themeColor="text1"/>
          <w:sz w:val="22"/>
          <w:szCs w:val="22"/>
        </w:rPr>
        <w:t> 810 084</w:t>
      </w:r>
      <w:r w:rsidRPr="00363CA3">
        <w:rPr>
          <w:b w:val="0"/>
          <w:color w:val="000000" w:themeColor="text1"/>
          <w:sz w:val="22"/>
          <w:szCs w:val="22"/>
        </w:rPr>
        <w:t> tis. eur.</w:t>
      </w:r>
      <w:r w:rsidRPr="00363CA3">
        <w:rPr>
          <w:b w:val="0"/>
          <w:color w:val="FF0000"/>
          <w:sz w:val="22"/>
          <w:szCs w:val="22"/>
        </w:rPr>
        <w:t xml:space="preserve"> </w:t>
      </w:r>
      <w:r w:rsidRPr="00363CA3">
        <w:rPr>
          <w:b w:val="0"/>
          <w:color w:val="000000" w:themeColor="text1"/>
          <w:sz w:val="22"/>
          <w:szCs w:val="22"/>
        </w:rPr>
        <w:t>Medziročné zvýšenie bolo spôsobené najmä</w:t>
      </w:r>
      <w:r w:rsidRPr="00363CA3">
        <w:rPr>
          <w:b w:val="0"/>
          <w:color w:val="FF0000"/>
          <w:sz w:val="22"/>
          <w:szCs w:val="22"/>
        </w:rPr>
        <w:t xml:space="preserve"> </w:t>
      </w:r>
      <w:r w:rsidRPr="00363CA3">
        <w:rPr>
          <w:b w:val="0"/>
          <w:color w:val="000000" w:themeColor="text1"/>
          <w:sz w:val="22"/>
          <w:szCs w:val="22"/>
        </w:rPr>
        <w:t xml:space="preserve">vyššími nákladmi na </w:t>
      </w:r>
      <w:r w:rsidR="00FC408B" w:rsidRPr="0085799C">
        <w:rPr>
          <w:b w:val="0"/>
          <w:bCs w:val="0"/>
          <w:color w:val="000000" w:themeColor="text1"/>
          <w:sz w:val="22"/>
          <w:szCs w:val="22"/>
        </w:rPr>
        <w:t xml:space="preserve">ostatné </w:t>
      </w:r>
      <w:r w:rsidRPr="00363CA3">
        <w:rPr>
          <w:b w:val="0"/>
          <w:color w:val="000000" w:themeColor="text1"/>
          <w:sz w:val="22"/>
          <w:szCs w:val="22"/>
        </w:rPr>
        <w:t>transfery o</w:t>
      </w:r>
      <w:r w:rsidR="00FC408B" w:rsidRPr="0085799C">
        <w:rPr>
          <w:b w:val="0"/>
          <w:bCs w:val="0"/>
          <w:color w:val="000000" w:themeColor="text1"/>
          <w:sz w:val="22"/>
          <w:szCs w:val="22"/>
        </w:rPr>
        <w:t> 1 715 044</w:t>
      </w:r>
      <w:r w:rsidRPr="00363CA3">
        <w:rPr>
          <w:b w:val="0"/>
          <w:color w:val="000000" w:themeColor="text1"/>
          <w:sz w:val="22"/>
          <w:szCs w:val="22"/>
        </w:rPr>
        <w:t xml:space="preserve"> tis. eur, vyššími osobnými nákladmi o</w:t>
      </w:r>
      <w:r w:rsidR="00FC408B" w:rsidRPr="0085799C">
        <w:rPr>
          <w:b w:val="0"/>
          <w:bCs w:val="0"/>
          <w:color w:val="000000" w:themeColor="text1"/>
          <w:sz w:val="22"/>
          <w:szCs w:val="22"/>
        </w:rPr>
        <w:t> 1</w:t>
      </w:r>
      <w:r w:rsidR="006F2892">
        <w:rPr>
          <w:b w:val="0"/>
          <w:bCs w:val="0"/>
          <w:color w:val="000000" w:themeColor="text1"/>
          <w:sz w:val="22"/>
          <w:szCs w:val="22"/>
        </w:rPr>
        <w:t> </w:t>
      </w:r>
      <w:r w:rsidR="00FC408B" w:rsidRPr="0085799C">
        <w:rPr>
          <w:b w:val="0"/>
          <w:bCs w:val="0"/>
          <w:color w:val="000000" w:themeColor="text1"/>
          <w:sz w:val="22"/>
          <w:szCs w:val="22"/>
        </w:rPr>
        <w:t>169</w:t>
      </w:r>
      <w:r w:rsidR="006F2892">
        <w:rPr>
          <w:b w:val="0"/>
          <w:bCs w:val="0"/>
          <w:color w:val="000000" w:themeColor="text1"/>
          <w:sz w:val="22"/>
          <w:szCs w:val="22"/>
        </w:rPr>
        <w:t> </w:t>
      </w:r>
      <w:r w:rsidR="00FC408B" w:rsidRPr="0085799C">
        <w:rPr>
          <w:b w:val="0"/>
          <w:bCs w:val="0"/>
          <w:color w:val="000000" w:themeColor="text1"/>
          <w:sz w:val="22"/>
          <w:szCs w:val="22"/>
        </w:rPr>
        <w:t>764</w:t>
      </w:r>
      <w:r w:rsidR="006F2892">
        <w:rPr>
          <w:b w:val="0"/>
          <w:color w:val="000000" w:themeColor="text1"/>
          <w:sz w:val="22"/>
          <w:szCs w:val="22"/>
        </w:rPr>
        <w:t> </w:t>
      </w:r>
      <w:r w:rsidRPr="00363CA3">
        <w:rPr>
          <w:b w:val="0"/>
          <w:color w:val="000000" w:themeColor="text1"/>
          <w:sz w:val="22"/>
          <w:szCs w:val="22"/>
        </w:rPr>
        <w:t>tis.</w:t>
      </w:r>
      <w:r w:rsidR="006F2892">
        <w:rPr>
          <w:b w:val="0"/>
          <w:color w:val="000000" w:themeColor="text1"/>
          <w:sz w:val="22"/>
          <w:szCs w:val="22"/>
        </w:rPr>
        <w:t> </w:t>
      </w:r>
      <w:r w:rsidRPr="00363CA3">
        <w:rPr>
          <w:b w:val="0"/>
          <w:color w:val="000000" w:themeColor="text1"/>
          <w:sz w:val="22"/>
          <w:szCs w:val="22"/>
        </w:rPr>
        <w:t xml:space="preserve">eur, vyššími </w:t>
      </w:r>
      <w:r w:rsidR="00853D34" w:rsidRPr="0085799C">
        <w:rPr>
          <w:b w:val="0"/>
          <w:bCs w:val="0"/>
          <w:color w:val="000000" w:themeColor="text1"/>
          <w:sz w:val="22"/>
          <w:szCs w:val="22"/>
        </w:rPr>
        <w:t>nákladmi na odpísanie pohľadávok</w:t>
      </w:r>
      <w:r w:rsidR="00376BE2" w:rsidRPr="0085799C">
        <w:rPr>
          <w:b w:val="0"/>
          <w:bCs w:val="0"/>
          <w:color w:val="000000" w:themeColor="text1"/>
          <w:sz w:val="22"/>
          <w:szCs w:val="22"/>
        </w:rPr>
        <w:t xml:space="preserve"> o 252 792 tis. eur</w:t>
      </w:r>
      <w:r w:rsidR="00045B12" w:rsidRPr="0085799C">
        <w:rPr>
          <w:b w:val="0"/>
          <w:bCs w:val="0"/>
          <w:color w:val="000000" w:themeColor="text1"/>
          <w:sz w:val="22"/>
          <w:szCs w:val="22"/>
        </w:rPr>
        <w:t xml:space="preserve"> a vyššími nákladmi na služby úhrnom o 311</w:t>
      </w:r>
      <w:r w:rsidR="006F2892">
        <w:rPr>
          <w:b w:val="0"/>
          <w:bCs w:val="0"/>
          <w:color w:val="000000" w:themeColor="text1"/>
          <w:sz w:val="22"/>
          <w:szCs w:val="22"/>
        </w:rPr>
        <w:t> </w:t>
      </w:r>
      <w:r w:rsidR="00045B12" w:rsidRPr="0085799C">
        <w:rPr>
          <w:b w:val="0"/>
          <w:bCs w:val="0"/>
          <w:color w:val="000000" w:themeColor="text1"/>
          <w:sz w:val="22"/>
          <w:szCs w:val="22"/>
        </w:rPr>
        <w:t>317</w:t>
      </w:r>
      <w:r w:rsidR="006F2892">
        <w:rPr>
          <w:b w:val="0"/>
          <w:bCs w:val="0"/>
          <w:color w:val="000000" w:themeColor="text1"/>
          <w:sz w:val="22"/>
          <w:szCs w:val="22"/>
        </w:rPr>
        <w:t> </w:t>
      </w:r>
      <w:r w:rsidR="00045B12" w:rsidRPr="0085799C">
        <w:rPr>
          <w:b w:val="0"/>
          <w:bCs w:val="0"/>
          <w:color w:val="000000" w:themeColor="text1"/>
          <w:sz w:val="22"/>
          <w:szCs w:val="22"/>
        </w:rPr>
        <w:t>tis.</w:t>
      </w:r>
      <w:r w:rsidR="006F2892">
        <w:rPr>
          <w:b w:val="0"/>
          <w:bCs w:val="0"/>
          <w:color w:val="000000" w:themeColor="text1"/>
          <w:sz w:val="22"/>
          <w:szCs w:val="22"/>
        </w:rPr>
        <w:t> </w:t>
      </w:r>
      <w:r w:rsidR="00045B12" w:rsidRPr="0085799C">
        <w:rPr>
          <w:b w:val="0"/>
          <w:bCs w:val="0"/>
          <w:color w:val="000000" w:themeColor="text1"/>
          <w:sz w:val="22"/>
          <w:szCs w:val="22"/>
        </w:rPr>
        <w:t>eur</w:t>
      </w:r>
      <w:r w:rsidRPr="00363CA3">
        <w:rPr>
          <w:b w:val="0"/>
          <w:color w:val="000000" w:themeColor="text1"/>
          <w:sz w:val="22"/>
          <w:szCs w:val="22"/>
        </w:rPr>
        <w:t xml:space="preserve">. Naopak, medziročný pokles zaznamenali spotrebované nákupy </w:t>
      </w:r>
      <w:r w:rsidR="00C65C98" w:rsidRPr="0085799C">
        <w:rPr>
          <w:b w:val="0"/>
          <w:bCs w:val="0"/>
          <w:color w:val="000000" w:themeColor="text1"/>
          <w:sz w:val="22"/>
          <w:szCs w:val="22"/>
        </w:rPr>
        <w:t xml:space="preserve">o 761 740 </w:t>
      </w:r>
      <w:r w:rsidRPr="00363CA3">
        <w:rPr>
          <w:b w:val="0"/>
          <w:color w:val="000000" w:themeColor="text1"/>
          <w:sz w:val="22"/>
          <w:szCs w:val="22"/>
        </w:rPr>
        <w:t>tis. eur</w:t>
      </w:r>
      <w:r w:rsidR="00896050" w:rsidRPr="0085799C">
        <w:rPr>
          <w:b w:val="0"/>
          <w:bCs w:val="0"/>
          <w:color w:val="000000" w:themeColor="text1"/>
          <w:sz w:val="22"/>
          <w:szCs w:val="22"/>
        </w:rPr>
        <w:t>, či náklad</w:t>
      </w:r>
      <w:r w:rsidR="005806D6">
        <w:rPr>
          <w:b w:val="0"/>
          <w:bCs w:val="0"/>
          <w:color w:val="000000" w:themeColor="text1"/>
          <w:sz w:val="22"/>
          <w:szCs w:val="22"/>
        </w:rPr>
        <w:t>y</w:t>
      </w:r>
      <w:r w:rsidR="00896050" w:rsidRPr="0085799C">
        <w:rPr>
          <w:b w:val="0"/>
          <w:bCs w:val="0"/>
          <w:color w:val="000000" w:themeColor="text1"/>
          <w:sz w:val="22"/>
          <w:szCs w:val="22"/>
        </w:rPr>
        <w:t xml:space="preserve"> na transfery a náklady z odvodu príjmov úhrnnom </w:t>
      </w:r>
      <w:r w:rsidR="005806D6">
        <w:rPr>
          <w:b w:val="0"/>
          <w:bCs w:val="0"/>
          <w:color w:val="000000" w:themeColor="text1"/>
          <w:sz w:val="22"/>
          <w:szCs w:val="22"/>
        </w:rPr>
        <w:t xml:space="preserve">o </w:t>
      </w:r>
      <w:r w:rsidR="00896050" w:rsidRPr="0085799C">
        <w:rPr>
          <w:b w:val="0"/>
          <w:bCs w:val="0"/>
          <w:color w:val="000000" w:themeColor="text1"/>
          <w:sz w:val="22"/>
          <w:szCs w:val="22"/>
        </w:rPr>
        <w:t>208</w:t>
      </w:r>
      <w:r w:rsidR="006F2892">
        <w:rPr>
          <w:b w:val="0"/>
          <w:bCs w:val="0"/>
          <w:color w:val="000000" w:themeColor="text1"/>
          <w:sz w:val="22"/>
          <w:szCs w:val="22"/>
        </w:rPr>
        <w:t> </w:t>
      </w:r>
      <w:r w:rsidR="00896050" w:rsidRPr="0085799C">
        <w:rPr>
          <w:b w:val="0"/>
          <w:bCs w:val="0"/>
          <w:color w:val="000000" w:themeColor="text1"/>
          <w:sz w:val="22"/>
          <w:szCs w:val="22"/>
        </w:rPr>
        <w:t>055</w:t>
      </w:r>
      <w:r w:rsidR="006F2892">
        <w:rPr>
          <w:b w:val="0"/>
          <w:bCs w:val="0"/>
          <w:color w:val="000000" w:themeColor="text1"/>
          <w:sz w:val="22"/>
          <w:szCs w:val="22"/>
        </w:rPr>
        <w:t> </w:t>
      </w:r>
      <w:r w:rsidR="00896050" w:rsidRPr="0085799C">
        <w:rPr>
          <w:b w:val="0"/>
          <w:bCs w:val="0"/>
          <w:color w:val="000000" w:themeColor="text1"/>
          <w:sz w:val="22"/>
          <w:szCs w:val="22"/>
        </w:rPr>
        <w:t>tis.</w:t>
      </w:r>
      <w:r w:rsidR="006F2892">
        <w:rPr>
          <w:b w:val="0"/>
          <w:bCs w:val="0"/>
          <w:color w:val="000000" w:themeColor="text1"/>
          <w:sz w:val="22"/>
          <w:szCs w:val="22"/>
        </w:rPr>
        <w:t> </w:t>
      </w:r>
      <w:r w:rsidRPr="00363CA3">
        <w:rPr>
          <w:b w:val="0"/>
          <w:color w:val="000000" w:themeColor="text1"/>
          <w:sz w:val="22"/>
          <w:szCs w:val="22"/>
        </w:rPr>
        <w:t xml:space="preserve">eur. Transfery boli </w:t>
      </w:r>
      <w:r w:rsidR="00896050" w:rsidRPr="0085799C">
        <w:rPr>
          <w:b w:val="0"/>
          <w:bCs w:val="0"/>
          <w:color w:val="000000" w:themeColor="text1"/>
          <w:sz w:val="22"/>
          <w:szCs w:val="22"/>
        </w:rPr>
        <w:t>nižšie z dôvodu vyššej miery konsolidácie nákladov na tretej úrovni oproti minulému účtovnému obdobiu</w:t>
      </w:r>
      <w:r w:rsidRPr="00363CA3">
        <w:rPr>
          <w:b w:val="0"/>
          <w:color w:val="000000" w:themeColor="text1"/>
          <w:sz w:val="22"/>
          <w:szCs w:val="22"/>
        </w:rPr>
        <w:t>.</w:t>
      </w:r>
    </w:p>
    <w:p w14:paraId="25B7774C" w14:textId="77777777" w:rsidR="004026E9" w:rsidRPr="00363CA3" w:rsidRDefault="004026E9" w:rsidP="00363CA3">
      <w:pPr>
        <w:pStyle w:val="Pismenka"/>
        <w:tabs>
          <w:tab w:val="clear" w:pos="426"/>
        </w:tabs>
        <w:spacing w:after="120"/>
        <w:ind w:left="0" w:firstLine="0"/>
        <w:rPr>
          <w:b w:val="0"/>
          <w:color w:val="000000" w:themeColor="text1"/>
          <w:sz w:val="22"/>
          <w:szCs w:val="22"/>
        </w:rPr>
      </w:pPr>
    </w:p>
    <w:p w14:paraId="0C3F5BE4" w14:textId="5D74C48D" w:rsidR="00F20A85" w:rsidRPr="0085799C" w:rsidRDefault="00F20A85" w:rsidP="0085799C">
      <w:pPr>
        <w:pStyle w:val="Nadpis3"/>
        <w:numPr>
          <w:ilvl w:val="0"/>
          <w:numId w:val="10"/>
        </w:numPr>
        <w:ind w:left="709"/>
        <w:rPr>
          <w:color w:val="FF0000"/>
        </w:rPr>
      </w:pPr>
      <w:r>
        <w:t>Náklady na transfery</w:t>
      </w:r>
    </w:p>
    <w:p w14:paraId="47E7B890" w14:textId="6CBD2961" w:rsidR="00647542" w:rsidRPr="00363CA3" w:rsidRDefault="00647542" w:rsidP="00363CA3">
      <w:pPr>
        <w:pStyle w:val="Pismenka"/>
        <w:tabs>
          <w:tab w:val="clear" w:pos="426"/>
        </w:tabs>
        <w:spacing w:after="120"/>
        <w:ind w:left="0" w:firstLine="0"/>
        <w:rPr>
          <w:b w:val="0"/>
          <w:sz w:val="22"/>
          <w:szCs w:val="22"/>
        </w:rPr>
      </w:pPr>
      <w:r w:rsidRPr="00363CA3">
        <w:rPr>
          <w:b w:val="0"/>
          <w:color w:val="000000" w:themeColor="text1"/>
          <w:sz w:val="22"/>
          <w:szCs w:val="22"/>
        </w:rPr>
        <w:t xml:space="preserve">V rámci celkových nákladov dosiahli sumu </w:t>
      </w:r>
      <w:r w:rsidR="00BB7378" w:rsidRPr="0085799C">
        <w:rPr>
          <w:b w:val="0"/>
          <w:bCs w:val="0"/>
          <w:color w:val="000000" w:themeColor="text1"/>
          <w:sz w:val="22"/>
          <w:szCs w:val="22"/>
        </w:rPr>
        <w:t>30 370</w:t>
      </w:r>
      <w:r w:rsidR="006F2892">
        <w:rPr>
          <w:b w:val="0"/>
          <w:bCs w:val="0"/>
          <w:color w:val="000000" w:themeColor="text1"/>
          <w:sz w:val="22"/>
          <w:szCs w:val="22"/>
        </w:rPr>
        <w:t> </w:t>
      </w:r>
      <w:r w:rsidR="00BB7378" w:rsidRPr="0085799C">
        <w:rPr>
          <w:b w:val="0"/>
          <w:bCs w:val="0"/>
          <w:color w:val="000000" w:themeColor="text1"/>
          <w:sz w:val="22"/>
          <w:szCs w:val="22"/>
        </w:rPr>
        <w:t>131</w:t>
      </w:r>
      <w:r w:rsidRPr="00363CA3">
        <w:rPr>
          <w:b w:val="0"/>
          <w:color w:val="000000" w:themeColor="text1"/>
          <w:sz w:val="22"/>
          <w:szCs w:val="22"/>
        </w:rPr>
        <w:t> tis. eur</w:t>
      </w:r>
      <w:r w:rsidRPr="00363CA3">
        <w:rPr>
          <w:b w:val="0"/>
          <w:color w:val="FF0000"/>
          <w:sz w:val="22"/>
          <w:szCs w:val="22"/>
        </w:rPr>
        <w:t xml:space="preserve"> </w:t>
      </w:r>
      <w:r w:rsidRPr="00363CA3">
        <w:rPr>
          <w:b w:val="0"/>
          <w:color w:val="000000" w:themeColor="text1"/>
          <w:sz w:val="22"/>
          <w:szCs w:val="22"/>
        </w:rPr>
        <w:t xml:space="preserve">a medziročne sa </w:t>
      </w:r>
      <w:r w:rsidR="00BB7378" w:rsidRPr="0085799C">
        <w:rPr>
          <w:b w:val="0"/>
          <w:bCs w:val="0"/>
          <w:color w:val="000000" w:themeColor="text1"/>
          <w:sz w:val="22"/>
          <w:szCs w:val="22"/>
        </w:rPr>
        <w:t>znížil</w:t>
      </w:r>
      <w:r w:rsidR="00BB7378" w:rsidRPr="00363CA3">
        <w:rPr>
          <w:b w:val="0"/>
          <w:color w:val="000000" w:themeColor="text1"/>
          <w:sz w:val="22"/>
          <w:szCs w:val="22"/>
        </w:rPr>
        <w:t>i</w:t>
      </w:r>
      <w:r w:rsidR="006F2892">
        <w:rPr>
          <w:b w:val="0"/>
          <w:color w:val="000000" w:themeColor="text1"/>
          <w:sz w:val="22"/>
          <w:szCs w:val="22"/>
        </w:rPr>
        <w:t xml:space="preserve"> </w:t>
      </w:r>
      <w:r w:rsidRPr="00363CA3">
        <w:rPr>
          <w:b w:val="0"/>
          <w:color w:val="000000" w:themeColor="text1"/>
          <w:sz w:val="22"/>
          <w:szCs w:val="22"/>
        </w:rPr>
        <w:t>o </w:t>
      </w:r>
      <w:r w:rsidR="00BB7378" w:rsidRPr="0085799C">
        <w:rPr>
          <w:b w:val="0"/>
          <w:bCs w:val="0"/>
          <w:color w:val="000000" w:themeColor="text1"/>
          <w:sz w:val="22"/>
          <w:szCs w:val="22"/>
        </w:rPr>
        <w:t>208</w:t>
      </w:r>
      <w:r w:rsidR="006F2892">
        <w:rPr>
          <w:b w:val="0"/>
          <w:bCs w:val="0"/>
          <w:color w:val="000000" w:themeColor="text1"/>
          <w:sz w:val="22"/>
          <w:szCs w:val="22"/>
        </w:rPr>
        <w:t> </w:t>
      </w:r>
      <w:r w:rsidR="00BB7378" w:rsidRPr="0085799C">
        <w:rPr>
          <w:b w:val="0"/>
          <w:bCs w:val="0"/>
          <w:color w:val="000000" w:themeColor="text1"/>
          <w:sz w:val="22"/>
          <w:szCs w:val="22"/>
        </w:rPr>
        <w:t>055</w:t>
      </w:r>
      <w:r w:rsidRPr="00363CA3">
        <w:rPr>
          <w:b w:val="0"/>
          <w:color w:val="000000" w:themeColor="text1"/>
          <w:sz w:val="22"/>
          <w:szCs w:val="22"/>
        </w:rPr>
        <w:t> tis. eur. Transfery sa poskytujú fyzickým osobám – obyvateľstvu, podnikateľským subjektom, zahraničným subjektom a podobne. V konsolidačných operáciách boli eliminované transfery v rámci ústrednej správy a vybrané transfery medzi ústrednou správou a územnou samosprávou</w:t>
      </w:r>
      <w:r w:rsidR="00BB7378" w:rsidRPr="0085799C">
        <w:rPr>
          <w:b w:val="0"/>
          <w:bCs w:val="0"/>
          <w:color w:val="000000" w:themeColor="text1"/>
          <w:sz w:val="22"/>
          <w:szCs w:val="22"/>
        </w:rPr>
        <w:t>,</w:t>
      </w:r>
      <w:r w:rsidRPr="00363CA3">
        <w:rPr>
          <w:b w:val="0"/>
          <w:color w:val="000000" w:themeColor="text1"/>
          <w:sz w:val="22"/>
          <w:szCs w:val="22"/>
        </w:rPr>
        <w:t xml:space="preserve"> resp. ostatnými subjektami verejnej správy (bez zohľadnenia časového rozlíšenia) v hodnote </w:t>
      </w:r>
      <w:r w:rsidR="003C58A2" w:rsidRPr="0085799C">
        <w:rPr>
          <w:b w:val="0"/>
          <w:bCs w:val="0"/>
          <w:color w:val="000000" w:themeColor="text1"/>
          <w:sz w:val="22"/>
          <w:szCs w:val="22"/>
        </w:rPr>
        <w:t>2 860 952</w:t>
      </w:r>
      <w:r w:rsidRPr="00363CA3">
        <w:rPr>
          <w:b w:val="0"/>
          <w:color w:val="000000" w:themeColor="text1"/>
          <w:sz w:val="22"/>
          <w:szCs w:val="22"/>
        </w:rPr>
        <w:t> tis. eur ako náklady na transfery</w:t>
      </w:r>
      <w:r w:rsidRPr="00363CA3">
        <w:rPr>
          <w:b w:val="0"/>
          <w:sz w:val="22"/>
          <w:szCs w:val="22"/>
        </w:rPr>
        <w:t xml:space="preserve"> poskytnuté Ministerstvom financií SR v sume </w:t>
      </w:r>
      <w:r w:rsidR="003C58A2" w:rsidRPr="0085799C">
        <w:rPr>
          <w:b w:val="0"/>
          <w:bCs w:val="0"/>
          <w:sz w:val="22"/>
          <w:szCs w:val="22"/>
        </w:rPr>
        <w:t>2</w:t>
      </w:r>
      <w:r w:rsidR="006F2892">
        <w:rPr>
          <w:b w:val="0"/>
          <w:bCs w:val="0"/>
          <w:sz w:val="22"/>
          <w:szCs w:val="22"/>
        </w:rPr>
        <w:t> </w:t>
      </w:r>
      <w:r w:rsidR="003C58A2" w:rsidRPr="0085799C">
        <w:rPr>
          <w:b w:val="0"/>
          <w:bCs w:val="0"/>
          <w:sz w:val="22"/>
          <w:szCs w:val="22"/>
        </w:rPr>
        <w:t>720</w:t>
      </w:r>
      <w:r w:rsidRPr="00363CA3">
        <w:rPr>
          <w:b w:val="0"/>
          <w:sz w:val="22"/>
          <w:szCs w:val="22"/>
        </w:rPr>
        <w:t> 000 tis. eur (na dofinancovanie zdrojov Sociálnej poisťovne) a Environmentálnym fondom v sume 14</w:t>
      </w:r>
      <w:r w:rsidR="0076258A" w:rsidRPr="0085799C">
        <w:rPr>
          <w:b w:val="0"/>
          <w:bCs w:val="0"/>
          <w:sz w:val="22"/>
          <w:szCs w:val="22"/>
        </w:rPr>
        <w:t>0</w:t>
      </w:r>
      <w:r w:rsidR="006F2892">
        <w:rPr>
          <w:b w:val="0"/>
          <w:bCs w:val="0"/>
          <w:sz w:val="22"/>
          <w:szCs w:val="22"/>
        </w:rPr>
        <w:t> </w:t>
      </w:r>
      <w:r w:rsidR="0076258A" w:rsidRPr="0085799C">
        <w:rPr>
          <w:b w:val="0"/>
          <w:bCs w:val="0"/>
          <w:sz w:val="22"/>
          <w:szCs w:val="22"/>
        </w:rPr>
        <w:t>952</w:t>
      </w:r>
      <w:r w:rsidRPr="00363CA3">
        <w:rPr>
          <w:b w:val="0"/>
          <w:sz w:val="22"/>
          <w:szCs w:val="22"/>
        </w:rPr>
        <w:t> tis. eur.</w:t>
      </w:r>
      <w:bookmarkStart w:id="86" w:name="_Ref86186472"/>
    </w:p>
    <w:p w14:paraId="694CD662" w14:textId="77777777" w:rsidR="00D3452F" w:rsidRPr="00363CA3" w:rsidRDefault="00D3452F" w:rsidP="00363CA3">
      <w:pPr>
        <w:pStyle w:val="Pismenka"/>
        <w:tabs>
          <w:tab w:val="clear" w:pos="426"/>
        </w:tabs>
        <w:spacing w:after="120"/>
        <w:ind w:left="0" w:firstLine="0"/>
        <w:rPr>
          <w:b w:val="0"/>
          <w:sz w:val="22"/>
          <w:szCs w:val="22"/>
        </w:rPr>
      </w:pPr>
    </w:p>
    <w:p w14:paraId="5CD56999" w14:textId="1459F37D" w:rsidR="00D3452F" w:rsidRDefault="00D3452F" w:rsidP="0085799C">
      <w:pPr>
        <w:pStyle w:val="Nadpis4"/>
        <w:numPr>
          <w:ilvl w:val="0"/>
          <w:numId w:val="54"/>
        </w:numPr>
        <w:ind w:left="426" w:hanging="426"/>
      </w:pPr>
      <w:bookmarkStart w:id="87" w:name="_Odvod_do_rozpočtu"/>
      <w:bookmarkEnd w:id="87"/>
      <w:r>
        <w:t>Odvod do rozpočtu EÚ</w:t>
      </w:r>
    </w:p>
    <w:bookmarkEnd w:id="86"/>
    <w:p w14:paraId="21459DEE" w14:textId="0F552EE1" w:rsidR="00D3452F" w:rsidRPr="0085799C" w:rsidRDefault="00647542" w:rsidP="0085799C">
      <w:pPr>
        <w:pStyle w:val="Pismenka"/>
        <w:tabs>
          <w:tab w:val="clear" w:pos="426"/>
        </w:tabs>
        <w:spacing w:after="120"/>
        <w:ind w:left="0" w:firstLine="0"/>
        <w:rPr>
          <w:color w:val="000000" w:themeColor="text1"/>
          <w:sz w:val="22"/>
          <w:szCs w:val="22"/>
        </w:rPr>
      </w:pPr>
      <w:r w:rsidRPr="00363CA3">
        <w:rPr>
          <w:b w:val="0"/>
          <w:color w:val="000000" w:themeColor="text1"/>
          <w:sz w:val="22"/>
          <w:szCs w:val="22"/>
        </w:rPr>
        <w:t>Rozpočet EÚ je financovaný vlastnými zdrojmi a ostatnými príjmami, pričom vlastné zdroje EÚ možno charakterizovať ako príjmy patriace EÚ s cieľom financovania spoločného rozpočtu a plynúce do tohto rozpočtu automaticky. V súčasnosti systém vlastných zdrojov EÚ pozostáva z tradičných vlastných zdrojov (clá a odvody v sektore cukru), zdroja založeného na DPH a zdroja založeného na HND. Celková hodnota nákladov na odvod prostriedkov do rozpočtu EÚ za rok 202</w:t>
      </w:r>
      <w:r w:rsidR="003C58A2" w:rsidRPr="0085799C">
        <w:rPr>
          <w:b w:val="0"/>
          <w:bCs w:val="0"/>
          <w:color w:val="000000" w:themeColor="text1"/>
          <w:sz w:val="22"/>
          <w:szCs w:val="22"/>
        </w:rPr>
        <w:t>4</w:t>
      </w:r>
      <w:r w:rsidRPr="00363CA3">
        <w:rPr>
          <w:b w:val="0"/>
          <w:color w:val="000000" w:themeColor="text1"/>
          <w:sz w:val="22"/>
          <w:szCs w:val="22"/>
        </w:rPr>
        <w:t xml:space="preserve"> bola v sume</w:t>
      </w:r>
      <w:r w:rsidR="006F2892" w:rsidRPr="00EE0FA7">
        <w:rPr>
          <w:b w:val="0"/>
          <w:color w:val="000000" w:themeColor="text1"/>
          <w:sz w:val="22"/>
          <w:szCs w:val="22"/>
        </w:rPr>
        <w:t xml:space="preserve"> </w:t>
      </w:r>
      <w:r w:rsidR="005E3AAC" w:rsidRPr="0085799C">
        <w:rPr>
          <w:b w:val="0"/>
          <w:bCs w:val="0"/>
          <w:color w:val="000000" w:themeColor="text1"/>
          <w:sz w:val="22"/>
          <w:szCs w:val="22"/>
        </w:rPr>
        <w:t>822</w:t>
      </w:r>
      <w:r w:rsidR="006F2892" w:rsidRPr="00EE0FA7">
        <w:rPr>
          <w:b w:val="0"/>
          <w:color w:val="000000" w:themeColor="text1"/>
          <w:sz w:val="22"/>
          <w:szCs w:val="22"/>
        </w:rPr>
        <w:t> </w:t>
      </w:r>
      <w:r w:rsidR="005E3AAC" w:rsidRPr="0085799C">
        <w:rPr>
          <w:b w:val="0"/>
          <w:bCs w:val="0"/>
          <w:color w:val="000000" w:themeColor="text1"/>
          <w:sz w:val="22"/>
          <w:szCs w:val="22"/>
        </w:rPr>
        <w:t>107</w:t>
      </w:r>
      <w:r w:rsidRPr="00363CA3">
        <w:rPr>
          <w:b w:val="0"/>
          <w:color w:val="000000" w:themeColor="text1"/>
          <w:sz w:val="22"/>
          <w:szCs w:val="22"/>
        </w:rPr>
        <w:t> tis. eur a v porovnaní s</w:t>
      </w:r>
      <w:r w:rsidR="005E3AAC" w:rsidRPr="0085799C">
        <w:rPr>
          <w:b w:val="0"/>
          <w:color w:val="000000" w:themeColor="text1"/>
          <w:sz w:val="22"/>
          <w:szCs w:val="22"/>
        </w:rPr>
        <w:t> </w:t>
      </w:r>
      <w:r w:rsidRPr="00363CA3">
        <w:rPr>
          <w:b w:val="0"/>
          <w:color w:val="000000" w:themeColor="text1"/>
          <w:sz w:val="22"/>
          <w:szCs w:val="22"/>
        </w:rPr>
        <w:t>roko</w:t>
      </w:r>
      <w:r w:rsidR="005E3AAC" w:rsidRPr="0085799C">
        <w:rPr>
          <w:b w:val="0"/>
          <w:bCs w:val="0"/>
          <w:color w:val="000000" w:themeColor="text1"/>
          <w:sz w:val="22"/>
          <w:szCs w:val="22"/>
        </w:rPr>
        <w:t>m 2023 boli tieto náklady nižšie o 121 119 tis.</w:t>
      </w:r>
      <w:r w:rsidR="006F2892" w:rsidRPr="00EE0FA7">
        <w:rPr>
          <w:b w:val="0"/>
          <w:color w:val="000000" w:themeColor="text1"/>
          <w:sz w:val="22"/>
          <w:szCs w:val="22"/>
        </w:rPr>
        <w:t> </w:t>
      </w:r>
      <w:r w:rsidR="005E3AAC" w:rsidRPr="0085799C">
        <w:rPr>
          <w:b w:val="0"/>
          <w:bCs w:val="0"/>
          <w:color w:val="000000" w:themeColor="text1"/>
          <w:sz w:val="22"/>
          <w:szCs w:val="22"/>
        </w:rPr>
        <w:t xml:space="preserve">eur. </w:t>
      </w:r>
    </w:p>
    <w:p w14:paraId="35AFD7B9" w14:textId="77777777" w:rsidR="00D3452F" w:rsidRPr="00363CA3" w:rsidRDefault="00D3452F" w:rsidP="00EE0FA7">
      <w:pPr>
        <w:pStyle w:val="Pismenka"/>
        <w:tabs>
          <w:tab w:val="clear" w:pos="426"/>
        </w:tabs>
        <w:spacing w:after="120"/>
        <w:ind w:left="0" w:firstLine="0"/>
        <w:rPr>
          <w:b w:val="0"/>
          <w:color w:val="000000" w:themeColor="text1"/>
          <w:sz w:val="22"/>
          <w:szCs w:val="22"/>
        </w:rPr>
      </w:pPr>
    </w:p>
    <w:p w14:paraId="2B8336D3" w14:textId="5C35FB74" w:rsidR="00D3452F" w:rsidRDefault="0088367B" w:rsidP="009F2AF6">
      <w:pPr>
        <w:pStyle w:val="Nadpis4"/>
        <w:numPr>
          <w:ilvl w:val="0"/>
          <w:numId w:val="54"/>
        </w:numPr>
        <w:ind w:left="426" w:hanging="426"/>
      </w:pPr>
      <w:bookmarkStart w:id="88" w:name="_Ostatné_transfery"/>
      <w:bookmarkEnd w:id="88"/>
      <w:r>
        <w:lastRenderedPageBreak/>
        <w:t>Ostatné transfery</w:t>
      </w:r>
    </w:p>
    <w:p w14:paraId="06324E46" w14:textId="10EC64FD" w:rsidR="00647542" w:rsidRPr="007B5185" w:rsidRDefault="003C2020" w:rsidP="007B5185">
      <w:pPr>
        <w:pStyle w:val="Pismenka"/>
        <w:tabs>
          <w:tab w:val="clear" w:pos="426"/>
        </w:tabs>
        <w:spacing w:after="120"/>
        <w:ind w:left="0" w:firstLine="0"/>
        <w:rPr>
          <w:b w:val="0"/>
          <w:color w:val="000000" w:themeColor="text1"/>
          <w:sz w:val="22"/>
          <w:szCs w:val="22"/>
        </w:rPr>
      </w:pPr>
      <w:r w:rsidRPr="007B5185">
        <w:rPr>
          <w:b w:val="0"/>
          <w:color w:val="000000" w:themeColor="text1"/>
          <w:sz w:val="22"/>
          <w:szCs w:val="22"/>
        </w:rPr>
        <w:t>N</w:t>
      </w:r>
      <w:r w:rsidR="00647542" w:rsidRPr="007B5185">
        <w:rPr>
          <w:b w:val="0"/>
          <w:color w:val="000000" w:themeColor="text1"/>
          <w:sz w:val="22"/>
          <w:szCs w:val="22"/>
        </w:rPr>
        <w:t xml:space="preserve">áklady na ostatné transfery dosiahli </w:t>
      </w:r>
      <w:r w:rsidR="007342A2" w:rsidRPr="0085799C">
        <w:rPr>
          <w:b w:val="0"/>
          <w:color w:val="000000" w:themeColor="text1"/>
          <w:sz w:val="22"/>
          <w:szCs w:val="22"/>
        </w:rPr>
        <w:t>29 548</w:t>
      </w:r>
      <w:r w:rsidR="001B08C3" w:rsidRPr="007B5185">
        <w:rPr>
          <w:b w:val="0"/>
          <w:color w:val="000000" w:themeColor="text1"/>
          <w:sz w:val="22"/>
          <w:szCs w:val="22"/>
        </w:rPr>
        <w:t> </w:t>
      </w:r>
      <w:r w:rsidR="007342A2" w:rsidRPr="0085799C">
        <w:rPr>
          <w:b w:val="0"/>
          <w:color w:val="000000" w:themeColor="text1"/>
          <w:sz w:val="22"/>
          <w:szCs w:val="22"/>
        </w:rPr>
        <w:t>024</w:t>
      </w:r>
      <w:r w:rsidR="001B08C3" w:rsidRPr="007B5185">
        <w:rPr>
          <w:b w:val="0"/>
          <w:color w:val="000000" w:themeColor="text1"/>
          <w:sz w:val="22"/>
          <w:szCs w:val="22"/>
        </w:rPr>
        <w:t> </w:t>
      </w:r>
      <w:r w:rsidR="00647542" w:rsidRPr="007B5185">
        <w:rPr>
          <w:b w:val="0"/>
          <w:color w:val="000000" w:themeColor="text1"/>
          <w:sz w:val="22"/>
          <w:szCs w:val="22"/>
        </w:rPr>
        <w:t xml:space="preserve">tis. eur a oproti predchádzajúcemu účtovnému obdobiu </w:t>
      </w:r>
      <w:r w:rsidR="00861114" w:rsidRPr="0085799C">
        <w:rPr>
          <w:b w:val="0"/>
          <w:color w:val="000000" w:themeColor="text1"/>
          <w:sz w:val="22"/>
          <w:szCs w:val="22"/>
        </w:rPr>
        <w:t xml:space="preserve">došlo k ich zníženiu </w:t>
      </w:r>
      <w:r w:rsidR="00647542" w:rsidRPr="007B5185">
        <w:rPr>
          <w:b w:val="0"/>
          <w:color w:val="000000" w:themeColor="text1"/>
          <w:sz w:val="22"/>
          <w:szCs w:val="22"/>
        </w:rPr>
        <w:t>o</w:t>
      </w:r>
      <w:r w:rsidR="001B08C3" w:rsidRPr="007B5185">
        <w:rPr>
          <w:b w:val="0"/>
          <w:color w:val="000000" w:themeColor="text1"/>
          <w:sz w:val="22"/>
          <w:szCs w:val="22"/>
        </w:rPr>
        <w:t xml:space="preserve"> </w:t>
      </w:r>
      <w:r w:rsidR="00861114" w:rsidRPr="0085799C">
        <w:rPr>
          <w:b w:val="0"/>
          <w:color w:val="000000" w:themeColor="text1"/>
          <w:sz w:val="22"/>
          <w:szCs w:val="22"/>
        </w:rPr>
        <w:t>86 935</w:t>
      </w:r>
      <w:r w:rsidR="00647542" w:rsidRPr="007B5185">
        <w:rPr>
          <w:b w:val="0"/>
          <w:color w:val="000000" w:themeColor="text1"/>
          <w:sz w:val="22"/>
          <w:szCs w:val="22"/>
        </w:rPr>
        <w:t xml:space="preserve"> tis. eur. </w:t>
      </w:r>
    </w:p>
    <w:p w14:paraId="0F83DF66" w14:textId="5253E728" w:rsidR="00EC50FF" w:rsidRPr="0085799C" w:rsidRDefault="00647542" w:rsidP="00A7107D">
      <w:pPr>
        <w:spacing w:after="120" w:line="240" w:lineRule="auto"/>
        <w:jc w:val="both"/>
        <w:rPr>
          <w:b/>
          <w:szCs w:val="22"/>
        </w:rPr>
      </w:pPr>
      <w:r w:rsidRPr="0085799C">
        <w:rPr>
          <w:rFonts w:ascii="Times New Roman" w:hAnsi="Times New Roman"/>
          <w:szCs w:val="22"/>
        </w:rPr>
        <w:t xml:space="preserve">Najvyššiu hodnotu vykazuje Sociálna poisťovňa </w:t>
      </w:r>
      <w:r w:rsidR="00294E73" w:rsidRPr="0085799C">
        <w:rPr>
          <w:rFonts w:ascii="Times New Roman" w:hAnsi="Times New Roman"/>
          <w:szCs w:val="22"/>
        </w:rPr>
        <w:t>18</w:t>
      </w:r>
      <w:r w:rsidR="001B08C3" w:rsidRPr="0085799C">
        <w:rPr>
          <w:rFonts w:ascii="Times New Roman" w:hAnsi="Times New Roman"/>
          <w:szCs w:val="22"/>
        </w:rPr>
        <w:t> </w:t>
      </w:r>
      <w:r w:rsidR="00CE710B" w:rsidRPr="0085799C">
        <w:rPr>
          <w:rFonts w:ascii="Times New Roman" w:hAnsi="Times New Roman"/>
          <w:szCs w:val="22"/>
        </w:rPr>
        <w:t>023</w:t>
      </w:r>
      <w:r w:rsidR="001B08C3" w:rsidRPr="0085799C">
        <w:rPr>
          <w:rFonts w:ascii="Times New Roman" w:hAnsi="Times New Roman"/>
          <w:szCs w:val="22"/>
        </w:rPr>
        <w:t> </w:t>
      </w:r>
      <w:r w:rsidR="00CE710B" w:rsidRPr="0085799C">
        <w:rPr>
          <w:rFonts w:ascii="Times New Roman" w:hAnsi="Times New Roman"/>
          <w:szCs w:val="22"/>
        </w:rPr>
        <w:t>472</w:t>
      </w:r>
      <w:r w:rsidR="00294E73" w:rsidRPr="0085799C">
        <w:rPr>
          <w:rFonts w:ascii="Times New Roman" w:hAnsi="Times New Roman"/>
          <w:szCs w:val="22"/>
        </w:rPr>
        <w:t xml:space="preserve"> tis. eur </w:t>
      </w:r>
      <w:r w:rsidRPr="0085799C">
        <w:rPr>
          <w:rFonts w:ascii="Times New Roman" w:hAnsi="Times New Roman"/>
          <w:szCs w:val="22"/>
        </w:rPr>
        <w:t>(20</w:t>
      </w:r>
      <w:r w:rsidR="00294E73" w:rsidRPr="0085799C">
        <w:rPr>
          <w:rFonts w:ascii="Times New Roman" w:hAnsi="Times New Roman"/>
          <w:szCs w:val="22"/>
        </w:rPr>
        <w:t>23</w:t>
      </w:r>
      <w:r w:rsidRPr="0085799C">
        <w:rPr>
          <w:rFonts w:ascii="Times New Roman" w:hAnsi="Times New Roman"/>
          <w:szCs w:val="22"/>
        </w:rPr>
        <w:t xml:space="preserve">: </w:t>
      </w:r>
      <w:r w:rsidR="00294E73" w:rsidRPr="0085799C">
        <w:rPr>
          <w:rFonts w:ascii="Times New Roman" w:hAnsi="Times New Roman"/>
          <w:szCs w:val="22"/>
        </w:rPr>
        <w:t>15 921 651 tis. </w:t>
      </w:r>
      <w:r w:rsidRPr="0085799C">
        <w:rPr>
          <w:rFonts w:ascii="Times New Roman" w:hAnsi="Times New Roman"/>
          <w:szCs w:val="22"/>
        </w:rPr>
        <w:t xml:space="preserve">eur), </w:t>
      </w:r>
      <w:r w:rsidR="00294E73" w:rsidRPr="0085799C">
        <w:rPr>
          <w:rFonts w:ascii="Times New Roman" w:hAnsi="Times New Roman"/>
          <w:szCs w:val="22"/>
        </w:rPr>
        <w:t>najmä</w:t>
      </w:r>
      <w:r w:rsidRPr="0085799C">
        <w:rPr>
          <w:rFonts w:ascii="Times New Roman" w:hAnsi="Times New Roman"/>
          <w:szCs w:val="22"/>
        </w:rPr>
        <w:t xml:space="preserve"> ako náklady na použitie fondov Sociálnej poisťovne (napr. na poskytnuté sociálne </w:t>
      </w:r>
      <w:r w:rsidR="0045273C">
        <w:rPr>
          <w:rFonts w:ascii="Times New Roman" w:hAnsi="Times New Roman"/>
          <w:szCs w:val="22"/>
        </w:rPr>
        <w:t>dávky</w:t>
      </w:r>
      <w:r w:rsidR="0045273C" w:rsidRPr="0085799C">
        <w:rPr>
          <w:rFonts w:ascii="Times New Roman" w:hAnsi="Times New Roman"/>
          <w:szCs w:val="22"/>
        </w:rPr>
        <w:t xml:space="preserve"> </w:t>
      </w:r>
      <w:r w:rsidRPr="0085799C">
        <w:rPr>
          <w:rFonts w:ascii="Times New Roman" w:hAnsi="Times New Roman"/>
          <w:szCs w:val="22"/>
        </w:rPr>
        <w:t>a</w:t>
      </w:r>
      <w:r w:rsidR="0045273C">
        <w:rPr>
          <w:rFonts w:ascii="Times New Roman" w:hAnsi="Times New Roman"/>
          <w:szCs w:val="22"/>
        </w:rPr>
        <w:t xml:space="preserve"> </w:t>
      </w:r>
      <w:r w:rsidRPr="0085799C">
        <w:rPr>
          <w:rFonts w:ascii="Times New Roman" w:hAnsi="Times New Roman"/>
          <w:szCs w:val="22"/>
        </w:rPr>
        <w:t xml:space="preserve">dôchodky obyvateľstvu). </w:t>
      </w:r>
      <w:r w:rsidR="00C21220">
        <w:rPr>
          <w:rFonts w:ascii="Times New Roman" w:hAnsi="Times New Roman"/>
          <w:szCs w:val="22"/>
        </w:rPr>
        <w:t xml:space="preserve">Medziročný rozdiel bol spôsobený najmä vyplatením trinásteho dôchodku, rastom priemernej mzdy, či dôchodcovskou infláciou. </w:t>
      </w:r>
    </w:p>
    <w:p w14:paraId="3E934FC8" w14:textId="607D7DE1" w:rsidR="00F53FE5" w:rsidRPr="007B5185" w:rsidRDefault="00D04ABC" w:rsidP="0085799C">
      <w:pPr>
        <w:spacing w:after="120" w:line="240" w:lineRule="auto"/>
        <w:jc w:val="both"/>
        <w:rPr>
          <w:rFonts w:ascii="Times New Roman" w:hAnsi="Times New Roman"/>
          <w:szCs w:val="22"/>
        </w:rPr>
      </w:pPr>
      <w:r w:rsidRPr="0085799C">
        <w:rPr>
          <w:rFonts w:ascii="Times New Roman" w:hAnsi="Times New Roman"/>
          <w:bCs/>
          <w:color w:val="000000" w:themeColor="text1"/>
          <w:szCs w:val="22"/>
          <w:u w:val="single"/>
        </w:rPr>
        <w:t>Ministerstvo financií SR</w:t>
      </w:r>
      <w:r w:rsidRPr="0085799C">
        <w:rPr>
          <w:rFonts w:ascii="Times New Roman" w:hAnsi="Times New Roman"/>
          <w:bCs/>
          <w:color w:val="000000" w:themeColor="text1"/>
          <w:szCs w:val="22"/>
        </w:rPr>
        <w:t xml:space="preserve"> vykazuje náklady na transfery v</w:t>
      </w:r>
      <w:r w:rsidR="003C2020" w:rsidRPr="007B5185">
        <w:rPr>
          <w:rFonts w:ascii="Times New Roman" w:hAnsi="Times New Roman"/>
          <w:color w:val="000000" w:themeColor="text1"/>
          <w:szCs w:val="22"/>
        </w:rPr>
        <w:t> </w:t>
      </w:r>
      <w:r w:rsidRPr="0085799C">
        <w:rPr>
          <w:rFonts w:ascii="Times New Roman" w:hAnsi="Times New Roman"/>
          <w:bCs/>
          <w:color w:val="000000" w:themeColor="text1"/>
          <w:szCs w:val="22"/>
        </w:rPr>
        <w:t>hodnote</w:t>
      </w:r>
      <w:r w:rsidRPr="007B5185">
        <w:rPr>
          <w:rFonts w:ascii="Times New Roman" w:hAnsi="Times New Roman"/>
          <w:color w:val="000000" w:themeColor="text1"/>
          <w:szCs w:val="22"/>
        </w:rPr>
        <w:t xml:space="preserve"> </w:t>
      </w:r>
      <w:r w:rsidR="00222841" w:rsidRPr="0085799C">
        <w:rPr>
          <w:rFonts w:ascii="Times New Roman" w:hAnsi="Times New Roman"/>
          <w:bCs/>
          <w:color w:val="000000" w:themeColor="text1"/>
          <w:szCs w:val="22"/>
        </w:rPr>
        <w:t>10</w:t>
      </w:r>
      <w:r w:rsidR="00222841" w:rsidRPr="007B5185">
        <w:rPr>
          <w:rFonts w:ascii="Times New Roman" w:hAnsi="Times New Roman"/>
          <w:color w:val="000000" w:themeColor="text1"/>
          <w:szCs w:val="22"/>
        </w:rPr>
        <w:t> </w:t>
      </w:r>
      <w:r w:rsidR="00222841" w:rsidRPr="0085799C">
        <w:rPr>
          <w:rFonts w:ascii="Times New Roman" w:hAnsi="Times New Roman"/>
          <w:bCs/>
          <w:color w:val="000000" w:themeColor="text1"/>
          <w:szCs w:val="22"/>
        </w:rPr>
        <w:t>590</w:t>
      </w:r>
      <w:r w:rsidR="003C2020" w:rsidRPr="007B5185">
        <w:rPr>
          <w:rFonts w:ascii="Times New Roman" w:hAnsi="Times New Roman"/>
          <w:color w:val="000000" w:themeColor="text1"/>
          <w:szCs w:val="22"/>
        </w:rPr>
        <w:t> </w:t>
      </w:r>
      <w:r w:rsidR="00222841" w:rsidRPr="0085799C">
        <w:rPr>
          <w:rFonts w:ascii="Times New Roman" w:hAnsi="Times New Roman"/>
          <w:bCs/>
          <w:color w:val="000000" w:themeColor="text1"/>
          <w:szCs w:val="22"/>
        </w:rPr>
        <w:t>536</w:t>
      </w:r>
      <w:r w:rsidRPr="0085799C">
        <w:rPr>
          <w:rFonts w:ascii="Times New Roman" w:hAnsi="Times New Roman"/>
          <w:bCs/>
          <w:color w:val="000000" w:themeColor="text1"/>
          <w:szCs w:val="22"/>
        </w:rPr>
        <w:t> tis. eur</w:t>
      </w:r>
      <w:r w:rsidR="00EC50FF" w:rsidRPr="007B5185">
        <w:rPr>
          <w:rFonts w:ascii="Times New Roman" w:hAnsi="Times New Roman"/>
          <w:color w:val="000000" w:themeColor="text1"/>
          <w:szCs w:val="22"/>
        </w:rPr>
        <w:t xml:space="preserve"> </w:t>
      </w:r>
      <w:r w:rsidRPr="0085799C">
        <w:rPr>
          <w:rFonts w:ascii="Times New Roman" w:hAnsi="Times New Roman"/>
          <w:bCs/>
          <w:color w:val="000000" w:themeColor="text1"/>
          <w:szCs w:val="22"/>
        </w:rPr>
        <w:t>(202</w:t>
      </w:r>
      <w:r w:rsidR="00222841" w:rsidRPr="0085799C">
        <w:rPr>
          <w:rFonts w:ascii="Times New Roman" w:hAnsi="Times New Roman"/>
          <w:bCs/>
          <w:color w:val="000000" w:themeColor="text1"/>
          <w:szCs w:val="22"/>
        </w:rPr>
        <w:t>3</w:t>
      </w:r>
      <w:r w:rsidRPr="0085799C">
        <w:rPr>
          <w:rFonts w:ascii="Times New Roman" w:hAnsi="Times New Roman"/>
          <w:bCs/>
          <w:color w:val="000000" w:themeColor="text1"/>
          <w:szCs w:val="22"/>
        </w:rPr>
        <w:t xml:space="preserve">: </w:t>
      </w:r>
      <w:r w:rsidR="00523C07" w:rsidRPr="0085799C">
        <w:rPr>
          <w:rFonts w:ascii="Times New Roman" w:hAnsi="Times New Roman"/>
          <w:bCs/>
          <w:color w:val="000000" w:themeColor="text1"/>
          <w:szCs w:val="22"/>
        </w:rPr>
        <w:t>13 432</w:t>
      </w:r>
      <w:r w:rsidR="001B08C3" w:rsidRPr="007B5185">
        <w:rPr>
          <w:rFonts w:ascii="Times New Roman" w:hAnsi="Times New Roman"/>
          <w:color w:val="000000" w:themeColor="text1"/>
          <w:szCs w:val="22"/>
        </w:rPr>
        <w:t> </w:t>
      </w:r>
      <w:r w:rsidR="00523C07" w:rsidRPr="0085799C">
        <w:rPr>
          <w:rFonts w:ascii="Times New Roman" w:hAnsi="Times New Roman"/>
          <w:bCs/>
          <w:color w:val="000000" w:themeColor="text1"/>
          <w:szCs w:val="22"/>
        </w:rPr>
        <w:t>076</w:t>
      </w:r>
      <w:r w:rsidRPr="0085799C">
        <w:rPr>
          <w:rFonts w:ascii="Times New Roman" w:hAnsi="Times New Roman"/>
          <w:bCs/>
          <w:color w:val="000000" w:themeColor="text1"/>
          <w:szCs w:val="22"/>
        </w:rPr>
        <w:t xml:space="preserve"> tis. eur, eliminácia v rámci súhrnného celku </w:t>
      </w:r>
      <w:r w:rsidR="008740F6" w:rsidRPr="0085799C">
        <w:rPr>
          <w:rFonts w:ascii="Times New Roman" w:hAnsi="Times New Roman"/>
          <w:bCs/>
          <w:color w:val="000000" w:themeColor="text1"/>
          <w:szCs w:val="22"/>
        </w:rPr>
        <w:t>3</w:t>
      </w:r>
      <w:r w:rsidR="001B08C3" w:rsidRPr="007B5185">
        <w:rPr>
          <w:rFonts w:ascii="Times New Roman" w:hAnsi="Times New Roman"/>
          <w:color w:val="000000" w:themeColor="text1"/>
          <w:szCs w:val="22"/>
        </w:rPr>
        <w:t> </w:t>
      </w:r>
      <w:r w:rsidR="008740F6" w:rsidRPr="0085799C">
        <w:rPr>
          <w:rFonts w:ascii="Times New Roman" w:hAnsi="Times New Roman"/>
          <w:bCs/>
          <w:color w:val="000000" w:themeColor="text1"/>
          <w:szCs w:val="22"/>
        </w:rPr>
        <w:t>704</w:t>
      </w:r>
      <w:r w:rsidR="001B08C3" w:rsidRPr="007B5185">
        <w:rPr>
          <w:rFonts w:ascii="Times New Roman" w:hAnsi="Times New Roman"/>
          <w:color w:val="000000" w:themeColor="text1"/>
          <w:szCs w:val="22"/>
        </w:rPr>
        <w:t> </w:t>
      </w:r>
      <w:r w:rsidR="008740F6" w:rsidRPr="0085799C">
        <w:rPr>
          <w:rFonts w:ascii="Times New Roman" w:hAnsi="Times New Roman"/>
          <w:bCs/>
          <w:color w:val="000000" w:themeColor="text1"/>
          <w:szCs w:val="22"/>
        </w:rPr>
        <w:t>223</w:t>
      </w:r>
      <w:r w:rsidRPr="0085799C">
        <w:rPr>
          <w:rFonts w:ascii="Times New Roman" w:hAnsi="Times New Roman"/>
          <w:bCs/>
          <w:color w:val="000000" w:themeColor="text1"/>
          <w:szCs w:val="22"/>
        </w:rPr>
        <w:t> tis. eur),</w:t>
      </w:r>
      <w:r w:rsidRPr="0085799C">
        <w:rPr>
          <w:rFonts w:ascii="Times New Roman" w:hAnsi="Times New Roman"/>
          <w:bCs/>
          <w:color w:val="FF0000"/>
          <w:szCs w:val="22"/>
        </w:rPr>
        <w:t xml:space="preserve"> </w:t>
      </w:r>
      <w:r w:rsidRPr="0085799C">
        <w:rPr>
          <w:rFonts w:ascii="Times New Roman" w:hAnsi="Times New Roman"/>
          <w:bCs/>
          <w:color w:val="000000" w:themeColor="text1"/>
          <w:szCs w:val="22"/>
        </w:rPr>
        <w:t>ktoré boli poskytnuté zo štátneho rozpočtu ostatným subjektom</w:t>
      </w:r>
      <w:r w:rsidR="000D3F2C" w:rsidRPr="0085799C">
        <w:rPr>
          <w:rFonts w:ascii="Times New Roman" w:hAnsi="Times New Roman"/>
          <w:bCs/>
          <w:color w:val="000000" w:themeColor="text1"/>
          <w:szCs w:val="22"/>
        </w:rPr>
        <w:t xml:space="preserve"> (bez hodnoty nákladov na odvod do rozpočtu EÚ)</w:t>
      </w:r>
      <w:r w:rsidRPr="0085799C">
        <w:rPr>
          <w:rFonts w:ascii="Times New Roman" w:hAnsi="Times New Roman"/>
          <w:bCs/>
          <w:color w:val="000000" w:themeColor="text1"/>
          <w:szCs w:val="22"/>
        </w:rPr>
        <w:t>, podnikateľským subjektom a obyvateľstvu.</w:t>
      </w:r>
      <w:r w:rsidRPr="0085799C">
        <w:rPr>
          <w:rFonts w:ascii="Times New Roman" w:hAnsi="Times New Roman"/>
          <w:bCs/>
          <w:color w:val="FF0000"/>
          <w:szCs w:val="22"/>
        </w:rPr>
        <w:t xml:space="preserve"> </w:t>
      </w:r>
      <w:r w:rsidRPr="0085799C">
        <w:rPr>
          <w:rFonts w:ascii="Times New Roman" w:hAnsi="Times New Roman"/>
          <w:bCs/>
          <w:szCs w:val="22"/>
        </w:rPr>
        <w:t xml:space="preserve">Medziročné </w:t>
      </w:r>
      <w:r w:rsidR="000D3F2C" w:rsidRPr="0085799C">
        <w:rPr>
          <w:rFonts w:ascii="Times New Roman" w:hAnsi="Times New Roman"/>
          <w:bCs/>
          <w:szCs w:val="22"/>
        </w:rPr>
        <w:t>zníženie</w:t>
      </w:r>
      <w:r w:rsidRPr="0085799C">
        <w:rPr>
          <w:rFonts w:ascii="Times New Roman" w:hAnsi="Times New Roman"/>
          <w:bCs/>
          <w:szCs w:val="22"/>
        </w:rPr>
        <w:t xml:space="preserve"> nákladov na transfery zo štátneho rozpočtu, ktoré sú na hotovostnej báze realizované jednotlivými kapitolami štátneho rozpočtu, a o ktorých účtovalo Ministerstvo financií SR, bolo vo výške </w:t>
      </w:r>
      <w:r w:rsidR="00CF77EB" w:rsidRPr="0085799C">
        <w:rPr>
          <w:rFonts w:ascii="Times New Roman" w:hAnsi="Times New Roman"/>
          <w:bCs/>
          <w:szCs w:val="22"/>
        </w:rPr>
        <w:t>2</w:t>
      </w:r>
      <w:r w:rsidR="001B08C3" w:rsidRPr="007B5185">
        <w:rPr>
          <w:rFonts w:ascii="Times New Roman" w:hAnsi="Times New Roman"/>
          <w:szCs w:val="22"/>
        </w:rPr>
        <w:t> </w:t>
      </w:r>
      <w:r w:rsidR="00CF77EB" w:rsidRPr="0085799C">
        <w:rPr>
          <w:rFonts w:ascii="Times New Roman" w:hAnsi="Times New Roman"/>
          <w:bCs/>
          <w:szCs w:val="22"/>
        </w:rPr>
        <w:t>841</w:t>
      </w:r>
      <w:r w:rsidR="001B08C3" w:rsidRPr="007B5185">
        <w:rPr>
          <w:rFonts w:ascii="Times New Roman" w:hAnsi="Times New Roman"/>
          <w:szCs w:val="22"/>
        </w:rPr>
        <w:t> </w:t>
      </w:r>
      <w:r w:rsidR="00CF77EB" w:rsidRPr="0085799C">
        <w:rPr>
          <w:rFonts w:ascii="Times New Roman" w:hAnsi="Times New Roman"/>
          <w:bCs/>
          <w:szCs w:val="22"/>
        </w:rPr>
        <w:t>840</w:t>
      </w:r>
      <w:r w:rsidRPr="0085799C">
        <w:rPr>
          <w:rFonts w:ascii="Times New Roman" w:hAnsi="Times New Roman"/>
          <w:bCs/>
          <w:szCs w:val="22"/>
        </w:rPr>
        <w:t xml:space="preserve"> tis. eur, a to vplyvom </w:t>
      </w:r>
      <w:r w:rsidR="00CF77EB" w:rsidRPr="0085799C">
        <w:rPr>
          <w:rFonts w:ascii="Times New Roman" w:hAnsi="Times New Roman"/>
          <w:bCs/>
          <w:szCs w:val="22"/>
        </w:rPr>
        <w:t xml:space="preserve">vyššej miery konsolidácie </w:t>
      </w:r>
      <w:r w:rsidRPr="0085799C">
        <w:rPr>
          <w:rFonts w:ascii="Times New Roman" w:hAnsi="Times New Roman"/>
          <w:bCs/>
          <w:szCs w:val="22"/>
        </w:rPr>
        <w:t xml:space="preserve">nákladov na transfery </w:t>
      </w:r>
      <w:r w:rsidR="001319B6" w:rsidRPr="0085799C">
        <w:rPr>
          <w:rFonts w:ascii="Times New Roman" w:hAnsi="Times New Roman"/>
          <w:bCs/>
          <w:szCs w:val="22"/>
        </w:rPr>
        <w:t xml:space="preserve">s </w:t>
      </w:r>
      <w:r w:rsidRPr="0085799C">
        <w:rPr>
          <w:rFonts w:ascii="Times New Roman" w:hAnsi="Times New Roman"/>
          <w:bCs/>
          <w:szCs w:val="22"/>
        </w:rPr>
        <w:t>ostatným</w:t>
      </w:r>
      <w:r w:rsidR="001319B6" w:rsidRPr="0085799C">
        <w:rPr>
          <w:rFonts w:ascii="Times New Roman" w:hAnsi="Times New Roman"/>
          <w:bCs/>
          <w:szCs w:val="22"/>
        </w:rPr>
        <w:t>i</w:t>
      </w:r>
      <w:r w:rsidRPr="0085799C">
        <w:rPr>
          <w:rFonts w:ascii="Times New Roman" w:hAnsi="Times New Roman"/>
          <w:bCs/>
          <w:szCs w:val="22"/>
        </w:rPr>
        <w:t xml:space="preserve"> subjektm</w:t>
      </w:r>
      <w:r w:rsidR="001319B6" w:rsidRPr="0085799C">
        <w:rPr>
          <w:rFonts w:ascii="Times New Roman" w:hAnsi="Times New Roman"/>
          <w:bCs/>
          <w:szCs w:val="22"/>
        </w:rPr>
        <w:t>i</w:t>
      </w:r>
      <w:r w:rsidRPr="0085799C">
        <w:rPr>
          <w:rFonts w:ascii="Times New Roman" w:hAnsi="Times New Roman"/>
          <w:bCs/>
          <w:szCs w:val="22"/>
        </w:rPr>
        <w:t xml:space="preserve"> v rámci verejnej správy</w:t>
      </w:r>
      <w:r w:rsidR="001319B6" w:rsidRPr="0085799C">
        <w:rPr>
          <w:rFonts w:ascii="Times New Roman" w:hAnsi="Times New Roman"/>
          <w:bCs/>
          <w:szCs w:val="22"/>
        </w:rPr>
        <w:t>.</w:t>
      </w:r>
    </w:p>
    <w:p w14:paraId="7065952A" w14:textId="54651685" w:rsidR="00D3452F" w:rsidRPr="007B5185" w:rsidRDefault="00647542" w:rsidP="007B5185">
      <w:pPr>
        <w:pStyle w:val="Pismenka"/>
        <w:tabs>
          <w:tab w:val="clear" w:pos="426"/>
        </w:tabs>
        <w:spacing w:after="120"/>
        <w:ind w:left="0" w:firstLine="0"/>
        <w:rPr>
          <w:b w:val="0"/>
          <w:color w:val="000000" w:themeColor="text1"/>
          <w:sz w:val="22"/>
          <w:szCs w:val="22"/>
        </w:rPr>
      </w:pPr>
      <w:r w:rsidRPr="007B5185">
        <w:rPr>
          <w:b w:val="0"/>
          <w:color w:val="000000" w:themeColor="text1"/>
          <w:sz w:val="22"/>
          <w:szCs w:val="22"/>
        </w:rPr>
        <w:t>Obce a vyššie územné celky poskytujú bežné a kapitálové transfery zo svojho rozpočtu (transfery svojím rozpočtovým, príspevkovým a obchodným organizáciám sú predmetom eliminácií) aj ostatným subjektom verejnej správy</w:t>
      </w:r>
      <w:r w:rsidR="004E3B4B" w:rsidRPr="0085799C">
        <w:rPr>
          <w:b w:val="0"/>
          <w:bCs w:val="0"/>
          <w:color w:val="000000" w:themeColor="text1"/>
          <w:sz w:val="22"/>
          <w:szCs w:val="22"/>
        </w:rPr>
        <w:t>,</w:t>
      </w:r>
      <w:r w:rsidRPr="007B5185">
        <w:rPr>
          <w:b w:val="0"/>
          <w:color w:val="000000" w:themeColor="text1"/>
          <w:sz w:val="22"/>
          <w:szCs w:val="22"/>
        </w:rPr>
        <w:t xml:space="preserve"> resp. mimo verejnej správy. Spolu vykázali </w:t>
      </w:r>
      <w:r w:rsidR="0075674B" w:rsidRPr="0085799C">
        <w:rPr>
          <w:b w:val="0"/>
          <w:bCs w:val="0"/>
          <w:color w:val="000000" w:themeColor="text1"/>
          <w:sz w:val="22"/>
          <w:szCs w:val="22"/>
        </w:rPr>
        <w:t>665</w:t>
      </w:r>
      <w:r w:rsidR="001B08C3" w:rsidRPr="007B5185">
        <w:rPr>
          <w:b w:val="0"/>
          <w:color w:val="000000" w:themeColor="text1"/>
          <w:sz w:val="22"/>
          <w:szCs w:val="22"/>
        </w:rPr>
        <w:t> </w:t>
      </w:r>
      <w:r w:rsidR="0075674B" w:rsidRPr="0085799C">
        <w:rPr>
          <w:b w:val="0"/>
          <w:bCs w:val="0"/>
          <w:color w:val="000000" w:themeColor="text1"/>
          <w:sz w:val="22"/>
          <w:szCs w:val="22"/>
        </w:rPr>
        <w:t>871</w:t>
      </w:r>
      <w:r w:rsidR="001B08C3" w:rsidRPr="007B5185">
        <w:rPr>
          <w:b w:val="0"/>
          <w:color w:val="000000" w:themeColor="text1"/>
          <w:sz w:val="22"/>
          <w:szCs w:val="22"/>
        </w:rPr>
        <w:t> </w:t>
      </w:r>
      <w:r w:rsidRPr="007B5185">
        <w:rPr>
          <w:b w:val="0"/>
          <w:color w:val="000000" w:themeColor="text1"/>
          <w:sz w:val="22"/>
          <w:szCs w:val="22"/>
        </w:rPr>
        <w:t>tis. eur</w:t>
      </w:r>
      <w:r w:rsidR="001B08C3" w:rsidRPr="007B5185">
        <w:rPr>
          <w:b w:val="0"/>
          <w:color w:val="000000" w:themeColor="text1"/>
          <w:sz w:val="22"/>
          <w:szCs w:val="22"/>
        </w:rPr>
        <w:t xml:space="preserve"> </w:t>
      </w:r>
      <w:r w:rsidRPr="007B5185">
        <w:rPr>
          <w:b w:val="0"/>
          <w:color w:val="000000" w:themeColor="text1"/>
          <w:sz w:val="22"/>
          <w:szCs w:val="22"/>
        </w:rPr>
        <w:t>(202</w:t>
      </w:r>
      <w:r w:rsidR="003D21EB" w:rsidRPr="0085799C">
        <w:rPr>
          <w:b w:val="0"/>
          <w:bCs w:val="0"/>
          <w:color w:val="000000" w:themeColor="text1"/>
          <w:sz w:val="22"/>
          <w:szCs w:val="22"/>
        </w:rPr>
        <w:t>3</w:t>
      </w:r>
      <w:r w:rsidRPr="007B5185">
        <w:rPr>
          <w:b w:val="0"/>
          <w:color w:val="000000" w:themeColor="text1"/>
          <w:sz w:val="22"/>
          <w:szCs w:val="22"/>
        </w:rPr>
        <w:t xml:space="preserve">: </w:t>
      </w:r>
      <w:r w:rsidR="003D21EB" w:rsidRPr="0085799C">
        <w:rPr>
          <w:b w:val="0"/>
          <w:bCs w:val="0"/>
          <w:color w:val="000000" w:themeColor="text1"/>
          <w:sz w:val="22"/>
          <w:szCs w:val="22"/>
        </w:rPr>
        <w:t>659 679 </w:t>
      </w:r>
      <w:r w:rsidRPr="007B5185">
        <w:rPr>
          <w:b w:val="0"/>
          <w:color w:val="000000" w:themeColor="text1"/>
          <w:sz w:val="22"/>
          <w:szCs w:val="22"/>
        </w:rPr>
        <w:t xml:space="preserve">tis. eur), z toho obce </w:t>
      </w:r>
      <w:r w:rsidR="0075674B" w:rsidRPr="0085799C">
        <w:rPr>
          <w:b w:val="0"/>
          <w:bCs w:val="0"/>
          <w:color w:val="000000" w:themeColor="text1"/>
          <w:sz w:val="22"/>
          <w:szCs w:val="22"/>
        </w:rPr>
        <w:t>318 232</w:t>
      </w:r>
      <w:r w:rsidRPr="007B5185">
        <w:rPr>
          <w:b w:val="0"/>
          <w:color w:val="000000" w:themeColor="text1"/>
          <w:sz w:val="22"/>
          <w:szCs w:val="22"/>
        </w:rPr>
        <w:t xml:space="preserve"> tis. eur a vyššie územné celky </w:t>
      </w:r>
      <w:r w:rsidR="0075674B" w:rsidRPr="0085799C">
        <w:rPr>
          <w:b w:val="0"/>
          <w:bCs w:val="0"/>
          <w:color w:val="000000" w:themeColor="text1"/>
          <w:sz w:val="22"/>
          <w:szCs w:val="22"/>
        </w:rPr>
        <w:t>347</w:t>
      </w:r>
      <w:r w:rsidR="001B08C3" w:rsidRPr="007B5185">
        <w:rPr>
          <w:b w:val="0"/>
          <w:color w:val="000000" w:themeColor="text1"/>
          <w:sz w:val="22"/>
          <w:szCs w:val="22"/>
        </w:rPr>
        <w:t> </w:t>
      </w:r>
      <w:r w:rsidR="0075674B" w:rsidRPr="0085799C">
        <w:rPr>
          <w:b w:val="0"/>
          <w:bCs w:val="0"/>
          <w:color w:val="000000" w:themeColor="text1"/>
          <w:sz w:val="22"/>
          <w:szCs w:val="22"/>
        </w:rPr>
        <w:t>640</w:t>
      </w:r>
      <w:r w:rsidRPr="007B5185">
        <w:rPr>
          <w:b w:val="0"/>
          <w:color w:val="000000" w:themeColor="text1"/>
          <w:sz w:val="22"/>
          <w:szCs w:val="22"/>
        </w:rPr>
        <w:t> tis. eur.</w:t>
      </w:r>
    </w:p>
    <w:p w14:paraId="5370F1CD" w14:textId="77777777" w:rsidR="004026E9" w:rsidRPr="0085799C" w:rsidRDefault="004026E9" w:rsidP="007B5185">
      <w:pPr>
        <w:pStyle w:val="Pismenka"/>
        <w:tabs>
          <w:tab w:val="clear" w:pos="426"/>
        </w:tabs>
        <w:spacing w:after="120"/>
        <w:rPr>
          <w:b w:val="0"/>
          <w:color w:val="000000" w:themeColor="text1"/>
          <w:sz w:val="22"/>
          <w:szCs w:val="22"/>
        </w:rPr>
      </w:pPr>
    </w:p>
    <w:p w14:paraId="7E08A781" w14:textId="2EF6EE9E" w:rsidR="00EC50FF" w:rsidRPr="0085799C" w:rsidRDefault="00EC50FF" w:rsidP="0085799C">
      <w:pPr>
        <w:pStyle w:val="Nadpis3"/>
        <w:numPr>
          <w:ilvl w:val="0"/>
          <w:numId w:val="10"/>
        </w:numPr>
        <w:ind w:left="709"/>
      </w:pPr>
      <w:r>
        <w:t>Spotrebované nákupy a služby</w:t>
      </w:r>
    </w:p>
    <w:p w14:paraId="3AED16E9" w14:textId="059620BF" w:rsidR="00647542" w:rsidRPr="00EE0FA7" w:rsidRDefault="00647542" w:rsidP="00EE0FA7">
      <w:pPr>
        <w:pStyle w:val="Pismenka"/>
        <w:tabs>
          <w:tab w:val="clear" w:pos="426"/>
        </w:tabs>
        <w:spacing w:after="120"/>
        <w:ind w:left="0" w:firstLine="0"/>
        <w:rPr>
          <w:b w:val="0"/>
          <w:color w:val="000000" w:themeColor="text1"/>
          <w:sz w:val="22"/>
          <w:szCs w:val="22"/>
        </w:rPr>
      </w:pPr>
      <w:r w:rsidRPr="00EE0FA7">
        <w:rPr>
          <w:b w:val="0"/>
          <w:color w:val="000000" w:themeColor="text1"/>
          <w:sz w:val="22"/>
          <w:szCs w:val="22"/>
        </w:rPr>
        <w:t xml:space="preserve">V rámci týchto nákladov tvoria najvyššiu hodnotu náklady na </w:t>
      </w:r>
      <w:r w:rsidRPr="00EE0FA7">
        <w:rPr>
          <w:b w:val="0"/>
          <w:color w:val="000000" w:themeColor="text1"/>
          <w:sz w:val="22"/>
          <w:szCs w:val="22"/>
          <w:u w:val="single"/>
        </w:rPr>
        <w:t>služby</w:t>
      </w:r>
      <w:r w:rsidRPr="00EE0FA7">
        <w:rPr>
          <w:b w:val="0"/>
          <w:color w:val="000000" w:themeColor="text1"/>
          <w:sz w:val="22"/>
          <w:szCs w:val="22"/>
        </w:rPr>
        <w:t xml:space="preserve"> </w:t>
      </w:r>
      <w:r w:rsidR="000A60C3" w:rsidRPr="0085799C">
        <w:rPr>
          <w:b w:val="0"/>
          <w:bCs w:val="0"/>
          <w:color w:val="000000" w:themeColor="text1"/>
          <w:sz w:val="22"/>
          <w:szCs w:val="22"/>
        </w:rPr>
        <w:t>8 134</w:t>
      </w:r>
      <w:r w:rsidR="001B08C3">
        <w:rPr>
          <w:b w:val="0"/>
          <w:bCs w:val="0"/>
          <w:color w:val="000000" w:themeColor="text1"/>
          <w:sz w:val="22"/>
          <w:szCs w:val="22"/>
        </w:rPr>
        <w:t> </w:t>
      </w:r>
      <w:r w:rsidR="000A60C3" w:rsidRPr="0085799C">
        <w:rPr>
          <w:b w:val="0"/>
          <w:bCs w:val="0"/>
          <w:color w:val="000000" w:themeColor="text1"/>
          <w:sz w:val="22"/>
          <w:szCs w:val="22"/>
        </w:rPr>
        <w:t>911</w:t>
      </w:r>
      <w:r w:rsidR="001B08C3">
        <w:rPr>
          <w:b w:val="0"/>
          <w:bCs w:val="0"/>
          <w:color w:val="000000" w:themeColor="text1"/>
          <w:sz w:val="22"/>
          <w:szCs w:val="22"/>
        </w:rPr>
        <w:t> </w:t>
      </w:r>
      <w:r w:rsidRPr="00EE0FA7">
        <w:rPr>
          <w:b w:val="0"/>
          <w:color w:val="000000" w:themeColor="text1"/>
          <w:sz w:val="22"/>
          <w:szCs w:val="22"/>
        </w:rPr>
        <w:t>tis. eur (202</w:t>
      </w:r>
      <w:r w:rsidR="00226A09" w:rsidRPr="0085799C">
        <w:rPr>
          <w:b w:val="0"/>
          <w:bCs w:val="0"/>
          <w:color w:val="000000" w:themeColor="text1"/>
          <w:sz w:val="22"/>
          <w:szCs w:val="22"/>
        </w:rPr>
        <w:t>3</w:t>
      </w:r>
      <w:r w:rsidRPr="00EE0FA7">
        <w:rPr>
          <w:b w:val="0"/>
          <w:color w:val="000000" w:themeColor="text1"/>
          <w:sz w:val="22"/>
          <w:szCs w:val="22"/>
        </w:rPr>
        <w:t>:</w:t>
      </w:r>
      <w:r w:rsidR="001B08C3">
        <w:rPr>
          <w:b w:val="0"/>
          <w:bCs w:val="0"/>
          <w:color w:val="000000" w:themeColor="text1"/>
          <w:sz w:val="22"/>
          <w:szCs w:val="22"/>
        </w:rPr>
        <w:t xml:space="preserve"> </w:t>
      </w:r>
      <w:r w:rsidR="00226A09" w:rsidRPr="0085799C">
        <w:rPr>
          <w:b w:val="0"/>
          <w:bCs w:val="0"/>
          <w:color w:val="000000" w:themeColor="text1"/>
          <w:sz w:val="22"/>
          <w:szCs w:val="22"/>
        </w:rPr>
        <w:t>7 823 594</w:t>
      </w:r>
      <w:r w:rsidRPr="00EE0FA7">
        <w:rPr>
          <w:b w:val="0"/>
          <w:color w:val="000000" w:themeColor="text1"/>
          <w:sz w:val="22"/>
          <w:szCs w:val="22"/>
        </w:rPr>
        <w:t xml:space="preserve"> tis. eur), </w:t>
      </w:r>
      <w:r w:rsidRPr="00EE0FA7">
        <w:rPr>
          <w:b w:val="0"/>
          <w:color w:val="000000" w:themeColor="text1"/>
          <w:sz w:val="22"/>
          <w:szCs w:val="22"/>
          <w:u w:val="single"/>
        </w:rPr>
        <w:t>spotrebu materiálu</w:t>
      </w:r>
      <w:r w:rsidR="001B08C3">
        <w:rPr>
          <w:b w:val="0"/>
          <w:color w:val="000000" w:themeColor="text1"/>
          <w:sz w:val="22"/>
          <w:szCs w:val="22"/>
        </w:rPr>
        <w:t xml:space="preserve"> </w:t>
      </w:r>
      <w:r w:rsidR="000A60C3" w:rsidRPr="0085799C">
        <w:rPr>
          <w:b w:val="0"/>
          <w:bCs w:val="0"/>
          <w:color w:val="000000" w:themeColor="text1"/>
          <w:sz w:val="22"/>
          <w:szCs w:val="22"/>
        </w:rPr>
        <w:t>4 604</w:t>
      </w:r>
      <w:r w:rsidR="001B08C3">
        <w:rPr>
          <w:b w:val="0"/>
          <w:bCs w:val="0"/>
          <w:color w:val="000000" w:themeColor="text1"/>
          <w:sz w:val="22"/>
          <w:szCs w:val="22"/>
        </w:rPr>
        <w:t> </w:t>
      </w:r>
      <w:r w:rsidR="000A60C3" w:rsidRPr="0085799C">
        <w:rPr>
          <w:b w:val="0"/>
          <w:bCs w:val="0"/>
          <w:color w:val="000000" w:themeColor="text1"/>
          <w:sz w:val="22"/>
          <w:szCs w:val="22"/>
        </w:rPr>
        <w:t>609</w:t>
      </w:r>
      <w:r w:rsidR="001B08C3">
        <w:rPr>
          <w:b w:val="0"/>
          <w:bCs w:val="0"/>
          <w:color w:val="000000" w:themeColor="text1"/>
          <w:sz w:val="22"/>
          <w:szCs w:val="22"/>
        </w:rPr>
        <w:t> </w:t>
      </w:r>
      <w:r w:rsidRPr="00EE0FA7">
        <w:rPr>
          <w:b w:val="0"/>
          <w:color w:val="000000" w:themeColor="text1"/>
          <w:sz w:val="22"/>
          <w:szCs w:val="22"/>
        </w:rPr>
        <w:t>tis. eur (202</w:t>
      </w:r>
      <w:r w:rsidR="000A60C3" w:rsidRPr="0085799C">
        <w:rPr>
          <w:b w:val="0"/>
          <w:bCs w:val="0"/>
          <w:color w:val="000000" w:themeColor="text1"/>
          <w:sz w:val="22"/>
          <w:szCs w:val="22"/>
        </w:rPr>
        <w:t>3</w:t>
      </w:r>
      <w:r w:rsidRPr="00EE0FA7">
        <w:rPr>
          <w:b w:val="0"/>
          <w:color w:val="000000" w:themeColor="text1"/>
          <w:sz w:val="22"/>
          <w:szCs w:val="22"/>
        </w:rPr>
        <w:t xml:space="preserve">: </w:t>
      </w:r>
      <w:r w:rsidR="000A60C3" w:rsidRPr="0085799C">
        <w:rPr>
          <w:b w:val="0"/>
          <w:bCs w:val="0"/>
          <w:color w:val="000000" w:themeColor="text1"/>
          <w:sz w:val="22"/>
          <w:szCs w:val="22"/>
        </w:rPr>
        <w:t>5 101</w:t>
      </w:r>
      <w:r w:rsidR="001B08C3">
        <w:rPr>
          <w:b w:val="0"/>
          <w:bCs w:val="0"/>
          <w:color w:val="000000" w:themeColor="text1"/>
          <w:sz w:val="22"/>
          <w:szCs w:val="22"/>
        </w:rPr>
        <w:t> </w:t>
      </w:r>
      <w:r w:rsidR="000A60C3" w:rsidRPr="0085799C">
        <w:rPr>
          <w:b w:val="0"/>
          <w:bCs w:val="0"/>
          <w:color w:val="000000" w:themeColor="text1"/>
          <w:sz w:val="22"/>
          <w:szCs w:val="22"/>
        </w:rPr>
        <w:t>650</w:t>
      </w:r>
      <w:r w:rsidR="001B08C3">
        <w:rPr>
          <w:b w:val="0"/>
          <w:bCs w:val="0"/>
          <w:color w:val="000000" w:themeColor="text1"/>
          <w:sz w:val="22"/>
          <w:szCs w:val="22"/>
        </w:rPr>
        <w:t> </w:t>
      </w:r>
      <w:r w:rsidRPr="00EE0FA7">
        <w:rPr>
          <w:b w:val="0"/>
          <w:color w:val="000000" w:themeColor="text1"/>
          <w:sz w:val="22"/>
          <w:szCs w:val="22"/>
        </w:rPr>
        <w:t>tis. eur),</w:t>
      </w:r>
      <w:r w:rsidRPr="00EE0FA7">
        <w:rPr>
          <w:b w:val="0"/>
          <w:color w:val="FF0000"/>
          <w:sz w:val="22"/>
          <w:szCs w:val="22"/>
        </w:rPr>
        <w:t xml:space="preserve"> </w:t>
      </w:r>
      <w:r w:rsidRPr="00EE0FA7">
        <w:rPr>
          <w:b w:val="0"/>
          <w:color w:val="000000" w:themeColor="text1"/>
          <w:sz w:val="22"/>
          <w:szCs w:val="22"/>
          <w:u w:val="single"/>
        </w:rPr>
        <w:t>predaný tovar</w:t>
      </w:r>
      <w:r w:rsidR="00E61C38">
        <w:rPr>
          <w:b w:val="0"/>
          <w:color w:val="000000" w:themeColor="text1"/>
          <w:sz w:val="22"/>
          <w:szCs w:val="22"/>
          <w:u w:val="single"/>
        </w:rPr>
        <w:t xml:space="preserve"> </w:t>
      </w:r>
      <w:r w:rsidRPr="0085799C">
        <w:rPr>
          <w:b w:val="0"/>
          <w:color w:val="000000" w:themeColor="text1"/>
          <w:sz w:val="22"/>
          <w:szCs w:val="22"/>
          <w:u w:val="single"/>
        </w:rPr>
        <w:t>4 </w:t>
      </w:r>
      <w:r w:rsidR="00715909" w:rsidRPr="0085799C">
        <w:rPr>
          <w:b w:val="0"/>
          <w:bCs w:val="0"/>
          <w:color w:val="000000" w:themeColor="text1"/>
          <w:sz w:val="22"/>
          <w:szCs w:val="22"/>
          <w:u w:val="single"/>
        </w:rPr>
        <w:t>113</w:t>
      </w:r>
      <w:r w:rsidR="001B08C3">
        <w:rPr>
          <w:b w:val="0"/>
          <w:bCs w:val="0"/>
          <w:color w:val="000000" w:themeColor="text1"/>
          <w:sz w:val="22"/>
          <w:szCs w:val="22"/>
          <w:u w:val="single"/>
        </w:rPr>
        <w:t> </w:t>
      </w:r>
      <w:r w:rsidR="00715909" w:rsidRPr="0085799C">
        <w:rPr>
          <w:b w:val="0"/>
          <w:bCs w:val="0"/>
          <w:color w:val="000000" w:themeColor="text1"/>
          <w:sz w:val="22"/>
          <w:szCs w:val="22"/>
          <w:u w:val="single"/>
        </w:rPr>
        <w:t>385</w:t>
      </w:r>
      <w:r w:rsidR="001B08C3" w:rsidRPr="00EE0FA7">
        <w:rPr>
          <w:b w:val="0"/>
          <w:color w:val="000000" w:themeColor="text1"/>
          <w:sz w:val="22"/>
          <w:szCs w:val="22"/>
          <w:u w:val="single"/>
        </w:rPr>
        <w:t> </w:t>
      </w:r>
      <w:r w:rsidRPr="0085799C">
        <w:rPr>
          <w:b w:val="0"/>
          <w:color w:val="000000" w:themeColor="text1"/>
          <w:sz w:val="22"/>
          <w:szCs w:val="22"/>
          <w:u w:val="single"/>
        </w:rPr>
        <w:t>tis. eur</w:t>
      </w:r>
      <w:r w:rsidRPr="00EE0FA7">
        <w:rPr>
          <w:b w:val="0"/>
          <w:color w:val="000000" w:themeColor="text1"/>
          <w:sz w:val="22"/>
          <w:szCs w:val="22"/>
        </w:rPr>
        <w:t xml:space="preserve"> (202</w:t>
      </w:r>
      <w:r w:rsidR="000A60C3" w:rsidRPr="0085799C">
        <w:rPr>
          <w:b w:val="0"/>
          <w:bCs w:val="0"/>
          <w:color w:val="000000" w:themeColor="text1"/>
          <w:sz w:val="22"/>
          <w:szCs w:val="22"/>
        </w:rPr>
        <w:t>3</w:t>
      </w:r>
      <w:r w:rsidRPr="00EE0FA7">
        <w:rPr>
          <w:b w:val="0"/>
          <w:color w:val="000000" w:themeColor="text1"/>
          <w:sz w:val="22"/>
          <w:szCs w:val="22"/>
        </w:rPr>
        <w:t xml:space="preserve">: </w:t>
      </w:r>
      <w:r w:rsidR="000A60C3" w:rsidRPr="0085799C">
        <w:rPr>
          <w:b w:val="0"/>
          <w:bCs w:val="0"/>
          <w:color w:val="000000" w:themeColor="text1"/>
          <w:sz w:val="22"/>
          <w:szCs w:val="22"/>
        </w:rPr>
        <w:t>4 103 249 </w:t>
      </w:r>
      <w:r w:rsidRPr="00EE0FA7">
        <w:rPr>
          <w:b w:val="0"/>
          <w:color w:val="000000" w:themeColor="text1"/>
          <w:sz w:val="22"/>
          <w:szCs w:val="22"/>
        </w:rPr>
        <w:t xml:space="preserve">tis. eur) a </w:t>
      </w:r>
      <w:r w:rsidRPr="00EE0FA7">
        <w:rPr>
          <w:b w:val="0"/>
          <w:color w:val="000000" w:themeColor="text1"/>
          <w:sz w:val="22"/>
          <w:szCs w:val="22"/>
          <w:u w:val="single"/>
        </w:rPr>
        <w:t>spotrebu energií</w:t>
      </w:r>
      <w:r w:rsidRPr="00EE0FA7">
        <w:rPr>
          <w:b w:val="0"/>
          <w:color w:val="000000" w:themeColor="text1"/>
          <w:sz w:val="22"/>
          <w:szCs w:val="22"/>
        </w:rPr>
        <w:t xml:space="preserve"> </w:t>
      </w:r>
      <w:r w:rsidR="00715909" w:rsidRPr="0085799C">
        <w:rPr>
          <w:b w:val="0"/>
          <w:bCs w:val="0"/>
          <w:color w:val="000000" w:themeColor="text1"/>
          <w:sz w:val="22"/>
          <w:szCs w:val="22"/>
        </w:rPr>
        <w:t>928</w:t>
      </w:r>
      <w:r w:rsidR="00E61C38">
        <w:rPr>
          <w:b w:val="0"/>
          <w:bCs w:val="0"/>
          <w:color w:val="000000" w:themeColor="text1"/>
          <w:sz w:val="22"/>
          <w:szCs w:val="22"/>
        </w:rPr>
        <w:t> </w:t>
      </w:r>
      <w:r w:rsidR="00715909" w:rsidRPr="0085799C">
        <w:rPr>
          <w:b w:val="0"/>
          <w:bCs w:val="0"/>
          <w:color w:val="000000" w:themeColor="text1"/>
          <w:sz w:val="22"/>
          <w:szCs w:val="22"/>
        </w:rPr>
        <w:t>076</w:t>
      </w:r>
      <w:r w:rsidR="00E61C38">
        <w:rPr>
          <w:b w:val="0"/>
          <w:bCs w:val="0"/>
          <w:color w:val="000000" w:themeColor="text1"/>
          <w:sz w:val="22"/>
          <w:szCs w:val="22"/>
        </w:rPr>
        <w:t> </w:t>
      </w:r>
      <w:r w:rsidRPr="00EE0FA7">
        <w:rPr>
          <w:b w:val="0"/>
          <w:color w:val="000000" w:themeColor="text1"/>
          <w:sz w:val="22"/>
          <w:szCs w:val="22"/>
        </w:rPr>
        <w:t>tis. eur (202</w:t>
      </w:r>
      <w:r w:rsidR="00715909" w:rsidRPr="0085799C">
        <w:rPr>
          <w:b w:val="0"/>
          <w:bCs w:val="0"/>
          <w:color w:val="000000" w:themeColor="text1"/>
          <w:sz w:val="22"/>
          <w:szCs w:val="22"/>
        </w:rPr>
        <w:t>3</w:t>
      </w:r>
      <w:r w:rsidRPr="00EE0FA7">
        <w:rPr>
          <w:b w:val="0"/>
          <w:color w:val="000000" w:themeColor="text1"/>
          <w:sz w:val="22"/>
          <w:szCs w:val="22"/>
        </w:rPr>
        <w:t>:</w:t>
      </w:r>
      <w:r w:rsidR="00E61C38">
        <w:rPr>
          <w:b w:val="0"/>
          <w:bCs w:val="0"/>
          <w:color w:val="000000" w:themeColor="text1"/>
          <w:sz w:val="22"/>
          <w:szCs w:val="22"/>
        </w:rPr>
        <w:t xml:space="preserve"> </w:t>
      </w:r>
      <w:r w:rsidR="00715909" w:rsidRPr="0085799C">
        <w:rPr>
          <w:b w:val="0"/>
          <w:bCs w:val="0"/>
          <w:color w:val="000000" w:themeColor="text1"/>
          <w:sz w:val="22"/>
          <w:szCs w:val="22"/>
        </w:rPr>
        <w:t>1 197 480 </w:t>
      </w:r>
      <w:r w:rsidRPr="00EE0FA7">
        <w:rPr>
          <w:b w:val="0"/>
          <w:color w:val="000000" w:themeColor="text1"/>
          <w:sz w:val="22"/>
          <w:szCs w:val="22"/>
        </w:rPr>
        <w:t xml:space="preserve">tis. eur). Medziročný </w:t>
      </w:r>
      <w:r w:rsidR="009727ED" w:rsidRPr="0085799C">
        <w:rPr>
          <w:b w:val="0"/>
          <w:bCs w:val="0"/>
          <w:color w:val="000000" w:themeColor="text1"/>
          <w:sz w:val="22"/>
          <w:szCs w:val="22"/>
        </w:rPr>
        <w:t xml:space="preserve">pokles </w:t>
      </w:r>
      <w:r w:rsidRPr="00EE0FA7">
        <w:rPr>
          <w:b w:val="0"/>
          <w:color w:val="000000" w:themeColor="text1"/>
          <w:sz w:val="22"/>
          <w:szCs w:val="22"/>
        </w:rPr>
        <w:t>týchto nákladov o</w:t>
      </w:r>
      <w:r w:rsidR="001E0A62" w:rsidRPr="0085799C">
        <w:rPr>
          <w:b w:val="0"/>
          <w:bCs w:val="0"/>
          <w:color w:val="000000" w:themeColor="text1"/>
          <w:sz w:val="22"/>
          <w:szCs w:val="22"/>
        </w:rPr>
        <w:t> 450 423</w:t>
      </w:r>
      <w:r w:rsidRPr="00EE0FA7">
        <w:rPr>
          <w:b w:val="0"/>
          <w:color w:val="000000" w:themeColor="text1"/>
          <w:sz w:val="22"/>
          <w:szCs w:val="22"/>
        </w:rPr>
        <w:t> tis. eur bol spôsobený najmä poklesom nákladov súvisiacich so spotrebou materiálu o</w:t>
      </w:r>
      <w:r w:rsidR="001E0A62" w:rsidRPr="0085799C">
        <w:rPr>
          <w:b w:val="0"/>
          <w:bCs w:val="0"/>
          <w:color w:val="000000" w:themeColor="text1"/>
          <w:sz w:val="22"/>
          <w:szCs w:val="22"/>
        </w:rPr>
        <w:t> 497 041</w:t>
      </w:r>
      <w:r w:rsidRPr="00EE0FA7">
        <w:rPr>
          <w:b w:val="0"/>
          <w:color w:val="000000" w:themeColor="text1"/>
          <w:sz w:val="22"/>
          <w:szCs w:val="22"/>
        </w:rPr>
        <w:t> tis. eur a poklesom</w:t>
      </w:r>
      <w:r w:rsidRPr="00EE0FA7">
        <w:rPr>
          <w:b w:val="0"/>
          <w:color w:val="FF0000"/>
          <w:sz w:val="22"/>
          <w:szCs w:val="22"/>
        </w:rPr>
        <w:t xml:space="preserve"> </w:t>
      </w:r>
      <w:r w:rsidRPr="00EE0FA7">
        <w:rPr>
          <w:b w:val="0"/>
          <w:color w:val="000000" w:themeColor="text1"/>
          <w:sz w:val="22"/>
          <w:szCs w:val="22"/>
        </w:rPr>
        <w:t>nákladov na</w:t>
      </w:r>
      <w:r w:rsidR="001E0A62" w:rsidRPr="0085799C">
        <w:rPr>
          <w:b w:val="0"/>
          <w:bCs w:val="0"/>
          <w:color w:val="000000" w:themeColor="text1"/>
          <w:sz w:val="22"/>
          <w:szCs w:val="22"/>
        </w:rPr>
        <w:t xml:space="preserve"> energie </w:t>
      </w:r>
      <w:r w:rsidR="00347E2B" w:rsidRPr="0085799C">
        <w:rPr>
          <w:b w:val="0"/>
          <w:bCs w:val="0"/>
          <w:color w:val="000000" w:themeColor="text1"/>
          <w:sz w:val="22"/>
          <w:szCs w:val="22"/>
        </w:rPr>
        <w:t xml:space="preserve">o 269 404 </w:t>
      </w:r>
      <w:r w:rsidRPr="00EE0FA7">
        <w:rPr>
          <w:b w:val="0"/>
          <w:color w:val="000000" w:themeColor="text1"/>
          <w:sz w:val="22"/>
          <w:szCs w:val="22"/>
        </w:rPr>
        <w:t>tis. eur.</w:t>
      </w:r>
    </w:p>
    <w:p w14:paraId="415990AA" w14:textId="77777777" w:rsidR="00EC50FF" w:rsidRPr="00EE0FA7" w:rsidRDefault="00EC50FF" w:rsidP="00EE0FA7">
      <w:pPr>
        <w:pStyle w:val="Pismenka"/>
        <w:tabs>
          <w:tab w:val="clear" w:pos="426"/>
        </w:tabs>
        <w:spacing w:after="120"/>
        <w:ind w:left="0" w:firstLine="0"/>
        <w:rPr>
          <w:b w:val="0"/>
          <w:color w:val="000000" w:themeColor="text1"/>
          <w:sz w:val="22"/>
          <w:szCs w:val="22"/>
        </w:rPr>
      </w:pPr>
    </w:p>
    <w:p w14:paraId="1FA27130" w14:textId="107D01DE" w:rsidR="00EC50FF" w:rsidRDefault="00D96CA2" w:rsidP="009F2AF6">
      <w:pPr>
        <w:pStyle w:val="Nadpis4"/>
        <w:numPr>
          <w:ilvl w:val="0"/>
          <w:numId w:val="54"/>
        </w:numPr>
        <w:ind w:left="426" w:hanging="426"/>
      </w:pPr>
      <w:bookmarkStart w:id="89" w:name="_Služby_1"/>
      <w:bookmarkEnd w:id="89"/>
      <w:r>
        <w:t>Služby</w:t>
      </w:r>
    </w:p>
    <w:p w14:paraId="47A5BB5C" w14:textId="0E8090B5" w:rsidR="00647542" w:rsidRPr="00EE0FA7" w:rsidRDefault="00647542" w:rsidP="00EE0FA7">
      <w:pPr>
        <w:pStyle w:val="Pismenka"/>
        <w:tabs>
          <w:tab w:val="clear" w:pos="426"/>
        </w:tabs>
        <w:spacing w:after="120"/>
        <w:ind w:left="0" w:firstLine="0"/>
        <w:rPr>
          <w:b w:val="0"/>
          <w:color w:val="000000" w:themeColor="text1"/>
          <w:sz w:val="22"/>
          <w:szCs w:val="22"/>
        </w:rPr>
      </w:pPr>
      <w:r w:rsidRPr="00EE0FA7">
        <w:rPr>
          <w:b w:val="0"/>
          <w:color w:val="000000" w:themeColor="text1"/>
          <w:sz w:val="22"/>
          <w:szCs w:val="22"/>
          <w:u w:val="single"/>
        </w:rPr>
        <w:t>Na hodnote nákladov spotrebovaných služieb</w:t>
      </w:r>
      <w:r w:rsidRPr="00EE0FA7">
        <w:rPr>
          <w:b w:val="0"/>
          <w:color w:val="000000" w:themeColor="text1"/>
          <w:sz w:val="22"/>
          <w:szCs w:val="22"/>
        </w:rPr>
        <w:t xml:space="preserve"> sa podieľa najmä ústredná správa (</w:t>
      </w:r>
      <w:r w:rsidR="00347E2B" w:rsidRPr="0085799C">
        <w:rPr>
          <w:b w:val="0"/>
          <w:bCs w:val="0"/>
          <w:color w:val="000000" w:themeColor="text1"/>
          <w:sz w:val="22"/>
          <w:szCs w:val="22"/>
        </w:rPr>
        <w:t>6</w:t>
      </w:r>
      <w:r w:rsidR="00E61C38">
        <w:rPr>
          <w:b w:val="0"/>
          <w:bCs w:val="0"/>
          <w:color w:val="000000" w:themeColor="text1"/>
          <w:sz w:val="22"/>
          <w:szCs w:val="22"/>
        </w:rPr>
        <w:t> </w:t>
      </w:r>
      <w:r w:rsidR="00347E2B" w:rsidRPr="0085799C">
        <w:rPr>
          <w:b w:val="0"/>
          <w:bCs w:val="0"/>
          <w:color w:val="000000" w:themeColor="text1"/>
          <w:sz w:val="22"/>
          <w:szCs w:val="22"/>
        </w:rPr>
        <w:t>669</w:t>
      </w:r>
      <w:r w:rsidR="00E61C38">
        <w:rPr>
          <w:b w:val="0"/>
          <w:bCs w:val="0"/>
          <w:color w:val="000000" w:themeColor="text1"/>
          <w:sz w:val="22"/>
          <w:szCs w:val="22"/>
        </w:rPr>
        <w:t> </w:t>
      </w:r>
      <w:r w:rsidR="00347E2B" w:rsidRPr="0085799C">
        <w:rPr>
          <w:b w:val="0"/>
          <w:bCs w:val="0"/>
          <w:color w:val="000000" w:themeColor="text1"/>
          <w:sz w:val="22"/>
          <w:szCs w:val="22"/>
        </w:rPr>
        <w:t>164</w:t>
      </w:r>
      <w:r w:rsidRPr="00EE0FA7">
        <w:rPr>
          <w:b w:val="0"/>
          <w:color w:val="000000" w:themeColor="text1"/>
          <w:sz w:val="22"/>
          <w:szCs w:val="22"/>
        </w:rPr>
        <w:t> tis. eur) a obce so svojimi organizáciami v konsolidovaných celkoch (</w:t>
      </w:r>
      <w:r w:rsidR="00347E2B" w:rsidRPr="0085799C">
        <w:rPr>
          <w:b w:val="0"/>
          <w:bCs w:val="0"/>
          <w:color w:val="000000" w:themeColor="text1"/>
          <w:sz w:val="22"/>
          <w:szCs w:val="22"/>
        </w:rPr>
        <w:t>1 023 566</w:t>
      </w:r>
      <w:r w:rsidRPr="00EE0FA7">
        <w:rPr>
          <w:b w:val="0"/>
          <w:color w:val="000000" w:themeColor="text1"/>
          <w:sz w:val="22"/>
          <w:szCs w:val="22"/>
        </w:rPr>
        <w:t> tis. eur).</w:t>
      </w:r>
    </w:p>
    <w:p w14:paraId="3A0CB399" w14:textId="77777777" w:rsidR="00D96CA2" w:rsidRPr="00EE0FA7" w:rsidRDefault="00D96CA2" w:rsidP="0085799C">
      <w:pPr>
        <w:pStyle w:val="Pismenka"/>
        <w:tabs>
          <w:tab w:val="clear" w:pos="426"/>
        </w:tabs>
        <w:spacing w:after="120"/>
        <w:ind w:left="0" w:firstLine="0"/>
        <w:rPr>
          <w:b w:val="0"/>
          <w:color w:val="000000" w:themeColor="text1"/>
          <w:sz w:val="22"/>
          <w:szCs w:val="22"/>
        </w:rPr>
      </w:pPr>
    </w:p>
    <w:p w14:paraId="3C1196C2" w14:textId="0F05C62C" w:rsidR="00647542" w:rsidRDefault="00647542" w:rsidP="00647542">
      <w:pPr>
        <w:pStyle w:val="Popis"/>
        <w:keepNext/>
        <w:rPr>
          <w:noProof/>
        </w:rPr>
      </w:pPr>
      <w:r w:rsidRPr="00907622">
        <w:t xml:space="preserve">Tabuľka </w:t>
      </w:r>
      <w:r w:rsidRPr="00907622">
        <w:fldChar w:fldCharType="begin"/>
      </w:r>
      <w:r w:rsidRPr="00907622">
        <w:instrText xml:space="preserve"> SEQ Tabuľka \* ARABIC </w:instrText>
      </w:r>
      <w:r w:rsidRPr="00907622">
        <w:fldChar w:fldCharType="separate"/>
      </w:r>
      <w:r w:rsidRPr="00907622">
        <w:rPr>
          <w:noProof/>
        </w:rPr>
        <w:t>22</w:t>
      </w:r>
      <w:r w:rsidRPr="00907622">
        <w:rPr>
          <w:noProof/>
        </w:rPr>
        <w:fldChar w:fldCharType="end"/>
      </w:r>
    </w:p>
    <w:tbl>
      <w:tblPr>
        <w:tblW w:w="9072" w:type="dxa"/>
        <w:jc w:val="center"/>
        <w:tblCellMar>
          <w:left w:w="70" w:type="dxa"/>
          <w:right w:w="70" w:type="dxa"/>
        </w:tblCellMar>
        <w:tblLook w:val="04A0" w:firstRow="1" w:lastRow="0" w:firstColumn="1" w:lastColumn="0" w:noHBand="0" w:noVBand="1"/>
      </w:tblPr>
      <w:tblGrid>
        <w:gridCol w:w="4813"/>
        <w:gridCol w:w="1419"/>
        <w:gridCol w:w="1419"/>
        <w:gridCol w:w="1421"/>
      </w:tblGrid>
      <w:tr w:rsidR="00204E4E" w:rsidRPr="00204E4E" w14:paraId="1D40968C" w14:textId="77777777" w:rsidTr="00A7107D">
        <w:trPr>
          <w:trHeight w:val="227"/>
          <w:jc w:val="center"/>
        </w:trPr>
        <w:tc>
          <w:tcPr>
            <w:tcW w:w="2653" w:type="pct"/>
            <w:tcBorders>
              <w:top w:val="single" w:sz="8" w:space="0" w:color="auto"/>
              <w:left w:val="nil"/>
              <w:bottom w:val="single" w:sz="8" w:space="0" w:color="auto"/>
              <w:right w:val="nil"/>
            </w:tcBorders>
            <w:shd w:val="clear" w:color="000000" w:fill="F4B084"/>
            <w:noWrap/>
            <w:vAlign w:val="center"/>
            <w:hideMark/>
          </w:tcPr>
          <w:p w14:paraId="55D55C8E" w14:textId="77777777" w:rsidR="00204E4E" w:rsidRPr="00204E4E" w:rsidRDefault="00204E4E" w:rsidP="00204E4E">
            <w:pPr>
              <w:spacing w:after="0" w:line="240" w:lineRule="auto"/>
              <w:rPr>
                <w:rFonts w:ascii="Times New Roman" w:hAnsi="Times New Roman"/>
                <w:b/>
                <w:bCs/>
                <w:color w:val="000000"/>
                <w:sz w:val="18"/>
                <w:szCs w:val="18"/>
                <w:lang w:eastAsia="sk-SK"/>
              </w:rPr>
            </w:pPr>
            <w:r w:rsidRPr="00204E4E">
              <w:rPr>
                <w:rFonts w:ascii="Times New Roman" w:hAnsi="Times New Roman"/>
                <w:b/>
                <w:bCs/>
                <w:color w:val="000000"/>
                <w:sz w:val="18"/>
                <w:szCs w:val="18"/>
                <w:lang w:eastAsia="sk-SK"/>
              </w:rPr>
              <w:t>Služby</w:t>
            </w:r>
          </w:p>
        </w:tc>
        <w:tc>
          <w:tcPr>
            <w:tcW w:w="782" w:type="pct"/>
            <w:tcBorders>
              <w:top w:val="single" w:sz="8" w:space="0" w:color="auto"/>
              <w:left w:val="nil"/>
              <w:bottom w:val="single" w:sz="8" w:space="0" w:color="auto"/>
              <w:right w:val="nil"/>
            </w:tcBorders>
            <w:shd w:val="clear" w:color="000000" w:fill="F4B084"/>
            <w:noWrap/>
            <w:vAlign w:val="center"/>
            <w:hideMark/>
          </w:tcPr>
          <w:p w14:paraId="754C9344" w14:textId="77777777" w:rsidR="00204E4E" w:rsidRPr="00204E4E" w:rsidRDefault="00204E4E" w:rsidP="00204E4E">
            <w:pPr>
              <w:spacing w:after="0" w:line="240" w:lineRule="auto"/>
              <w:jc w:val="center"/>
              <w:rPr>
                <w:rFonts w:ascii="Times New Roman" w:hAnsi="Times New Roman"/>
                <w:b/>
                <w:bCs/>
                <w:color w:val="000000"/>
                <w:sz w:val="18"/>
                <w:szCs w:val="18"/>
                <w:lang w:eastAsia="sk-SK"/>
              </w:rPr>
            </w:pPr>
            <w:r w:rsidRPr="00204E4E">
              <w:rPr>
                <w:rFonts w:ascii="Times New Roman" w:hAnsi="Times New Roman"/>
                <w:b/>
                <w:bCs/>
                <w:color w:val="000000"/>
                <w:sz w:val="18"/>
                <w:szCs w:val="18"/>
                <w:lang w:eastAsia="sk-SK"/>
              </w:rPr>
              <w:t> </w:t>
            </w:r>
          </w:p>
        </w:tc>
        <w:tc>
          <w:tcPr>
            <w:tcW w:w="782" w:type="pct"/>
            <w:tcBorders>
              <w:top w:val="single" w:sz="8" w:space="0" w:color="auto"/>
              <w:left w:val="nil"/>
              <w:bottom w:val="single" w:sz="8" w:space="0" w:color="auto"/>
              <w:right w:val="nil"/>
            </w:tcBorders>
            <w:shd w:val="clear" w:color="000000" w:fill="F4B084"/>
            <w:noWrap/>
            <w:vAlign w:val="center"/>
            <w:hideMark/>
          </w:tcPr>
          <w:p w14:paraId="15BA962F" w14:textId="77777777" w:rsidR="00204E4E" w:rsidRPr="00204E4E" w:rsidRDefault="00204E4E" w:rsidP="00204E4E">
            <w:pPr>
              <w:spacing w:after="0" w:line="240" w:lineRule="auto"/>
              <w:jc w:val="center"/>
              <w:rPr>
                <w:rFonts w:ascii="Times New Roman" w:hAnsi="Times New Roman"/>
                <w:b/>
                <w:bCs/>
                <w:color w:val="000000"/>
                <w:sz w:val="18"/>
                <w:szCs w:val="18"/>
                <w:lang w:eastAsia="sk-SK"/>
              </w:rPr>
            </w:pPr>
            <w:r w:rsidRPr="00204E4E">
              <w:rPr>
                <w:rFonts w:ascii="Times New Roman" w:hAnsi="Times New Roman"/>
                <w:b/>
                <w:bCs/>
                <w:color w:val="000000"/>
                <w:sz w:val="18"/>
                <w:szCs w:val="18"/>
                <w:lang w:eastAsia="sk-SK"/>
              </w:rPr>
              <w:t>(v tis. eur)</w:t>
            </w:r>
          </w:p>
        </w:tc>
        <w:tc>
          <w:tcPr>
            <w:tcW w:w="783" w:type="pct"/>
            <w:tcBorders>
              <w:top w:val="single" w:sz="8" w:space="0" w:color="auto"/>
              <w:left w:val="nil"/>
              <w:bottom w:val="single" w:sz="8" w:space="0" w:color="auto"/>
              <w:right w:val="nil"/>
            </w:tcBorders>
            <w:shd w:val="clear" w:color="000000" w:fill="F4B084"/>
            <w:noWrap/>
            <w:vAlign w:val="center"/>
            <w:hideMark/>
          </w:tcPr>
          <w:p w14:paraId="322053EE" w14:textId="77777777" w:rsidR="00204E4E" w:rsidRPr="00204E4E" w:rsidRDefault="00204E4E" w:rsidP="00204E4E">
            <w:pPr>
              <w:spacing w:after="0" w:line="240" w:lineRule="auto"/>
              <w:jc w:val="center"/>
              <w:rPr>
                <w:rFonts w:ascii="Times New Roman" w:hAnsi="Times New Roman"/>
                <w:b/>
                <w:bCs/>
                <w:color w:val="000000"/>
                <w:sz w:val="18"/>
                <w:szCs w:val="18"/>
                <w:lang w:eastAsia="sk-SK"/>
              </w:rPr>
            </w:pPr>
            <w:r w:rsidRPr="00204E4E">
              <w:rPr>
                <w:rFonts w:ascii="Times New Roman" w:hAnsi="Times New Roman"/>
                <w:b/>
                <w:bCs/>
                <w:color w:val="000000"/>
                <w:sz w:val="18"/>
                <w:szCs w:val="18"/>
                <w:lang w:eastAsia="sk-SK"/>
              </w:rPr>
              <w:t> </w:t>
            </w:r>
          </w:p>
        </w:tc>
      </w:tr>
      <w:tr w:rsidR="00204E4E" w:rsidRPr="00204E4E" w14:paraId="14B6B235" w14:textId="77777777" w:rsidTr="00A7107D">
        <w:trPr>
          <w:trHeight w:val="227"/>
          <w:jc w:val="center"/>
        </w:trPr>
        <w:tc>
          <w:tcPr>
            <w:tcW w:w="2653" w:type="pct"/>
            <w:tcBorders>
              <w:top w:val="nil"/>
              <w:left w:val="nil"/>
              <w:bottom w:val="single" w:sz="8" w:space="0" w:color="auto"/>
              <w:right w:val="nil"/>
            </w:tcBorders>
            <w:shd w:val="clear" w:color="000000" w:fill="BDD7EE"/>
            <w:noWrap/>
            <w:vAlign w:val="center"/>
            <w:hideMark/>
          </w:tcPr>
          <w:p w14:paraId="51DC3E78" w14:textId="77777777" w:rsidR="00204E4E" w:rsidRPr="00204E4E" w:rsidRDefault="00204E4E" w:rsidP="00204E4E">
            <w:pPr>
              <w:spacing w:after="0" w:line="240" w:lineRule="auto"/>
              <w:rPr>
                <w:rFonts w:ascii="Times New Roman" w:hAnsi="Times New Roman"/>
                <w:b/>
                <w:bCs/>
                <w:color w:val="000000"/>
                <w:sz w:val="18"/>
                <w:szCs w:val="18"/>
                <w:lang w:eastAsia="sk-SK"/>
              </w:rPr>
            </w:pPr>
            <w:r w:rsidRPr="00204E4E">
              <w:rPr>
                <w:rFonts w:ascii="Times New Roman" w:hAnsi="Times New Roman"/>
                <w:b/>
                <w:bCs/>
                <w:color w:val="000000"/>
                <w:sz w:val="18"/>
                <w:szCs w:val="18"/>
                <w:lang w:eastAsia="sk-SK"/>
              </w:rPr>
              <w:t> </w:t>
            </w:r>
          </w:p>
        </w:tc>
        <w:tc>
          <w:tcPr>
            <w:tcW w:w="782" w:type="pct"/>
            <w:tcBorders>
              <w:top w:val="nil"/>
              <w:left w:val="nil"/>
              <w:bottom w:val="single" w:sz="8" w:space="0" w:color="auto"/>
              <w:right w:val="nil"/>
            </w:tcBorders>
            <w:shd w:val="clear" w:color="000000" w:fill="BDD7EE"/>
            <w:noWrap/>
            <w:vAlign w:val="center"/>
            <w:hideMark/>
          </w:tcPr>
          <w:p w14:paraId="0955519F" w14:textId="77777777" w:rsidR="00204E4E" w:rsidRPr="00204E4E" w:rsidRDefault="00204E4E" w:rsidP="00204E4E">
            <w:pPr>
              <w:spacing w:after="0" w:line="240" w:lineRule="auto"/>
              <w:jc w:val="center"/>
              <w:rPr>
                <w:rFonts w:ascii="Times New Roman" w:hAnsi="Times New Roman"/>
                <w:b/>
                <w:bCs/>
                <w:color w:val="000000"/>
                <w:sz w:val="18"/>
                <w:szCs w:val="18"/>
                <w:lang w:eastAsia="sk-SK"/>
              </w:rPr>
            </w:pPr>
            <w:r w:rsidRPr="00204E4E">
              <w:rPr>
                <w:rFonts w:ascii="Times New Roman" w:hAnsi="Times New Roman"/>
                <w:b/>
                <w:bCs/>
                <w:color w:val="000000"/>
                <w:sz w:val="18"/>
                <w:szCs w:val="18"/>
                <w:lang w:eastAsia="sk-SK"/>
              </w:rPr>
              <w:t>2024</w:t>
            </w:r>
          </w:p>
        </w:tc>
        <w:tc>
          <w:tcPr>
            <w:tcW w:w="782" w:type="pct"/>
            <w:tcBorders>
              <w:top w:val="nil"/>
              <w:left w:val="nil"/>
              <w:bottom w:val="single" w:sz="8" w:space="0" w:color="auto"/>
              <w:right w:val="nil"/>
            </w:tcBorders>
            <w:shd w:val="clear" w:color="000000" w:fill="BDD7EE"/>
            <w:noWrap/>
            <w:vAlign w:val="center"/>
            <w:hideMark/>
          </w:tcPr>
          <w:p w14:paraId="2928F3F1" w14:textId="77777777" w:rsidR="00204E4E" w:rsidRPr="00204E4E" w:rsidRDefault="00204E4E" w:rsidP="00204E4E">
            <w:pPr>
              <w:spacing w:after="0" w:line="240" w:lineRule="auto"/>
              <w:jc w:val="center"/>
              <w:rPr>
                <w:rFonts w:ascii="Times New Roman" w:hAnsi="Times New Roman"/>
                <w:b/>
                <w:bCs/>
                <w:color w:val="000000"/>
                <w:sz w:val="18"/>
                <w:szCs w:val="18"/>
                <w:lang w:eastAsia="sk-SK"/>
              </w:rPr>
            </w:pPr>
            <w:r w:rsidRPr="00204E4E">
              <w:rPr>
                <w:rFonts w:ascii="Times New Roman" w:hAnsi="Times New Roman"/>
                <w:b/>
                <w:bCs/>
                <w:color w:val="000000"/>
                <w:sz w:val="18"/>
                <w:szCs w:val="18"/>
                <w:lang w:eastAsia="sk-SK"/>
              </w:rPr>
              <w:t>2023</w:t>
            </w:r>
          </w:p>
        </w:tc>
        <w:tc>
          <w:tcPr>
            <w:tcW w:w="783" w:type="pct"/>
            <w:tcBorders>
              <w:top w:val="nil"/>
              <w:left w:val="nil"/>
              <w:bottom w:val="single" w:sz="8" w:space="0" w:color="auto"/>
              <w:right w:val="nil"/>
            </w:tcBorders>
            <w:shd w:val="clear" w:color="000000" w:fill="BDD7EE"/>
            <w:vAlign w:val="center"/>
            <w:hideMark/>
          </w:tcPr>
          <w:p w14:paraId="23231A5A" w14:textId="77777777" w:rsidR="00204E4E" w:rsidRPr="00204E4E" w:rsidRDefault="00204E4E" w:rsidP="00204E4E">
            <w:pPr>
              <w:spacing w:after="0" w:line="240" w:lineRule="auto"/>
              <w:jc w:val="center"/>
              <w:rPr>
                <w:rFonts w:ascii="Times New Roman" w:hAnsi="Times New Roman"/>
                <w:b/>
                <w:bCs/>
                <w:color w:val="000000"/>
                <w:sz w:val="18"/>
                <w:szCs w:val="18"/>
                <w:lang w:eastAsia="sk-SK"/>
              </w:rPr>
            </w:pPr>
            <w:r w:rsidRPr="00204E4E">
              <w:rPr>
                <w:rFonts w:ascii="Times New Roman" w:hAnsi="Times New Roman"/>
                <w:b/>
                <w:bCs/>
                <w:color w:val="000000"/>
                <w:sz w:val="18"/>
                <w:szCs w:val="18"/>
                <w:lang w:eastAsia="sk-SK"/>
              </w:rPr>
              <w:t>Δ 2024-2023</w:t>
            </w:r>
          </w:p>
        </w:tc>
      </w:tr>
      <w:tr w:rsidR="00204E4E" w:rsidRPr="00204E4E" w14:paraId="14F21576" w14:textId="77777777" w:rsidTr="00A7107D">
        <w:trPr>
          <w:trHeight w:val="227"/>
          <w:jc w:val="center"/>
        </w:trPr>
        <w:tc>
          <w:tcPr>
            <w:tcW w:w="2653" w:type="pct"/>
            <w:tcBorders>
              <w:top w:val="nil"/>
              <w:left w:val="nil"/>
              <w:bottom w:val="nil"/>
              <w:right w:val="nil"/>
            </w:tcBorders>
            <w:vAlign w:val="center"/>
            <w:hideMark/>
          </w:tcPr>
          <w:p w14:paraId="3FDF67FB" w14:textId="77777777" w:rsidR="00204E4E" w:rsidRPr="00204E4E" w:rsidRDefault="00204E4E" w:rsidP="00204E4E">
            <w:pPr>
              <w:spacing w:after="0" w:line="240" w:lineRule="auto"/>
              <w:rPr>
                <w:rFonts w:ascii="Times New Roman" w:hAnsi="Times New Roman"/>
                <w:color w:val="000000"/>
                <w:sz w:val="18"/>
                <w:szCs w:val="18"/>
                <w:lang w:eastAsia="sk-SK"/>
              </w:rPr>
            </w:pPr>
            <w:r w:rsidRPr="00204E4E">
              <w:rPr>
                <w:rFonts w:ascii="Times New Roman" w:hAnsi="Times New Roman"/>
                <w:color w:val="000000"/>
                <w:sz w:val="18"/>
                <w:szCs w:val="18"/>
                <w:lang w:eastAsia="sk-SK"/>
              </w:rPr>
              <w:t xml:space="preserve">Náklady na zdravotnú starostlivosť </w:t>
            </w:r>
            <w:proofErr w:type="spellStart"/>
            <w:r w:rsidRPr="00204E4E">
              <w:rPr>
                <w:rFonts w:ascii="Times New Roman" w:hAnsi="Times New Roman"/>
                <w:color w:val="000000"/>
                <w:sz w:val="18"/>
                <w:szCs w:val="18"/>
                <w:lang w:eastAsia="sk-SK"/>
              </w:rPr>
              <w:t>VšZP</w:t>
            </w:r>
            <w:proofErr w:type="spellEnd"/>
            <w:r w:rsidRPr="00204E4E">
              <w:rPr>
                <w:rFonts w:ascii="Times New Roman" w:hAnsi="Times New Roman"/>
                <w:color w:val="000000"/>
                <w:sz w:val="18"/>
                <w:szCs w:val="18"/>
                <w:lang w:eastAsia="sk-SK"/>
              </w:rPr>
              <w:t xml:space="preserve">, </w:t>
            </w:r>
            <w:proofErr w:type="spellStart"/>
            <w:r w:rsidRPr="00204E4E">
              <w:rPr>
                <w:rFonts w:ascii="Times New Roman" w:hAnsi="Times New Roman"/>
                <w:color w:val="000000"/>
                <w:sz w:val="18"/>
                <w:szCs w:val="18"/>
                <w:lang w:eastAsia="sk-SK"/>
              </w:rPr>
              <w:t>a.s</w:t>
            </w:r>
            <w:proofErr w:type="spellEnd"/>
            <w:r w:rsidRPr="00204E4E">
              <w:rPr>
                <w:rFonts w:ascii="Times New Roman" w:hAnsi="Times New Roman"/>
                <w:color w:val="000000"/>
                <w:sz w:val="18"/>
                <w:szCs w:val="18"/>
                <w:lang w:eastAsia="sk-SK"/>
              </w:rPr>
              <w:t>.</w:t>
            </w:r>
          </w:p>
        </w:tc>
        <w:tc>
          <w:tcPr>
            <w:tcW w:w="782" w:type="pct"/>
            <w:tcBorders>
              <w:top w:val="nil"/>
              <w:left w:val="nil"/>
              <w:bottom w:val="nil"/>
              <w:right w:val="nil"/>
            </w:tcBorders>
            <w:vAlign w:val="center"/>
            <w:hideMark/>
          </w:tcPr>
          <w:p w14:paraId="78A4E205" w14:textId="77777777" w:rsidR="00204E4E" w:rsidRPr="00204E4E" w:rsidRDefault="00204E4E" w:rsidP="00204E4E">
            <w:pPr>
              <w:spacing w:after="0" w:line="240" w:lineRule="auto"/>
              <w:jc w:val="right"/>
              <w:rPr>
                <w:rFonts w:ascii="Times New Roman" w:hAnsi="Times New Roman"/>
                <w:color w:val="000000"/>
                <w:sz w:val="18"/>
                <w:szCs w:val="18"/>
                <w:lang w:eastAsia="sk-SK"/>
              </w:rPr>
            </w:pPr>
            <w:r w:rsidRPr="00204E4E">
              <w:rPr>
                <w:rFonts w:ascii="Times New Roman" w:hAnsi="Times New Roman"/>
                <w:color w:val="000000"/>
                <w:sz w:val="18"/>
                <w:szCs w:val="18"/>
                <w:lang w:eastAsia="sk-SK"/>
              </w:rPr>
              <w:t>3 148 781</w:t>
            </w:r>
          </w:p>
        </w:tc>
        <w:tc>
          <w:tcPr>
            <w:tcW w:w="782" w:type="pct"/>
            <w:tcBorders>
              <w:top w:val="nil"/>
              <w:left w:val="nil"/>
              <w:bottom w:val="nil"/>
              <w:right w:val="nil"/>
            </w:tcBorders>
            <w:vAlign w:val="center"/>
            <w:hideMark/>
          </w:tcPr>
          <w:p w14:paraId="687FD1D9" w14:textId="77777777" w:rsidR="00204E4E" w:rsidRPr="00204E4E" w:rsidRDefault="00204E4E" w:rsidP="00204E4E">
            <w:pPr>
              <w:spacing w:after="0" w:line="240" w:lineRule="auto"/>
              <w:jc w:val="right"/>
              <w:rPr>
                <w:rFonts w:ascii="Times New Roman" w:hAnsi="Times New Roman"/>
                <w:color w:val="000000"/>
                <w:sz w:val="18"/>
                <w:szCs w:val="18"/>
                <w:lang w:eastAsia="sk-SK"/>
              </w:rPr>
            </w:pPr>
            <w:r w:rsidRPr="00204E4E">
              <w:rPr>
                <w:rFonts w:ascii="Times New Roman" w:hAnsi="Times New Roman"/>
                <w:color w:val="000000"/>
                <w:sz w:val="18"/>
                <w:szCs w:val="18"/>
                <w:lang w:eastAsia="sk-SK"/>
              </w:rPr>
              <w:t>2 999 144</w:t>
            </w:r>
          </w:p>
        </w:tc>
        <w:tc>
          <w:tcPr>
            <w:tcW w:w="783" w:type="pct"/>
            <w:tcBorders>
              <w:top w:val="nil"/>
              <w:left w:val="nil"/>
              <w:bottom w:val="nil"/>
              <w:right w:val="nil"/>
            </w:tcBorders>
            <w:vAlign w:val="center"/>
            <w:hideMark/>
          </w:tcPr>
          <w:p w14:paraId="0AA271BD" w14:textId="77777777" w:rsidR="00204E4E" w:rsidRPr="00204E4E" w:rsidRDefault="00204E4E" w:rsidP="00204E4E">
            <w:pPr>
              <w:spacing w:after="0" w:line="240" w:lineRule="auto"/>
              <w:jc w:val="right"/>
              <w:rPr>
                <w:rFonts w:ascii="Times New Roman" w:hAnsi="Times New Roman"/>
                <w:color w:val="000000"/>
                <w:sz w:val="18"/>
                <w:szCs w:val="18"/>
                <w:lang w:eastAsia="sk-SK"/>
              </w:rPr>
            </w:pPr>
            <w:r w:rsidRPr="00204E4E">
              <w:rPr>
                <w:rFonts w:ascii="Times New Roman" w:hAnsi="Times New Roman"/>
                <w:color w:val="000000"/>
                <w:sz w:val="18"/>
                <w:szCs w:val="18"/>
                <w:lang w:eastAsia="sk-SK"/>
              </w:rPr>
              <w:t>149 637</w:t>
            </w:r>
          </w:p>
        </w:tc>
      </w:tr>
      <w:tr w:rsidR="00C044EC" w:rsidRPr="00204E4E" w14:paraId="76172DF5" w14:textId="77777777" w:rsidTr="00C044EC">
        <w:trPr>
          <w:trHeight w:val="227"/>
          <w:jc w:val="center"/>
        </w:trPr>
        <w:tc>
          <w:tcPr>
            <w:tcW w:w="2653" w:type="pct"/>
            <w:tcBorders>
              <w:top w:val="nil"/>
              <w:left w:val="nil"/>
              <w:bottom w:val="nil"/>
              <w:right w:val="nil"/>
            </w:tcBorders>
            <w:vAlign w:val="center"/>
            <w:hideMark/>
          </w:tcPr>
          <w:p w14:paraId="0F825C01" w14:textId="77777777" w:rsidR="00C044EC" w:rsidRPr="00204E4E" w:rsidRDefault="00C044EC" w:rsidP="009874B6">
            <w:pPr>
              <w:spacing w:after="0" w:line="240" w:lineRule="auto"/>
              <w:rPr>
                <w:rFonts w:ascii="Times New Roman" w:hAnsi="Times New Roman"/>
                <w:color w:val="000000"/>
                <w:sz w:val="18"/>
                <w:szCs w:val="18"/>
                <w:lang w:eastAsia="sk-SK"/>
              </w:rPr>
            </w:pPr>
            <w:r w:rsidRPr="00204E4E">
              <w:rPr>
                <w:rFonts w:ascii="Times New Roman" w:hAnsi="Times New Roman"/>
                <w:color w:val="000000"/>
                <w:sz w:val="18"/>
                <w:szCs w:val="18"/>
                <w:lang w:eastAsia="sk-SK"/>
              </w:rPr>
              <w:t>Opravy a udržiavanie</w:t>
            </w:r>
          </w:p>
        </w:tc>
        <w:tc>
          <w:tcPr>
            <w:tcW w:w="782" w:type="pct"/>
            <w:tcBorders>
              <w:top w:val="nil"/>
              <w:left w:val="nil"/>
              <w:bottom w:val="nil"/>
              <w:right w:val="nil"/>
            </w:tcBorders>
            <w:vAlign w:val="center"/>
            <w:hideMark/>
          </w:tcPr>
          <w:p w14:paraId="171044CB" w14:textId="77777777" w:rsidR="00C044EC" w:rsidRPr="00204E4E" w:rsidRDefault="00C044EC" w:rsidP="009874B6">
            <w:pPr>
              <w:spacing w:after="0" w:line="240" w:lineRule="auto"/>
              <w:jc w:val="right"/>
              <w:rPr>
                <w:rFonts w:ascii="Times New Roman" w:hAnsi="Times New Roman"/>
                <w:color w:val="000000"/>
                <w:sz w:val="18"/>
                <w:szCs w:val="18"/>
                <w:lang w:eastAsia="sk-SK"/>
              </w:rPr>
            </w:pPr>
            <w:r w:rsidRPr="00204E4E">
              <w:rPr>
                <w:rFonts w:ascii="Times New Roman" w:hAnsi="Times New Roman"/>
                <w:color w:val="000000"/>
                <w:sz w:val="18"/>
                <w:szCs w:val="18"/>
                <w:lang w:eastAsia="sk-SK"/>
              </w:rPr>
              <w:t>955 207</w:t>
            </w:r>
          </w:p>
        </w:tc>
        <w:tc>
          <w:tcPr>
            <w:tcW w:w="782" w:type="pct"/>
            <w:tcBorders>
              <w:top w:val="nil"/>
              <w:left w:val="nil"/>
              <w:bottom w:val="nil"/>
              <w:right w:val="nil"/>
            </w:tcBorders>
            <w:vAlign w:val="center"/>
            <w:hideMark/>
          </w:tcPr>
          <w:p w14:paraId="662BDC96" w14:textId="77777777" w:rsidR="00C044EC" w:rsidRPr="00204E4E" w:rsidRDefault="00C044EC" w:rsidP="009874B6">
            <w:pPr>
              <w:spacing w:after="0" w:line="240" w:lineRule="auto"/>
              <w:jc w:val="right"/>
              <w:rPr>
                <w:rFonts w:ascii="Times New Roman" w:hAnsi="Times New Roman"/>
                <w:color w:val="000000"/>
                <w:sz w:val="18"/>
                <w:szCs w:val="18"/>
                <w:lang w:eastAsia="sk-SK"/>
              </w:rPr>
            </w:pPr>
            <w:r w:rsidRPr="00204E4E">
              <w:rPr>
                <w:rFonts w:ascii="Times New Roman" w:hAnsi="Times New Roman"/>
                <w:color w:val="000000"/>
                <w:sz w:val="18"/>
                <w:szCs w:val="18"/>
                <w:lang w:eastAsia="sk-SK"/>
              </w:rPr>
              <w:t>829 791</w:t>
            </w:r>
          </w:p>
        </w:tc>
        <w:tc>
          <w:tcPr>
            <w:tcW w:w="783" w:type="pct"/>
            <w:tcBorders>
              <w:top w:val="nil"/>
              <w:left w:val="nil"/>
              <w:bottom w:val="nil"/>
              <w:right w:val="nil"/>
            </w:tcBorders>
            <w:vAlign w:val="center"/>
            <w:hideMark/>
          </w:tcPr>
          <w:p w14:paraId="3BBA5337" w14:textId="77777777" w:rsidR="00C044EC" w:rsidRPr="00204E4E" w:rsidRDefault="00C044EC" w:rsidP="009874B6">
            <w:pPr>
              <w:spacing w:after="0" w:line="240" w:lineRule="auto"/>
              <w:jc w:val="right"/>
              <w:rPr>
                <w:rFonts w:ascii="Times New Roman" w:hAnsi="Times New Roman"/>
                <w:color w:val="000000"/>
                <w:sz w:val="18"/>
                <w:szCs w:val="18"/>
                <w:lang w:eastAsia="sk-SK"/>
              </w:rPr>
            </w:pPr>
            <w:r w:rsidRPr="00204E4E">
              <w:rPr>
                <w:rFonts w:ascii="Times New Roman" w:hAnsi="Times New Roman"/>
                <w:color w:val="000000"/>
                <w:sz w:val="18"/>
                <w:szCs w:val="18"/>
                <w:lang w:eastAsia="sk-SK"/>
              </w:rPr>
              <w:t>125 416</w:t>
            </w:r>
          </w:p>
        </w:tc>
      </w:tr>
      <w:tr w:rsidR="00204E4E" w:rsidRPr="00204E4E" w14:paraId="30B17A82" w14:textId="77777777" w:rsidTr="00A7107D">
        <w:trPr>
          <w:trHeight w:val="227"/>
          <w:jc w:val="center"/>
        </w:trPr>
        <w:tc>
          <w:tcPr>
            <w:tcW w:w="2653" w:type="pct"/>
            <w:tcBorders>
              <w:top w:val="nil"/>
              <w:left w:val="nil"/>
              <w:bottom w:val="nil"/>
              <w:right w:val="nil"/>
            </w:tcBorders>
            <w:vAlign w:val="center"/>
            <w:hideMark/>
          </w:tcPr>
          <w:p w14:paraId="262E1361" w14:textId="77777777" w:rsidR="00204E4E" w:rsidRPr="00204E4E" w:rsidRDefault="00204E4E" w:rsidP="00204E4E">
            <w:pPr>
              <w:spacing w:after="0" w:line="240" w:lineRule="auto"/>
              <w:rPr>
                <w:rFonts w:ascii="Times New Roman" w:hAnsi="Times New Roman"/>
                <w:color w:val="000000"/>
                <w:sz w:val="18"/>
                <w:szCs w:val="18"/>
                <w:lang w:eastAsia="sk-SK"/>
              </w:rPr>
            </w:pPr>
            <w:r w:rsidRPr="00204E4E">
              <w:rPr>
                <w:rFonts w:ascii="Times New Roman" w:hAnsi="Times New Roman"/>
                <w:color w:val="000000"/>
                <w:sz w:val="18"/>
                <w:szCs w:val="18"/>
                <w:lang w:eastAsia="sk-SK"/>
              </w:rPr>
              <w:t>Náklady SEPS, a.s. na prevádzku systému</w:t>
            </w:r>
          </w:p>
        </w:tc>
        <w:tc>
          <w:tcPr>
            <w:tcW w:w="782" w:type="pct"/>
            <w:tcBorders>
              <w:top w:val="nil"/>
              <w:left w:val="nil"/>
              <w:bottom w:val="nil"/>
              <w:right w:val="nil"/>
            </w:tcBorders>
            <w:vAlign w:val="center"/>
            <w:hideMark/>
          </w:tcPr>
          <w:p w14:paraId="50AA3CF7" w14:textId="77777777" w:rsidR="00204E4E" w:rsidRPr="00204E4E" w:rsidRDefault="00204E4E" w:rsidP="00204E4E">
            <w:pPr>
              <w:spacing w:after="0" w:line="240" w:lineRule="auto"/>
              <w:jc w:val="right"/>
              <w:rPr>
                <w:rFonts w:ascii="Times New Roman" w:hAnsi="Times New Roman"/>
                <w:color w:val="000000"/>
                <w:sz w:val="18"/>
                <w:szCs w:val="18"/>
                <w:lang w:eastAsia="sk-SK"/>
              </w:rPr>
            </w:pPr>
            <w:r w:rsidRPr="00204E4E">
              <w:rPr>
                <w:rFonts w:ascii="Times New Roman" w:hAnsi="Times New Roman"/>
                <w:color w:val="000000"/>
                <w:sz w:val="18"/>
                <w:szCs w:val="18"/>
                <w:lang w:eastAsia="sk-SK"/>
              </w:rPr>
              <w:t>681 027</w:t>
            </w:r>
          </w:p>
        </w:tc>
        <w:tc>
          <w:tcPr>
            <w:tcW w:w="782" w:type="pct"/>
            <w:tcBorders>
              <w:top w:val="nil"/>
              <w:left w:val="nil"/>
              <w:bottom w:val="nil"/>
              <w:right w:val="nil"/>
            </w:tcBorders>
            <w:vAlign w:val="center"/>
            <w:hideMark/>
          </w:tcPr>
          <w:p w14:paraId="2DF1A992" w14:textId="77777777" w:rsidR="00204E4E" w:rsidRPr="00204E4E" w:rsidRDefault="00204E4E" w:rsidP="00204E4E">
            <w:pPr>
              <w:spacing w:after="0" w:line="240" w:lineRule="auto"/>
              <w:jc w:val="right"/>
              <w:rPr>
                <w:rFonts w:ascii="Times New Roman" w:hAnsi="Times New Roman"/>
                <w:color w:val="000000"/>
                <w:sz w:val="18"/>
                <w:szCs w:val="18"/>
                <w:lang w:eastAsia="sk-SK"/>
              </w:rPr>
            </w:pPr>
            <w:r w:rsidRPr="00204E4E">
              <w:rPr>
                <w:rFonts w:ascii="Times New Roman" w:hAnsi="Times New Roman"/>
                <w:color w:val="000000"/>
                <w:sz w:val="18"/>
                <w:szCs w:val="18"/>
                <w:lang w:eastAsia="sk-SK"/>
              </w:rPr>
              <w:t>730 125</w:t>
            </w:r>
          </w:p>
        </w:tc>
        <w:tc>
          <w:tcPr>
            <w:tcW w:w="783" w:type="pct"/>
            <w:tcBorders>
              <w:top w:val="nil"/>
              <w:left w:val="nil"/>
              <w:bottom w:val="nil"/>
              <w:right w:val="nil"/>
            </w:tcBorders>
            <w:vAlign w:val="center"/>
            <w:hideMark/>
          </w:tcPr>
          <w:p w14:paraId="2B0317B6" w14:textId="77777777" w:rsidR="00204E4E" w:rsidRPr="00204E4E" w:rsidRDefault="00204E4E" w:rsidP="00204E4E">
            <w:pPr>
              <w:spacing w:after="0" w:line="240" w:lineRule="auto"/>
              <w:jc w:val="right"/>
              <w:rPr>
                <w:rFonts w:ascii="Times New Roman" w:hAnsi="Times New Roman"/>
                <w:color w:val="000000"/>
                <w:sz w:val="18"/>
                <w:szCs w:val="18"/>
                <w:lang w:eastAsia="sk-SK"/>
              </w:rPr>
            </w:pPr>
            <w:r w:rsidRPr="00204E4E">
              <w:rPr>
                <w:rFonts w:ascii="Times New Roman" w:hAnsi="Times New Roman"/>
                <w:color w:val="000000"/>
                <w:sz w:val="18"/>
                <w:szCs w:val="18"/>
                <w:lang w:eastAsia="sk-SK"/>
              </w:rPr>
              <w:t>-49 098</w:t>
            </w:r>
          </w:p>
        </w:tc>
      </w:tr>
      <w:tr w:rsidR="00204E4E" w:rsidRPr="00204E4E" w14:paraId="0669324B" w14:textId="77777777" w:rsidTr="00A7107D">
        <w:trPr>
          <w:trHeight w:val="227"/>
          <w:jc w:val="center"/>
        </w:trPr>
        <w:tc>
          <w:tcPr>
            <w:tcW w:w="2653" w:type="pct"/>
            <w:tcBorders>
              <w:top w:val="nil"/>
              <w:left w:val="nil"/>
              <w:bottom w:val="nil"/>
              <w:right w:val="nil"/>
            </w:tcBorders>
            <w:vAlign w:val="center"/>
            <w:hideMark/>
          </w:tcPr>
          <w:p w14:paraId="5BDB993E" w14:textId="77777777" w:rsidR="00204E4E" w:rsidRPr="00204E4E" w:rsidRDefault="00204E4E" w:rsidP="00204E4E">
            <w:pPr>
              <w:spacing w:after="0" w:line="240" w:lineRule="auto"/>
              <w:rPr>
                <w:rFonts w:ascii="Times New Roman" w:hAnsi="Times New Roman"/>
                <w:color w:val="000000"/>
                <w:sz w:val="18"/>
                <w:szCs w:val="18"/>
                <w:lang w:eastAsia="sk-SK"/>
              </w:rPr>
            </w:pPr>
            <w:r w:rsidRPr="00204E4E">
              <w:rPr>
                <w:rFonts w:ascii="Times New Roman" w:hAnsi="Times New Roman"/>
                <w:color w:val="000000"/>
                <w:sz w:val="18"/>
                <w:szCs w:val="18"/>
                <w:lang w:eastAsia="sk-SK"/>
              </w:rPr>
              <w:t xml:space="preserve">Náklady za dostupnosť </w:t>
            </w:r>
          </w:p>
        </w:tc>
        <w:tc>
          <w:tcPr>
            <w:tcW w:w="782" w:type="pct"/>
            <w:tcBorders>
              <w:top w:val="nil"/>
              <w:left w:val="nil"/>
              <w:bottom w:val="nil"/>
              <w:right w:val="nil"/>
            </w:tcBorders>
            <w:vAlign w:val="center"/>
            <w:hideMark/>
          </w:tcPr>
          <w:p w14:paraId="1292D0F8" w14:textId="77777777" w:rsidR="00204E4E" w:rsidRPr="00204E4E" w:rsidRDefault="00204E4E" w:rsidP="00204E4E">
            <w:pPr>
              <w:spacing w:after="0" w:line="240" w:lineRule="auto"/>
              <w:jc w:val="right"/>
              <w:rPr>
                <w:rFonts w:ascii="Times New Roman" w:hAnsi="Times New Roman"/>
                <w:color w:val="000000"/>
                <w:sz w:val="18"/>
                <w:szCs w:val="18"/>
                <w:lang w:eastAsia="sk-SK"/>
              </w:rPr>
            </w:pPr>
            <w:r w:rsidRPr="00204E4E">
              <w:rPr>
                <w:rFonts w:ascii="Times New Roman" w:hAnsi="Times New Roman"/>
                <w:color w:val="000000"/>
                <w:sz w:val="18"/>
                <w:szCs w:val="18"/>
                <w:lang w:eastAsia="sk-SK"/>
              </w:rPr>
              <w:t>195 097</w:t>
            </w:r>
          </w:p>
        </w:tc>
        <w:tc>
          <w:tcPr>
            <w:tcW w:w="782" w:type="pct"/>
            <w:tcBorders>
              <w:top w:val="nil"/>
              <w:left w:val="nil"/>
              <w:bottom w:val="nil"/>
              <w:right w:val="nil"/>
            </w:tcBorders>
            <w:vAlign w:val="center"/>
            <w:hideMark/>
          </w:tcPr>
          <w:p w14:paraId="25676DB9" w14:textId="77777777" w:rsidR="00204E4E" w:rsidRPr="00204E4E" w:rsidRDefault="00204E4E" w:rsidP="00204E4E">
            <w:pPr>
              <w:spacing w:after="0" w:line="240" w:lineRule="auto"/>
              <w:jc w:val="right"/>
              <w:rPr>
                <w:rFonts w:ascii="Times New Roman" w:hAnsi="Times New Roman"/>
                <w:color w:val="000000"/>
                <w:sz w:val="18"/>
                <w:szCs w:val="18"/>
                <w:lang w:eastAsia="sk-SK"/>
              </w:rPr>
            </w:pPr>
            <w:r w:rsidRPr="00204E4E">
              <w:rPr>
                <w:rFonts w:ascii="Times New Roman" w:hAnsi="Times New Roman"/>
                <w:color w:val="000000"/>
                <w:sz w:val="18"/>
                <w:szCs w:val="18"/>
                <w:lang w:eastAsia="sk-SK"/>
              </w:rPr>
              <w:t>199 409</w:t>
            </w:r>
          </w:p>
        </w:tc>
        <w:tc>
          <w:tcPr>
            <w:tcW w:w="783" w:type="pct"/>
            <w:tcBorders>
              <w:top w:val="nil"/>
              <w:left w:val="nil"/>
              <w:bottom w:val="nil"/>
              <w:right w:val="nil"/>
            </w:tcBorders>
            <w:vAlign w:val="center"/>
            <w:hideMark/>
          </w:tcPr>
          <w:p w14:paraId="0BE90B75" w14:textId="77777777" w:rsidR="00204E4E" w:rsidRPr="00204E4E" w:rsidRDefault="00204E4E" w:rsidP="00204E4E">
            <w:pPr>
              <w:spacing w:after="0" w:line="240" w:lineRule="auto"/>
              <w:jc w:val="right"/>
              <w:rPr>
                <w:rFonts w:ascii="Times New Roman" w:hAnsi="Times New Roman"/>
                <w:color w:val="000000"/>
                <w:sz w:val="18"/>
                <w:szCs w:val="18"/>
                <w:lang w:eastAsia="sk-SK"/>
              </w:rPr>
            </w:pPr>
            <w:r w:rsidRPr="00204E4E">
              <w:rPr>
                <w:rFonts w:ascii="Times New Roman" w:hAnsi="Times New Roman"/>
                <w:color w:val="000000"/>
                <w:sz w:val="18"/>
                <w:szCs w:val="18"/>
                <w:lang w:eastAsia="sk-SK"/>
              </w:rPr>
              <w:t>-4 312</w:t>
            </w:r>
          </w:p>
        </w:tc>
      </w:tr>
      <w:tr w:rsidR="00204E4E" w:rsidRPr="00204E4E" w14:paraId="175B923B" w14:textId="77777777" w:rsidTr="00A7107D">
        <w:trPr>
          <w:trHeight w:val="227"/>
          <w:jc w:val="center"/>
        </w:trPr>
        <w:tc>
          <w:tcPr>
            <w:tcW w:w="2653" w:type="pct"/>
            <w:tcBorders>
              <w:top w:val="nil"/>
              <w:left w:val="nil"/>
              <w:bottom w:val="nil"/>
              <w:right w:val="nil"/>
            </w:tcBorders>
            <w:vAlign w:val="center"/>
            <w:hideMark/>
          </w:tcPr>
          <w:p w14:paraId="0CBB0FDC" w14:textId="77777777" w:rsidR="00204E4E" w:rsidRPr="00204E4E" w:rsidRDefault="00204E4E" w:rsidP="00204E4E">
            <w:pPr>
              <w:spacing w:after="0" w:line="240" w:lineRule="auto"/>
              <w:rPr>
                <w:rFonts w:ascii="Times New Roman" w:hAnsi="Times New Roman"/>
                <w:color w:val="000000"/>
                <w:sz w:val="18"/>
                <w:szCs w:val="18"/>
                <w:lang w:eastAsia="sk-SK"/>
              </w:rPr>
            </w:pPr>
            <w:r w:rsidRPr="00204E4E">
              <w:rPr>
                <w:rFonts w:ascii="Times New Roman" w:hAnsi="Times New Roman"/>
                <w:color w:val="000000"/>
                <w:sz w:val="18"/>
                <w:szCs w:val="18"/>
                <w:lang w:eastAsia="sk-SK"/>
              </w:rPr>
              <w:t>Cestovné</w:t>
            </w:r>
          </w:p>
        </w:tc>
        <w:tc>
          <w:tcPr>
            <w:tcW w:w="782" w:type="pct"/>
            <w:tcBorders>
              <w:top w:val="nil"/>
              <w:left w:val="nil"/>
              <w:bottom w:val="nil"/>
              <w:right w:val="nil"/>
            </w:tcBorders>
            <w:vAlign w:val="center"/>
            <w:hideMark/>
          </w:tcPr>
          <w:p w14:paraId="7F5C2FA1" w14:textId="77777777" w:rsidR="00204E4E" w:rsidRPr="00204E4E" w:rsidRDefault="00204E4E" w:rsidP="00204E4E">
            <w:pPr>
              <w:spacing w:after="0" w:line="240" w:lineRule="auto"/>
              <w:jc w:val="right"/>
              <w:rPr>
                <w:rFonts w:ascii="Times New Roman" w:hAnsi="Times New Roman"/>
                <w:color w:val="000000"/>
                <w:sz w:val="18"/>
                <w:szCs w:val="18"/>
                <w:lang w:eastAsia="sk-SK"/>
              </w:rPr>
            </w:pPr>
            <w:r w:rsidRPr="00204E4E">
              <w:rPr>
                <w:rFonts w:ascii="Times New Roman" w:hAnsi="Times New Roman"/>
                <w:color w:val="000000"/>
                <w:sz w:val="18"/>
                <w:szCs w:val="18"/>
                <w:lang w:eastAsia="sk-SK"/>
              </w:rPr>
              <w:t>97 259</w:t>
            </w:r>
          </w:p>
        </w:tc>
        <w:tc>
          <w:tcPr>
            <w:tcW w:w="782" w:type="pct"/>
            <w:tcBorders>
              <w:top w:val="nil"/>
              <w:left w:val="nil"/>
              <w:bottom w:val="nil"/>
              <w:right w:val="nil"/>
            </w:tcBorders>
            <w:vAlign w:val="center"/>
            <w:hideMark/>
          </w:tcPr>
          <w:p w14:paraId="0E9C22FC" w14:textId="77777777" w:rsidR="00204E4E" w:rsidRPr="00204E4E" w:rsidRDefault="00204E4E" w:rsidP="00204E4E">
            <w:pPr>
              <w:spacing w:after="0" w:line="240" w:lineRule="auto"/>
              <w:jc w:val="right"/>
              <w:rPr>
                <w:rFonts w:ascii="Times New Roman" w:hAnsi="Times New Roman"/>
                <w:color w:val="000000"/>
                <w:sz w:val="18"/>
                <w:szCs w:val="18"/>
                <w:lang w:eastAsia="sk-SK"/>
              </w:rPr>
            </w:pPr>
            <w:r w:rsidRPr="00204E4E">
              <w:rPr>
                <w:rFonts w:ascii="Times New Roman" w:hAnsi="Times New Roman"/>
                <w:color w:val="000000"/>
                <w:sz w:val="18"/>
                <w:szCs w:val="18"/>
                <w:lang w:eastAsia="sk-SK"/>
              </w:rPr>
              <w:t>98 275</w:t>
            </w:r>
          </w:p>
        </w:tc>
        <w:tc>
          <w:tcPr>
            <w:tcW w:w="783" w:type="pct"/>
            <w:tcBorders>
              <w:top w:val="nil"/>
              <w:left w:val="nil"/>
              <w:bottom w:val="nil"/>
              <w:right w:val="nil"/>
            </w:tcBorders>
            <w:vAlign w:val="center"/>
            <w:hideMark/>
          </w:tcPr>
          <w:p w14:paraId="16F6DBD1" w14:textId="77777777" w:rsidR="00204E4E" w:rsidRPr="00204E4E" w:rsidRDefault="00204E4E" w:rsidP="00204E4E">
            <w:pPr>
              <w:spacing w:after="0" w:line="240" w:lineRule="auto"/>
              <w:jc w:val="right"/>
              <w:rPr>
                <w:rFonts w:ascii="Times New Roman" w:hAnsi="Times New Roman"/>
                <w:color w:val="000000"/>
                <w:sz w:val="18"/>
                <w:szCs w:val="18"/>
                <w:lang w:eastAsia="sk-SK"/>
              </w:rPr>
            </w:pPr>
            <w:r w:rsidRPr="00204E4E">
              <w:rPr>
                <w:rFonts w:ascii="Times New Roman" w:hAnsi="Times New Roman"/>
                <w:color w:val="000000"/>
                <w:sz w:val="18"/>
                <w:szCs w:val="18"/>
                <w:lang w:eastAsia="sk-SK"/>
              </w:rPr>
              <w:t>-1 016</w:t>
            </w:r>
          </w:p>
        </w:tc>
      </w:tr>
      <w:tr w:rsidR="00204E4E" w:rsidRPr="00204E4E" w14:paraId="0F8C6814" w14:textId="77777777" w:rsidTr="00A7107D">
        <w:trPr>
          <w:trHeight w:val="227"/>
          <w:jc w:val="center"/>
        </w:trPr>
        <w:tc>
          <w:tcPr>
            <w:tcW w:w="2653" w:type="pct"/>
            <w:tcBorders>
              <w:top w:val="nil"/>
              <w:left w:val="nil"/>
              <w:bottom w:val="nil"/>
              <w:right w:val="nil"/>
            </w:tcBorders>
            <w:vAlign w:val="center"/>
            <w:hideMark/>
          </w:tcPr>
          <w:p w14:paraId="2F05A8D7" w14:textId="77777777" w:rsidR="00204E4E" w:rsidRPr="00204E4E" w:rsidRDefault="00204E4E" w:rsidP="00204E4E">
            <w:pPr>
              <w:spacing w:after="0" w:line="240" w:lineRule="auto"/>
              <w:rPr>
                <w:rFonts w:ascii="Times New Roman" w:hAnsi="Times New Roman"/>
                <w:color w:val="000000"/>
                <w:sz w:val="18"/>
                <w:szCs w:val="18"/>
                <w:lang w:eastAsia="sk-SK"/>
              </w:rPr>
            </w:pPr>
            <w:r w:rsidRPr="00204E4E">
              <w:rPr>
                <w:rFonts w:ascii="Times New Roman" w:hAnsi="Times New Roman"/>
                <w:color w:val="000000"/>
                <w:sz w:val="18"/>
                <w:szCs w:val="18"/>
                <w:lang w:eastAsia="sk-SK"/>
              </w:rPr>
              <w:t>Náklady na reprezentáciu</w:t>
            </w:r>
          </w:p>
        </w:tc>
        <w:tc>
          <w:tcPr>
            <w:tcW w:w="782" w:type="pct"/>
            <w:tcBorders>
              <w:top w:val="nil"/>
              <w:left w:val="nil"/>
              <w:bottom w:val="nil"/>
              <w:right w:val="nil"/>
            </w:tcBorders>
            <w:vAlign w:val="center"/>
            <w:hideMark/>
          </w:tcPr>
          <w:p w14:paraId="072B1DEB" w14:textId="77777777" w:rsidR="00204E4E" w:rsidRPr="00204E4E" w:rsidRDefault="00204E4E" w:rsidP="00204E4E">
            <w:pPr>
              <w:spacing w:after="0" w:line="240" w:lineRule="auto"/>
              <w:jc w:val="right"/>
              <w:rPr>
                <w:rFonts w:ascii="Times New Roman" w:hAnsi="Times New Roman"/>
                <w:color w:val="000000"/>
                <w:sz w:val="18"/>
                <w:szCs w:val="18"/>
                <w:lang w:eastAsia="sk-SK"/>
              </w:rPr>
            </w:pPr>
            <w:r w:rsidRPr="00204E4E">
              <w:rPr>
                <w:rFonts w:ascii="Times New Roman" w:hAnsi="Times New Roman"/>
                <w:color w:val="000000"/>
                <w:sz w:val="18"/>
                <w:szCs w:val="18"/>
                <w:lang w:eastAsia="sk-SK"/>
              </w:rPr>
              <w:t>30 885</w:t>
            </w:r>
          </w:p>
        </w:tc>
        <w:tc>
          <w:tcPr>
            <w:tcW w:w="782" w:type="pct"/>
            <w:tcBorders>
              <w:top w:val="nil"/>
              <w:left w:val="nil"/>
              <w:bottom w:val="nil"/>
              <w:right w:val="nil"/>
            </w:tcBorders>
            <w:vAlign w:val="center"/>
            <w:hideMark/>
          </w:tcPr>
          <w:p w14:paraId="1C2783BC" w14:textId="77777777" w:rsidR="00204E4E" w:rsidRPr="00204E4E" w:rsidRDefault="00204E4E" w:rsidP="00204E4E">
            <w:pPr>
              <w:spacing w:after="0" w:line="240" w:lineRule="auto"/>
              <w:jc w:val="right"/>
              <w:rPr>
                <w:rFonts w:ascii="Times New Roman" w:hAnsi="Times New Roman"/>
                <w:color w:val="000000"/>
                <w:sz w:val="18"/>
                <w:szCs w:val="18"/>
                <w:lang w:eastAsia="sk-SK"/>
              </w:rPr>
            </w:pPr>
            <w:r w:rsidRPr="00204E4E">
              <w:rPr>
                <w:rFonts w:ascii="Times New Roman" w:hAnsi="Times New Roman"/>
                <w:color w:val="000000"/>
                <w:sz w:val="18"/>
                <w:szCs w:val="18"/>
                <w:lang w:eastAsia="sk-SK"/>
              </w:rPr>
              <w:t>27 204</w:t>
            </w:r>
          </w:p>
        </w:tc>
        <w:tc>
          <w:tcPr>
            <w:tcW w:w="783" w:type="pct"/>
            <w:tcBorders>
              <w:top w:val="nil"/>
              <w:left w:val="nil"/>
              <w:bottom w:val="nil"/>
              <w:right w:val="nil"/>
            </w:tcBorders>
            <w:vAlign w:val="center"/>
            <w:hideMark/>
          </w:tcPr>
          <w:p w14:paraId="32F58217" w14:textId="77777777" w:rsidR="00204E4E" w:rsidRPr="00204E4E" w:rsidRDefault="00204E4E" w:rsidP="00204E4E">
            <w:pPr>
              <w:spacing w:after="0" w:line="240" w:lineRule="auto"/>
              <w:jc w:val="right"/>
              <w:rPr>
                <w:rFonts w:ascii="Times New Roman" w:hAnsi="Times New Roman"/>
                <w:color w:val="000000"/>
                <w:sz w:val="18"/>
                <w:szCs w:val="18"/>
                <w:lang w:eastAsia="sk-SK"/>
              </w:rPr>
            </w:pPr>
            <w:r w:rsidRPr="00204E4E">
              <w:rPr>
                <w:rFonts w:ascii="Times New Roman" w:hAnsi="Times New Roman"/>
                <w:color w:val="000000"/>
                <w:sz w:val="18"/>
                <w:szCs w:val="18"/>
                <w:lang w:eastAsia="sk-SK"/>
              </w:rPr>
              <w:t>3 681</w:t>
            </w:r>
          </w:p>
        </w:tc>
      </w:tr>
      <w:tr w:rsidR="00204E4E" w:rsidRPr="00204E4E" w14:paraId="2C67D8E8" w14:textId="77777777" w:rsidTr="00A7107D">
        <w:trPr>
          <w:trHeight w:val="227"/>
          <w:jc w:val="center"/>
        </w:trPr>
        <w:tc>
          <w:tcPr>
            <w:tcW w:w="2653" w:type="pct"/>
            <w:tcBorders>
              <w:top w:val="nil"/>
              <w:left w:val="nil"/>
              <w:bottom w:val="single" w:sz="8" w:space="0" w:color="auto"/>
              <w:right w:val="nil"/>
            </w:tcBorders>
            <w:vAlign w:val="center"/>
            <w:hideMark/>
          </w:tcPr>
          <w:p w14:paraId="188171D4" w14:textId="77777777" w:rsidR="00204E4E" w:rsidRPr="00204E4E" w:rsidRDefault="00204E4E" w:rsidP="00204E4E">
            <w:pPr>
              <w:spacing w:after="0" w:line="240" w:lineRule="auto"/>
              <w:rPr>
                <w:rFonts w:ascii="Times New Roman" w:hAnsi="Times New Roman"/>
                <w:color w:val="000000"/>
                <w:sz w:val="18"/>
                <w:szCs w:val="18"/>
                <w:lang w:eastAsia="sk-SK"/>
              </w:rPr>
            </w:pPr>
            <w:r w:rsidRPr="00204E4E">
              <w:rPr>
                <w:rFonts w:ascii="Times New Roman" w:hAnsi="Times New Roman"/>
                <w:color w:val="000000"/>
                <w:sz w:val="18"/>
                <w:szCs w:val="18"/>
                <w:lang w:eastAsia="sk-SK"/>
              </w:rPr>
              <w:t>Ostatné služby</w:t>
            </w:r>
          </w:p>
        </w:tc>
        <w:tc>
          <w:tcPr>
            <w:tcW w:w="782" w:type="pct"/>
            <w:tcBorders>
              <w:top w:val="nil"/>
              <w:left w:val="nil"/>
              <w:bottom w:val="single" w:sz="8" w:space="0" w:color="auto"/>
              <w:right w:val="nil"/>
            </w:tcBorders>
            <w:vAlign w:val="center"/>
            <w:hideMark/>
          </w:tcPr>
          <w:p w14:paraId="38F88C16" w14:textId="77777777" w:rsidR="00204E4E" w:rsidRPr="00204E4E" w:rsidRDefault="00204E4E" w:rsidP="00204E4E">
            <w:pPr>
              <w:spacing w:after="0" w:line="240" w:lineRule="auto"/>
              <w:jc w:val="right"/>
              <w:rPr>
                <w:rFonts w:ascii="Times New Roman" w:hAnsi="Times New Roman"/>
                <w:color w:val="000000"/>
                <w:sz w:val="18"/>
                <w:szCs w:val="18"/>
                <w:lang w:eastAsia="sk-SK"/>
              </w:rPr>
            </w:pPr>
            <w:r w:rsidRPr="00204E4E">
              <w:rPr>
                <w:rFonts w:ascii="Times New Roman" w:hAnsi="Times New Roman"/>
                <w:color w:val="000000"/>
                <w:sz w:val="18"/>
                <w:szCs w:val="18"/>
                <w:lang w:eastAsia="sk-SK"/>
              </w:rPr>
              <w:t>3 026 655</w:t>
            </w:r>
          </w:p>
        </w:tc>
        <w:tc>
          <w:tcPr>
            <w:tcW w:w="782" w:type="pct"/>
            <w:tcBorders>
              <w:top w:val="nil"/>
              <w:left w:val="nil"/>
              <w:bottom w:val="single" w:sz="8" w:space="0" w:color="auto"/>
              <w:right w:val="nil"/>
            </w:tcBorders>
            <w:vAlign w:val="center"/>
            <w:hideMark/>
          </w:tcPr>
          <w:p w14:paraId="3222F911" w14:textId="77777777" w:rsidR="00204E4E" w:rsidRPr="00204E4E" w:rsidRDefault="00204E4E" w:rsidP="00204E4E">
            <w:pPr>
              <w:spacing w:after="0" w:line="240" w:lineRule="auto"/>
              <w:jc w:val="right"/>
              <w:rPr>
                <w:rFonts w:ascii="Times New Roman" w:hAnsi="Times New Roman"/>
                <w:color w:val="000000"/>
                <w:sz w:val="18"/>
                <w:szCs w:val="18"/>
                <w:lang w:eastAsia="sk-SK"/>
              </w:rPr>
            </w:pPr>
            <w:r w:rsidRPr="00204E4E">
              <w:rPr>
                <w:rFonts w:ascii="Times New Roman" w:hAnsi="Times New Roman"/>
                <w:color w:val="000000"/>
                <w:sz w:val="18"/>
                <w:szCs w:val="18"/>
                <w:lang w:eastAsia="sk-SK"/>
              </w:rPr>
              <w:t>2 939 646</w:t>
            </w:r>
          </w:p>
        </w:tc>
        <w:tc>
          <w:tcPr>
            <w:tcW w:w="783" w:type="pct"/>
            <w:tcBorders>
              <w:top w:val="nil"/>
              <w:left w:val="nil"/>
              <w:bottom w:val="nil"/>
              <w:right w:val="nil"/>
            </w:tcBorders>
            <w:vAlign w:val="center"/>
            <w:hideMark/>
          </w:tcPr>
          <w:p w14:paraId="02B9C930" w14:textId="77777777" w:rsidR="00204E4E" w:rsidRPr="00204E4E" w:rsidRDefault="00204E4E" w:rsidP="00204E4E">
            <w:pPr>
              <w:spacing w:after="0" w:line="240" w:lineRule="auto"/>
              <w:jc w:val="right"/>
              <w:rPr>
                <w:rFonts w:ascii="Times New Roman" w:hAnsi="Times New Roman"/>
                <w:color w:val="000000"/>
                <w:sz w:val="18"/>
                <w:szCs w:val="18"/>
                <w:lang w:eastAsia="sk-SK"/>
              </w:rPr>
            </w:pPr>
            <w:r w:rsidRPr="00204E4E">
              <w:rPr>
                <w:rFonts w:ascii="Times New Roman" w:hAnsi="Times New Roman"/>
                <w:color w:val="000000"/>
                <w:sz w:val="18"/>
                <w:szCs w:val="18"/>
                <w:lang w:eastAsia="sk-SK"/>
              </w:rPr>
              <w:t>87 009</w:t>
            </w:r>
          </w:p>
        </w:tc>
      </w:tr>
      <w:tr w:rsidR="00204E4E" w:rsidRPr="00204E4E" w14:paraId="723A351F" w14:textId="77777777" w:rsidTr="00A7107D">
        <w:trPr>
          <w:trHeight w:val="227"/>
          <w:jc w:val="center"/>
        </w:trPr>
        <w:tc>
          <w:tcPr>
            <w:tcW w:w="2653" w:type="pct"/>
            <w:tcBorders>
              <w:top w:val="nil"/>
              <w:left w:val="nil"/>
              <w:bottom w:val="single" w:sz="8" w:space="0" w:color="000000"/>
              <w:right w:val="nil"/>
            </w:tcBorders>
            <w:vAlign w:val="center"/>
            <w:hideMark/>
          </w:tcPr>
          <w:p w14:paraId="26F9050A" w14:textId="77777777" w:rsidR="00204E4E" w:rsidRPr="00204E4E" w:rsidRDefault="00204E4E" w:rsidP="00204E4E">
            <w:pPr>
              <w:spacing w:after="0" w:line="240" w:lineRule="auto"/>
              <w:rPr>
                <w:rFonts w:ascii="Times New Roman" w:hAnsi="Times New Roman"/>
                <w:b/>
                <w:bCs/>
                <w:color w:val="000000"/>
                <w:sz w:val="18"/>
                <w:szCs w:val="18"/>
                <w:lang w:eastAsia="sk-SK"/>
              </w:rPr>
            </w:pPr>
            <w:r w:rsidRPr="00204E4E">
              <w:rPr>
                <w:rFonts w:ascii="Times New Roman" w:hAnsi="Times New Roman"/>
                <w:b/>
                <w:bCs/>
                <w:color w:val="000000"/>
                <w:sz w:val="18"/>
                <w:szCs w:val="18"/>
                <w:lang w:eastAsia="sk-SK"/>
              </w:rPr>
              <w:t>Spolu</w:t>
            </w:r>
          </w:p>
        </w:tc>
        <w:tc>
          <w:tcPr>
            <w:tcW w:w="782" w:type="pct"/>
            <w:tcBorders>
              <w:top w:val="nil"/>
              <w:left w:val="nil"/>
              <w:bottom w:val="nil"/>
              <w:right w:val="nil"/>
            </w:tcBorders>
            <w:vAlign w:val="center"/>
            <w:hideMark/>
          </w:tcPr>
          <w:p w14:paraId="3A43296C" w14:textId="77777777" w:rsidR="00204E4E" w:rsidRPr="00204E4E" w:rsidRDefault="00204E4E" w:rsidP="00204E4E">
            <w:pPr>
              <w:spacing w:after="0" w:line="240" w:lineRule="auto"/>
              <w:jc w:val="right"/>
              <w:rPr>
                <w:rFonts w:ascii="Times New Roman" w:hAnsi="Times New Roman"/>
                <w:b/>
                <w:bCs/>
                <w:color w:val="000000"/>
                <w:sz w:val="18"/>
                <w:szCs w:val="18"/>
                <w:lang w:eastAsia="sk-SK"/>
              </w:rPr>
            </w:pPr>
            <w:r w:rsidRPr="00204E4E">
              <w:rPr>
                <w:rFonts w:ascii="Times New Roman" w:hAnsi="Times New Roman"/>
                <w:b/>
                <w:bCs/>
                <w:color w:val="000000"/>
                <w:sz w:val="18"/>
                <w:szCs w:val="18"/>
                <w:lang w:eastAsia="sk-SK"/>
              </w:rPr>
              <w:t>8 134 911</w:t>
            </w:r>
          </w:p>
        </w:tc>
        <w:tc>
          <w:tcPr>
            <w:tcW w:w="782" w:type="pct"/>
            <w:tcBorders>
              <w:top w:val="nil"/>
              <w:left w:val="nil"/>
              <w:bottom w:val="nil"/>
              <w:right w:val="nil"/>
            </w:tcBorders>
            <w:vAlign w:val="center"/>
            <w:hideMark/>
          </w:tcPr>
          <w:p w14:paraId="3D98F771" w14:textId="77777777" w:rsidR="00204E4E" w:rsidRPr="00204E4E" w:rsidRDefault="00204E4E" w:rsidP="00204E4E">
            <w:pPr>
              <w:spacing w:after="0" w:line="240" w:lineRule="auto"/>
              <w:jc w:val="right"/>
              <w:rPr>
                <w:rFonts w:ascii="Times New Roman" w:hAnsi="Times New Roman"/>
                <w:b/>
                <w:bCs/>
                <w:color w:val="000000"/>
                <w:sz w:val="18"/>
                <w:szCs w:val="18"/>
                <w:lang w:eastAsia="sk-SK"/>
              </w:rPr>
            </w:pPr>
            <w:r w:rsidRPr="00204E4E">
              <w:rPr>
                <w:rFonts w:ascii="Times New Roman" w:hAnsi="Times New Roman"/>
                <w:b/>
                <w:bCs/>
                <w:color w:val="000000"/>
                <w:sz w:val="18"/>
                <w:szCs w:val="18"/>
                <w:lang w:eastAsia="sk-SK"/>
              </w:rPr>
              <w:t>7 823 594</w:t>
            </w:r>
          </w:p>
        </w:tc>
        <w:tc>
          <w:tcPr>
            <w:tcW w:w="783" w:type="pct"/>
            <w:tcBorders>
              <w:top w:val="single" w:sz="8" w:space="0" w:color="000000"/>
              <w:left w:val="nil"/>
              <w:bottom w:val="single" w:sz="8" w:space="0" w:color="000000"/>
              <w:right w:val="nil"/>
            </w:tcBorders>
            <w:vAlign w:val="center"/>
            <w:hideMark/>
          </w:tcPr>
          <w:p w14:paraId="30597069" w14:textId="77777777" w:rsidR="00204E4E" w:rsidRPr="00204E4E" w:rsidRDefault="00204E4E" w:rsidP="00204E4E">
            <w:pPr>
              <w:spacing w:after="0" w:line="240" w:lineRule="auto"/>
              <w:jc w:val="right"/>
              <w:rPr>
                <w:rFonts w:ascii="Times New Roman" w:hAnsi="Times New Roman"/>
                <w:b/>
                <w:bCs/>
                <w:color w:val="000000"/>
                <w:sz w:val="18"/>
                <w:szCs w:val="18"/>
                <w:lang w:eastAsia="sk-SK"/>
              </w:rPr>
            </w:pPr>
            <w:r w:rsidRPr="00204E4E">
              <w:rPr>
                <w:rFonts w:ascii="Times New Roman" w:hAnsi="Times New Roman"/>
                <w:b/>
                <w:bCs/>
                <w:color w:val="000000"/>
                <w:sz w:val="18"/>
                <w:szCs w:val="18"/>
                <w:lang w:eastAsia="sk-SK"/>
              </w:rPr>
              <w:t>311 317</w:t>
            </w:r>
          </w:p>
        </w:tc>
      </w:tr>
      <w:tr w:rsidR="00204E4E" w:rsidRPr="00204E4E" w14:paraId="42617A69" w14:textId="77777777" w:rsidTr="0085799C">
        <w:trPr>
          <w:trHeight w:val="227"/>
          <w:jc w:val="center"/>
        </w:trPr>
        <w:tc>
          <w:tcPr>
            <w:tcW w:w="5000" w:type="pct"/>
            <w:gridSpan w:val="4"/>
            <w:tcBorders>
              <w:top w:val="single" w:sz="8" w:space="0" w:color="000000"/>
              <w:left w:val="nil"/>
              <w:bottom w:val="nil"/>
              <w:right w:val="nil"/>
            </w:tcBorders>
            <w:noWrap/>
            <w:vAlign w:val="center"/>
            <w:hideMark/>
          </w:tcPr>
          <w:p w14:paraId="3E14E351" w14:textId="77777777" w:rsidR="00204E4E" w:rsidRPr="00204E4E" w:rsidRDefault="00204E4E" w:rsidP="00204E4E">
            <w:pPr>
              <w:spacing w:after="0" w:line="240" w:lineRule="auto"/>
              <w:jc w:val="right"/>
              <w:rPr>
                <w:rFonts w:ascii="Times New Roman" w:hAnsi="Times New Roman"/>
                <w:color w:val="000000"/>
                <w:sz w:val="16"/>
                <w:szCs w:val="16"/>
                <w:lang w:eastAsia="sk-SK"/>
              </w:rPr>
            </w:pPr>
            <w:r w:rsidRPr="00204E4E">
              <w:rPr>
                <w:rFonts w:ascii="Times New Roman" w:hAnsi="Times New Roman"/>
                <w:color w:val="000000"/>
                <w:sz w:val="16"/>
                <w:szCs w:val="16"/>
                <w:lang w:eastAsia="sk-SK"/>
              </w:rPr>
              <w:t>Zdroj: MF SR, Centrálny konsolidačný systém</w:t>
            </w:r>
          </w:p>
        </w:tc>
      </w:tr>
    </w:tbl>
    <w:p w14:paraId="74896450" w14:textId="77777777" w:rsidR="00D22E9A" w:rsidRPr="00EE0FA7" w:rsidRDefault="00D22E9A" w:rsidP="00647542">
      <w:pPr>
        <w:spacing w:after="120" w:line="240" w:lineRule="auto"/>
        <w:jc w:val="both"/>
        <w:rPr>
          <w:rFonts w:ascii="Times New Roman" w:hAnsi="Times New Roman"/>
          <w:color w:val="000000" w:themeColor="text1"/>
          <w:szCs w:val="22"/>
        </w:rPr>
      </w:pPr>
    </w:p>
    <w:p w14:paraId="4227A88F" w14:textId="0C9D2240" w:rsidR="008E3959" w:rsidRPr="00EE0FA7" w:rsidRDefault="00647542" w:rsidP="008E3959">
      <w:pPr>
        <w:spacing w:after="120" w:line="240" w:lineRule="auto"/>
        <w:jc w:val="both"/>
        <w:rPr>
          <w:rFonts w:ascii="Times New Roman" w:hAnsi="Times New Roman"/>
          <w:color w:val="000000" w:themeColor="text1"/>
          <w:szCs w:val="22"/>
          <w:lang w:eastAsia="sk-SK"/>
        </w:rPr>
      </w:pPr>
      <w:r w:rsidRPr="0085799C">
        <w:rPr>
          <w:rFonts w:ascii="Times New Roman" w:hAnsi="Times New Roman"/>
          <w:color w:val="000000" w:themeColor="text1"/>
          <w:szCs w:val="22"/>
          <w:u w:val="single"/>
          <w:lang w:eastAsia="sk-SK"/>
        </w:rPr>
        <w:t>Všeobecná zdravotná poisťovňa, a.s.</w:t>
      </w:r>
      <w:r w:rsidRPr="00EE0FA7">
        <w:rPr>
          <w:rFonts w:ascii="Times New Roman" w:hAnsi="Times New Roman"/>
          <w:color w:val="000000" w:themeColor="text1"/>
          <w:szCs w:val="22"/>
        </w:rPr>
        <w:t xml:space="preserve"> vykázala </w:t>
      </w:r>
      <w:r w:rsidRPr="0085799C">
        <w:rPr>
          <w:rFonts w:ascii="Times New Roman" w:hAnsi="Times New Roman"/>
          <w:color w:val="000000" w:themeColor="text1"/>
          <w:szCs w:val="22"/>
        </w:rPr>
        <w:t>náklady na ostatné služby</w:t>
      </w:r>
      <w:r w:rsidRPr="00EE0FA7">
        <w:rPr>
          <w:rFonts w:ascii="Times New Roman" w:hAnsi="Times New Roman"/>
          <w:color w:val="000000" w:themeColor="text1"/>
          <w:szCs w:val="22"/>
        </w:rPr>
        <w:t xml:space="preserve"> v celkovej sume </w:t>
      </w:r>
      <w:r w:rsidR="003F2E0C" w:rsidRPr="0085799C">
        <w:rPr>
          <w:rFonts w:ascii="Times New Roman" w:hAnsi="Times New Roman"/>
          <w:color w:val="000000" w:themeColor="text1"/>
          <w:szCs w:val="22"/>
        </w:rPr>
        <w:t>3 148</w:t>
      </w:r>
      <w:r w:rsidR="00E61C38">
        <w:rPr>
          <w:rFonts w:ascii="Times New Roman" w:hAnsi="Times New Roman"/>
          <w:color w:val="000000" w:themeColor="text1"/>
          <w:szCs w:val="22"/>
        </w:rPr>
        <w:t> </w:t>
      </w:r>
      <w:r w:rsidR="003F2E0C" w:rsidRPr="0085799C">
        <w:rPr>
          <w:rFonts w:ascii="Times New Roman" w:hAnsi="Times New Roman"/>
          <w:color w:val="000000" w:themeColor="text1"/>
          <w:szCs w:val="22"/>
        </w:rPr>
        <w:t>781</w:t>
      </w:r>
      <w:r w:rsidRPr="00EE0FA7">
        <w:rPr>
          <w:rFonts w:ascii="Times New Roman" w:hAnsi="Times New Roman"/>
          <w:color w:val="000000" w:themeColor="text1"/>
          <w:szCs w:val="22"/>
        </w:rPr>
        <w:t> tis. eur. Ide najmä o </w:t>
      </w:r>
      <w:r w:rsidRPr="00EE0FA7">
        <w:rPr>
          <w:rFonts w:ascii="Times New Roman" w:hAnsi="Times New Roman"/>
          <w:color w:val="000000" w:themeColor="text1"/>
          <w:szCs w:val="22"/>
          <w:u w:val="single"/>
        </w:rPr>
        <w:t>náklady na zdravotnú starostlivosť</w:t>
      </w:r>
      <w:r w:rsidRPr="00EE0FA7">
        <w:rPr>
          <w:rFonts w:ascii="Times New Roman" w:hAnsi="Times New Roman"/>
          <w:color w:val="000000" w:themeColor="text1"/>
          <w:szCs w:val="22"/>
        </w:rPr>
        <w:t xml:space="preserve"> (</w:t>
      </w:r>
      <w:r w:rsidR="003F2E0C" w:rsidRPr="0085799C">
        <w:rPr>
          <w:rFonts w:ascii="Times New Roman" w:hAnsi="Times New Roman"/>
          <w:color w:val="000000" w:themeColor="text1"/>
        </w:rPr>
        <w:t xml:space="preserve">viac než </w:t>
      </w:r>
      <w:r w:rsidRPr="00EE0FA7">
        <w:rPr>
          <w:rFonts w:ascii="Times New Roman" w:hAnsi="Times New Roman"/>
          <w:color w:val="000000" w:themeColor="text1"/>
          <w:szCs w:val="22"/>
        </w:rPr>
        <w:t>9</w:t>
      </w:r>
      <w:r w:rsidR="003F2E0C" w:rsidRPr="0085799C">
        <w:rPr>
          <w:rFonts w:ascii="Times New Roman" w:hAnsi="Times New Roman"/>
          <w:color w:val="000000" w:themeColor="text1"/>
        </w:rPr>
        <w:t>0</w:t>
      </w:r>
      <w:r w:rsidRPr="00EE0FA7">
        <w:rPr>
          <w:rFonts w:ascii="Times New Roman" w:hAnsi="Times New Roman"/>
          <w:color w:val="000000" w:themeColor="text1"/>
          <w:szCs w:val="22"/>
        </w:rPr>
        <w:t xml:space="preserve"> %) pre poistencov v Slovenskej republike i v zahraničí a poistencov EÚ v Slovenskej republike a malú časť tvoria </w:t>
      </w:r>
      <w:r w:rsidRPr="00EE0FA7">
        <w:rPr>
          <w:rFonts w:ascii="Times New Roman" w:hAnsi="Times New Roman"/>
          <w:color w:val="000000" w:themeColor="text1"/>
          <w:szCs w:val="22"/>
          <w:u w:val="single"/>
        </w:rPr>
        <w:t>prevádzkové náklady</w:t>
      </w:r>
      <w:r w:rsidRPr="0085799C">
        <w:rPr>
          <w:rFonts w:ascii="Times New Roman" w:hAnsi="Times New Roman"/>
          <w:color w:val="000000" w:themeColor="text1"/>
          <w:u w:val="single"/>
        </w:rPr>
        <w:t xml:space="preserve"> </w:t>
      </w:r>
      <w:r w:rsidRPr="00EE0FA7">
        <w:rPr>
          <w:rFonts w:ascii="Times New Roman" w:hAnsi="Times New Roman"/>
          <w:color w:val="000000" w:themeColor="text1"/>
          <w:szCs w:val="22"/>
          <w:u w:val="single"/>
        </w:rPr>
        <w:t>(</w:t>
      </w:r>
      <w:r w:rsidR="00946DAC" w:rsidRPr="00EE0FA7">
        <w:rPr>
          <w:rFonts w:ascii="Times New Roman" w:hAnsi="Times New Roman"/>
          <w:color w:val="000000" w:themeColor="text1"/>
          <w:szCs w:val="22"/>
          <w:lang w:eastAsia="sk-SK"/>
        </w:rPr>
        <w:t>na informačný systém, poštové poplatky, nájomné)</w:t>
      </w:r>
      <w:r w:rsidRPr="00EE0FA7">
        <w:rPr>
          <w:rFonts w:ascii="Times New Roman" w:hAnsi="Times New Roman"/>
          <w:color w:val="000000" w:themeColor="text1"/>
          <w:szCs w:val="22"/>
        </w:rPr>
        <w:t xml:space="preserve">. </w:t>
      </w:r>
      <w:r w:rsidR="008E3959" w:rsidRPr="00EE0FA7">
        <w:rPr>
          <w:rFonts w:ascii="Times New Roman" w:hAnsi="Times New Roman"/>
          <w:color w:val="000000" w:themeColor="text1"/>
          <w:szCs w:val="22"/>
          <w:lang w:eastAsia="sk-SK"/>
        </w:rPr>
        <w:t>Najvyšší medziročný</w:t>
      </w:r>
      <w:r w:rsidRPr="00EE0FA7">
        <w:rPr>
          <w:rFonts w:ascii="Times New Roman" w:hAnsi="Times New Roman"/>
          <w:color w:val="000000" w:themeColor="text1"/>
          <w:szCs w:val="22"/>
          <w:lang w:eastAsia="sk-SK"/>
        </w:rPr>
        <w:t xml:space="preserve"> nárast </w:t>
      </w:r>
      <w:r w:rsidR="008E3959" w:rsidRPr="00EE0FA7">
        <w:rPr>
          <w:rFonts w:ascii="Times New Roman" w:hAnsi="Times New Roman"/>
          <w:color w:val="000000" w:themeColor="text1"/>
          <w:szCs w:val="22"/>
          <w:lang w:eastAsia="sk-SK"/>
        </w:rPr>
        <w:t xml:space="preserve">v rámci ostatných </w:t>
      </w:r>
      <w:r w:rsidR="008E3959" w:rsidRPr="00D277DA">
        <w:rPr>
          <w:rFonts w:ascii="Times New Roman" w:hAnsi="Times New Roman"/>
          <w:color w:val="000000" w:themeColor="text1"/>
          <w:szCs w:val="22"/>
          <w:lang w:eastAsia="sk-SK"/>
        </w:rPr>
        <w:t xml:space="preserve">služieb </w:t>
      </w:r>
      <w:r w:rsidRPr="00D277DA">
        <w:rPr>
          <w:rFonts w:ascii="Times New Roman" w:hAnsi="Times New Roman"/>
          <w:color w:val="000000" w:themeColor="text1"/>
          <w:szCs w:val="22"/>
          <w:lang w:eastAsia="sk-SK"/>
        </w:rPr>
        <w:t>o</w:t>
      </w:r>
      <w:r w:rsidR="007B5185" w:rsidRPr="0085799C">
        <w:rPr>
          <w:rFonts w:ascii="Times New Roman" w:hAnsi="Times New Roman"/>
          <w:color w:val="000000" w:themeColor="text1"/>
          <w:szCs w:val="22"/>
          <w:lang w:eastAsia="sk-SK"/>
        </w:rPr>
        <w:t xml:space="preserve"> </w:t>
      </w:r>
      <w:r w:rsidR="008E3959" w:rsidRPr="00D277DA">
        <w:rPr>
          <w:rFonts w:ascii="Times New Roman" w:hAnsi="Times New Roman"/>
          <w:color w:val="000000" w:themeColor="text1"/>
          <w:szCs w:val="22"/>
          <w:lang w:eastAsia="sk-SK"/>
        </w:rPr>
        <w:t>149</w:t>
      </w:r>
      <w:r w:rsidR="00E61C38" w:rsidRPr="00D277DA">
        <w:rPr>
          <w:rFonts w:ascii="Times New Roman" w:hAnsi="Times New Roman"/>
          <w:color w:val="000000" w:themeColor="text1"/>
          <w:szCs w:val="22"/>
          <w:lang w:eastAsia="sk-SK"/>
        </w:rPr>
        <w:t> </w:t>
      </w:r>
      <w:r w:rsidR="008E3959" w:rsidRPr="00D277DA">
        <w:rPr>
          <w:rFonts w:ascii="Times New Roman" w:hAnsi="Times New Roman"/>
          <w:color w:val="000000" w:themeColor="text1"/>
          <w:szCs w:val="22"/>
          <w:lang w:eastAsia="sk-SK"/>
        </w:rPr>
        <w:t>637 </w:t>
      </w:r>
      <w:r w:rsidR="007B5185" w:rsidRPr="0085799C">
        <w:rPr>
          <w:rFonts w:ascii="Times New Roman" w:hAnsi="Times New Roman"/>
          <w:color w:val="000000" w:themeColor="text1"/>
          <w:szCs w:val="22"/>
          <w:lang w:eastAsia="sk-SK"/>
        </w:rPr>
        <w:t>tis. </w:t>
      </w:r>
      <w:r w:rsidR="008E3959" w:rsidRPr="00D277DA">
        <w:rPr>
          <w:rFonts w:ascii="Times New Roman" w:hAnsi="Times New Roman"/>
          <w:color w:val="000000" w:themeColor="text1"/>
          <w:szCs w:val="22"/>
          <w:lang w:eastAsia="sk-SK"/>
        </w:rPr>
        <w:t>eur bol u poisťovne</w:t>
      </w:r>
      <w:r w:rsidR="008E3959" w:rsidRPr="00EE0FA7">
        <w:rPr>
          <w:rFonts w:ascii="Times New Roman" w:hAnsi="Times New Roman"/>
          <w:color w:val="000000" w:themeColor="text1"/>
          <w:szCs w:val="22"/>
          <w:lang w:eastAsia="sk-SK"/>
        </w:rPr>
        <w:t xml:space="preserve"> spôsobený najmä rastom nákladov na </w:t>
      </w:r>
      <w:r w:rsidR="008E3959" w:rsidRPr="00EE0FA7">
        <w:rPr>
          <w:rFonts w:ascii="Times New Roman" w:hAnsi="Times New Roman"/>
          <w:color w:val="000000" w:themeColor="text1"/>
          <w:szCs w:val="22"/>
          <w:lang w:eastAsia="sk-SK"/>
        </w:rPr>
        <w:lastRenderedPageBreak/>
        <w:t>zdravotnú starostlivosť, a to konkrétne nákladov za ústavnú zdravotnú starostlivosť a nákladov za spotrebu liekov.</w:t>
      </w:r>
    </w:p>
    <w:p w14:paraId="08AAC2DA" w14:textId="5C42DA3A" w:rsidR="00D834CB" w:rsidRPr="00EE0FA7" w:rsidRDefault="00D834CB" w:rsidP="0085799C">
      <w:pPr>
        <w:spacing w:after="120" w:line="240" w:lineRule="auto"/>
        <w:jc w:val="both"/>
        <w:rPr>
          <w:rFonts w:ascii="Times New Roman" w:hAnsi="Times New Roman"/>
          <w:color w:val="000000" w:themeColor="text1"/>
          <w:szCs w:val="22"/>
          <w:lang w:val="x-none"/>
        </w:rPr>
      </w:pPr>
      <w:r w:rsidRPr="0085799C">
        <w:rPr>
          <w:rFonts w:ascii="Times New Roman" w:hAnsi="Times New Roman"/>
          <w:color w:val="000000" w:themeColor="text1"/>
          <w:szCs w:val="22"/>
          <w:u w:val="single"/>
          <w:lang w:eastAsia="sk-SK"/>
        </w:rPr>
        <w:t>Slovenská elektrizačná prenosová sústava, a.s.</w:t>
      </w:r>
      <w:r w:rsidRPr="00EE0FA7">
        <w:rPr>
          <w:rFonts w:ascii="Times New Roman" w:hAnsi="Times New Roman"/>
          <w:color w:val="000000" w:themeColor="text1"/>
          <w:szCs w:val="22"/>
          <w:lang w:eastAsia="sk-SK"/>
        </w:rPr>
        <w:t xml:space="preserve"> vykázala náklady na ostatné služby v celkovej výške 6</w:t>
      </w:r>
      <w:r w:rsidR="0072539B" w:rsidRPr="00EE0FA7">
        <w:rPr>
          <w:rFonts w:ascii="Times New Roman" w:hAnsi="Times New Roman"/>
          <w:color w:val="000000" w:themeColor="text1"/>
          <w:szCs w:val="22"/>
          <w:lang w:eastAsia="sk-SK"/>
        </w:rPr>
        <w:t>81</w:t>
      </w:r>
      <w:r w:rsidR="00867648">
        <w:rPr>
          <w:rFonts w:ascii="Times New Roman" w:hAnsi="Times New Roman"/>
          <w:color w:val="000000" w:themeColor="text1"/>
          <w:szCs w:val="22"/>
          <w:lang w:eastAsia="sk-SK"/>
        </w:rPr>
        <w:t> </w:t>
      </w:r>
      <w:r w:rsidR="0072539B" w:rsidRPr="00EE0FA7">
        <w:rPr>
          <w:rFonts w:ascii="Times New Roman" w:hAnsi="Times New Roman"/>
          <w:color w:val="000000" w:themeColor="text1"/>
          <w:szCs w:val="22"/>
          <w:lang w:eastAsia="sk-SK"/>
        </w:rPr>
        <w:t>027</w:t>
      </w:r>
      <w:r w:rsidRPr="00EE0FA7">
        <w:rPr>
          <w:rFonts w:ascii="Times New Roman" w:hAnsi="Times New Roman"/>
          <w:color w:val="000000" w:themeColor="text1"/>
          <w:szCs w:val="22"/>
          <w:lang w:eastAsia="sk-SK"/>
        </w:rPr>
        <w:t> </w:t>
      </w:r>
      <w:r w:rsidR="00C029F7" w:rsidRPr="00EE0FA7">
        <w:rPr>
          <w:rFonts w:ascii="Times New Roman" w:hAnsi="Times New Roman"/>
          <w:color w:val="000000" w:themeColor="text1"/>
          <w:szCs w:val="22"/>
          <w:lang w:eastAsia="sk-SK"/>
        </w:rPr>
        <w:t>tis.</w:t>
      </w:r>
      <w:r w:rsidRPr="00EE0FA7">
        <w:rPr>
          <w:rFonts w:ascii="Times New Roman" w:hAnsi="Times New Roman"/>
          <w:color w:val="000000" w:themeColor="text1"/>
          <w:szCs w:val="22"/>
          <w:lang w:eastAsia="sk-SK"/>
        </w:rPr>
        <w:t> eur s medziročným poklesom o</w:t>
      </w:r>
      <w:r w:rsidR="00867648">
        <w:rPr>
          <w:rFonts w:ascii="Times New Roman" w:hAnsi="Times New Roman"/>
          <w:color w:val="000000" w:themeColor="text1"/>
          <w:szCs w:val="22"/>
          <w:lang w:eastAsia="sk-SK"/>
        </w:rPr>
        <w:t> </w:t>
      </w:r>
      <w:r w:rsidR="0072539B" w:rsidRPr="00EE0FA7">
        <w:rPr>
          <w:rFonts w:ascii="Times New Roman" w:hAnsi="Times New Roman"/>
          <w:color w:val="000000" w:themeColor="text1"/>
          <w:szCs w:val="22"/>
          <w:lang w:eastAsia="sk-SK"/>
        </w:rPr>
        <w:t>49</w:t>
      </w:r>
      <w:r w:rsidR="00867648">
        <w:rPr>
          <w:rFonts w:ascii="Times New Roman" w:hAnsi="Times New Roman"/>
          <w:color w:val="000000" w:themeColor="text1"/>
          <w:szCs w:val="22"/>
          <w:lang w:eastAsia="sk-SK"/>
        </w:rPr>
        <w:t> </w:t>
      </w:r>
      <w:r w:rsidR="0072539B" w:rsidRPr="00EE0FA7">
        <w:rPr>
          <w:rFonts w:ascii="Times New Roman" w:hAnsi="Times New Roman"/>
          <w:color w:val="000000" w:themeColor="text1"/>
          <w:szCs w:val="22"/>
          <w:lang w:eastAsia="sk-SK"/>
        </w:rPr>
        <w:t>098</w:t>
      </w:r>
      <w:r w:rsidR="00867648">
        <w:rPr>
          <w:rFonts w:ascii="Times New Roman" w:hAnsi="Times New Roman"/>
          <w:color w:val="000000" w:themeColor="text1"/>
          <w:szCs w:val="22"/>
          <w:lang w:eastAsia="sk-SK"/>
        </w:rPr>
        <w:t> </w:t>
      </w:r>
      <w:r w:rsidR="00C029F7" w:rsidRPr="00EE0FA7">
        <w:rPr>
          <w:rFonts w:ascii="Times New Roman" w:hAnsi="Times New Roman"/>
          <w:color w:val="000000" w:themeColor="text1"/>
          <w:szCs w:val="22"/>
          <w:lang w:eastAsia="sk-SK"/>
        </w:rPr>
        <w:t>tis.</w:t>
      </w:r>
      <w:r w:rsidRPr="00EE0FA7">
        <w:rPr>
          <w:rFonts w:ascii="Times New Roman" w:hAnsi="Times New Roman"/>
          <w:color w:val="000000" w:themeColor="text1"/>
          <w:szCs w:val="22"/>
          <w:lang w:eastAsia="sk-SK"/>
        </w:rPr>
        <w:t xml:space="preserve"> eur, pričom išlo najmä o spotrebu podporných služieb potrebných na poskytovanie systémových služieb a na prevádzkovanie elektrizačnej sústavy a podobne. Pokles oproti minulému obdobiu bol </w:t>
      </w:r>
      <w:r w:rsidRPr="00EE0FA7">
        <w:rPr>
          <w:rFonts w:ascii="Times New Roman" w:hAnsi="Times New Roman"/>
          <w:color w:val="000000" w:themeColor="text1"/>
          <w:szCs w:val="22"/>
        </w:rPr>
        <w:t>najmä</w:t>
      </w:r>
      <w:r w:rsidRPr="00EE0FA7">
        <w:rPr>
          <w:rFonts w:ascii="Times New Roman" w:hAnsi="Times New Roman"/>
          <w:color w:val="000000" w:themeColor="text1"/>
          <w:szCs w:val="22"/>
          <w:lang w:val="x-none"/>
        </w:rPr>
        <w:t xml:space="preserve"> u nákladov na podporné služby, na prevádzkovanie systému, na zúčtovanie rozdielov a na redistribúciu </w:t>
      </w:r>
      <w:r w:rsidR="00C029F7" w:rsidRPr="00EE0FA7">
        <w:rPr>
          <w:rFonts w:ascii="Times New Roman" w:hAnsi="Times New Roman"/>
          <w:color w:val="000000" w:themeColor="text1"/>
          <w:szCs w:val="22"/>
          <w:lang w:val="x-none"/>
        </w:rPr>
        <w:t>“</w:t>
      </w:r>
      <w:proofErr w:type="spellStart"/>
      <w:r w:rsidRPr="00EE0FA7">
        <w:rPr>
          <w:rFonts w:ascii="Times New Roman" w:hAnsi="Times New Roman"/>
          <w:color w:val="000000" w:themeColor="text1"/>
          <w:szCs w:val="22"/>
          <w:lang w:val="x-none"/>
        </w:rPr>
        <w:t>congestion</w:t>
      </w:r>
      <w:proofErr w:type="spellEnd"/>
      <w:r w:rsidRPr="00EE0FA7">
        <w:rPr>
          <w:rFonts w:ascii="Times New Roman" w:hAnsi="Times New Roman"/>
          <w:color w:val="000000" w:themeColor="text1"/>
          <w:szCs w:val="22"/>
          <w:lang w:val="x-none"/>
        </w:rPr>
        <w:t xml:space="preserve"> </w:t>
      </w:r>
      <w:proofErr w:type="spellStart"/>
      <w:r w:rsidRPr="00EE0FA7">
        <w:rPr>
          <w:rFonts w:ascii="Times New Roman" w:hAnsi="Times New Roman"/>
          <w:color w:val="000000" w:themeColor="text1"/>
          <w:szCs w:val="22"/>
          <w:lang w:val="x-none"/>
        </w:rPr>
        <w:t>income</w:t>
      </w:r>
      <w:proofErr w:type="spellEnd"/>
      <w:r w:rsidR="00C029F7" w:rsidRPr="00EE0FA7">
        <w:rPr>
          <w:rFonts w:ascii="Times New Roman" w:hAnsi="Times New Roman"/>
          <w:color w:val="000000" w:themeColor="text1"/>
          <w:szCs w:val="22"/>
          <w:lang w:val="x-none"/>
        </w:rPr>
        <w:t>”</w:t>
      </w:r>
      <w:r w:rsidRPr="00EE0FA7">
        <w:rPr>
          <w:rFonts w:ascii="Times New Roman" w:hAnsi="Times New Roman"/>
          <w:color w:val="000000" w:themeColor="text1"/>
          <w:szCs w:val="22"/>
          <w:lang w:val="x-none"/>
        </w:rPr>
        <w:t xml:space="preserve"> (príjmy z preťaženia). </w:t>
      </w:r>
    </w:p>
    <w:p w14:paraId="74E67693" w14:textId="20CE8E4B" w:rsidR="00647542" w:rsidRPr="00EE0FA7" w:rsidRDefault="00647542" w:rsidP="00647542">
      <w:pPr>
        <w:spacing w:after="120" w:line="240" w:lineRule="auto"/>
        <w:jc w:val="both"/>
        <w:rPr>
          <w:rFonts w:ascii="Times New Roman" w:hAnsi="Times New Roman"/>
          <w:color w:val="000000" w:themeColor="text1"/>
          <w:szCs w:val="22"/>
        </w:rPr>
      </w:pPr>
      <w:r w:rsidRPr="00EE0FA7">
        <w:rPr>
          <w:rFonts w:ascii="Times New Roman" w:hAnsi="Times New Roman"/>
          <w:color w:val="000000" w:themeColor="text1"/>
          <w:szCs w:val="22"/>
        </w:rPr>
        <w:t xml:space="preserve">V rámci služieb sa vykazujú aj </w:t>
      </w:r>
      <w:r w:rsidRPr="0085799C">
        <w:rPr>
          <w:rFonts w:ascii="Times New Roman" w:hAnsi="Times New Roman"/>
          <w:color w:val="000000" w:themeColor="text1"/>
          <w:szCs w:val="22"/>
        </w:rPr>
        <w:t>náklady na opravy a udržiavanie majetku</w:t>
      </w:r>
      <w:r w:rsidRPr="00EE0FA7">
        <w:rPr>
          <w:rFonts w:ascii="Times New Roman" w:hAnsi="Times New Roman"/>
          <w:color w:val="000000" w:themeColor="text1"/>
          <w:szCs w:val="22"/>
        </w:rPr>
        <w:t xml:space="preserve"> účtovných jednotiek. Spolu dosiahli </w:t>
      </w:r>
      <w:r w:rsidR="00943042" w:rsidRPr="0085799C">
        <w:rPr>
          <w:rFonts w:ascii="Times New Roman" w:hAnsi="Times New Roman"/>
          <w:bCs/>
          <w:color w:val="000000" w:themeColor="text1"/>
          <w:szCs w:val="22"/>
        </w:rPr>
        <w:t>955</w:t>
      </w:r>
      <w:r w:rsidR="00867648">
        <w:rPr>
          <w:rFonts w:ascii="Times New Roman" w:hAnsi="Times New Roman"/>
          <w:bCs/>
          <w:color w:val="000000" w:themeColor="text1"/>
          <w:szCs w:val="22"/>
        </w:rPr>
        <w:t> </w:t>
      </w:r>
      <w:r w:rsidR="00943042" w:rsidRPr="0085799C">
        <w:rPr>
          <w:rFonts w:ascii="Times New Roman" w:hAnsi="Times New Roman"/>
          <w:bCs/>
          <w:color w:val="000000" w:themeColor="text1"/>
          <w:szCs w:val="22"/>
        </w:rPr>
        <w:t>207</w:t>
      </w:r>
      <w:r w:rsidRPr="00EE0FA7">
        <w:rPr>
          <w:rFonts w:ascii="Times New Roman" w:hAnsi="Times New Roman"/>
          <w:color w:val="000000" w:themeColor="text1"/>
          <w:szCs w:val="22"/>
        </w:rPr>
        <w:t> tis.</w:t>
      </w:r>
      <w:r w:rsidRPr="00EE0FA7">
        <w:rPr>
          <w:rFonts w:ascii="Times New Roman" w:hAnsi="Times New Roman"/>
          <w:b/>
          <w:color w:val="000000" w:themeColor="text1"/>
          <w:szCs w:val="22"/>
        </w:rPr>
        <w:t> </w:t>
      </w:r>
      <w:r w:rsidRPr="00EE0FA7">
        <w:rPr>
          <w:rFonts w:ascii="Times New Roman" w:hAnsi="Times New Roman"/>
          <w:color w:val="000000" w:themeColor="text1"/>
          <w:szCs w:val="22"/>
        </w:rPr>
        <w:t xml:space="preserve">eur, z toho ústredná správa </w:t>
      </w:r>
      <w:r w:rsidR="00943042" w:rsidRPr="0085799C">
        <w:rPr>
          <w:rFonts w:ascii="Times New Roman" w:hAnsi="Times New Roman"/>
          <w:bCs/>
          <w:color w:val="000000" w:themeColor="text1"/>
          <w:szCs w:val="22"/>
        </w:rPr>
        <w:t>621</w:t>
      </w:r>
      <w:r w:rsidR="00867648">
        <w:rPr>
          <w:rFonts w:ascii="Times New Roman" w:hAnsi="Times New Roman"/>
          <w:bCs/>
          <w:color w:val="000000" w:themeColor="text1"/>
          <w:szCs w:val="22"/>
        </w:rPr>
        <w:t> </w:t>
      </w:r>
      <w:r w:rsidR="00943042" w:rsidRPr="0085799C">
        <w:rPr>
          <w:rFonts w:ascii="Times New Roman" w:hAnsi="Times New Roman"/>
          <w:bCs/>
          <w:color w:val="000000" w:themeColor="text1"/>
          <w:szCs w:val="22"/>
        </w:rPr>
        <w:t>676</w:t>
      </w:r>
      <w:r w:rsidRPr="00EE0FA7">
        <w:rPr>
          <w:rFonts w:ascii="Times New Roman" w:hAnsi="Times New Roman"/>
          <w:color w:val="000000" w:themeColor="text1"/>
          <w:szCs w:val="22"/>
        </w:rPr>
        <w:t> tis.</w:t>
      </w:r>
      <w:r w:rsidRPr="00EE0FA7">
        <w:rPr>
          <w:rFonts w:ascii="Times New Roman" w:hAnsi="Times New Roman"/>
          <w:b/>
          <w:color w:val="000000" w:themeColor="text1"/>
          <w:szCs w:val="22"/>
        </w:rPr>
        <w:t> </w:t>
      </w:r>
      <w:r w:rsidRPr="00EE0FA7">
        <w:rPr>
          <w:rFonts w:ascii="Times New Roman" w:hAnsi="Times New Roman"/>
          <w:color w:val="000000" w:themeColor="text1"/>
          <w:szCs w:val="22"/>
        </w:rPr>
        <w:t>eur</w:t>
      </w:r>
      <w:r w:rsidR="00867648">
        <w:rPr>
          <w:rFonts w:ascii="Times New Roman" w:hAnsi="Times New Roman"/>
          <w:b/>
          <w:color w:val="FF0000"/>
          <w:szCs w:val="22"/>
        </w:rPr>
        <w:t xml:space="preserve"> </w:t>
      </w:r>
      <w:r w:rsidRPr="00EE0FA7">
        <w:rPr>
          <w:rFonts w:ascii="Times New Roman" w:hAnsi="Times New Roman"/>
          <w:color w:val="000000" w:themeColor="text1"/>
          <w:szCs w:val="22"/>
        </w:rPr>
        <w:t>a</w:t>
      </w:r>
      <w:r w:rsidRPr="00EE0FA7">
        <w:rPr>
          <w:rFonts w:ascii="Times New Roman" w:hAnsi="Times New Roman"/>
          <w:b/>
          <w:color w:val="000000" w:themeColor="text1"/>
          <w:szCs w:val="22"/>
        </w:rPr>
        <w:t xml:space="preserve"> </w:t>
      </w:r>
      <w:r w:rsidRPr="00EE0FA7">
        <w:rPr>
          <w:rFonts w:ascii="Times New Roman" w:hAnsi="Times New Roman"/>
          <w:color w:val="000000" w:themeColor="text1"/>
          <w:szCs w:val="22"/>
        </w:rPr>
        <w:t xml:space="preserve">obce </w:t>
      </w:r>
      <w:r w:rsidR="00F35A27" w:rsidRPr="0085799C">
        <w:rPr>
          <w:rFonts w:ascii="Times New Roman" w:hAnsi="Times New Roman"/>
          <w:bCs/>
          <w:color w:val="000000" w:themeColor="text1"/>
          <w:szCs w:val="22"/>
        </w:rPr>
        <w:t>247</w:t>
      </w:r>
      <w:r w:rsidR="00867648">
        <w:rPr>
          <w:rFonts w:ascii="Times New Roman" w:hAnsi="Times New Roman"/>
          <w:bCs/>
          <w:color w:val="000000" w:themeColor="text1"/>
          <w:szCs w:val="22"/>
        </w:rPr>
        <w:t> </w:t>
      </w:r>
      <w:r w:rsidR="00F35A27" w:rsidRPr="0085799C">
        <w:rPr>
          <w:rFonts w:ascii="Times New Roman" w:hAnsi="Times New Roman"/>
          <w:bCs/>
          <w:color w:val="000000" w:themeColor="text1"/>
          <w:szCs w:val="22"/>
        </w:rPr>
        <w:t>969</w:t>
      </w:r>
      <w:r w:rsidRPr="00EE0FA7">
        <w:rPr>
          <w:rFonts w:ascii="Times New Roman" w:hAnsi="Times New Roman"/>
          <w:color w:val="000000" w:themeColor="text1"/>
          <w:szCs w:val="22"/>
        </w:rPr>
        <w:t> tis.</w:t>
      </w:r>
      <w:r w:rsidRPr="00EE0FA7">
        <w:rPr>
          <w:rFonts w:ascii="Times New Roman" w:hAnsi="Times New Roman"/>
          <w:b/>
          <w:color w:val="000000" w:themeColor="text1"/>
          <w:szCs w:val="22"/>
        </w:rPr>
        <w:t> </w:t>
      </w:r>
      <w:r w:rsidRPr="00EE0FA7">
        <w:rPr>
          <w:rFonts w:ascii="Times New Roman" w:hAnsi="Times New Roman"/>
          <w:color w:val="000000" w:themeColor="text1"/>
          <w:szCs w:val="22"/>
        </w:rPr>
        <w:t>eur. Rozhodujúci podiel týchto subjektov vyplýva z vlastníctva rozsiahleho hmotného a nehmotného majetku. Medziročne tieto náklady vzrástli o</w:t>
      </w:r>
      <w:r w:rsidR="00FE0916">
        <w:rPr>
          <w:rFonts w:ascii="Times New Roman" w:hAnsi="Times New Roman"/>
          <w:bCs/>
          <w:color w:val="000000" w:themeColor="text1"/>
          <w:szCs w:val="22"/>
        </w:rPr>
        <w:t> </w:t>
      </w:r>
      <w:r w:rsidR="00F35A27" w:rsidRPr="0085799C">
        <w:rPr>
          <w:rFonts w:ascii="Times New Roman" w:hAnsi="Times New Roman"/>
          <w:bCs/>
          <w:color w:val="000000" w:themeColor="text1"/>
          <w:szCs w:val="22"/>
        </w:rPr>
        <w:t>125</w:t>
      </w:r>
      <w:r w:rsidR="00FE0916">
        <w:rPr>
          <w:rFonts w:ascii="Times New Roman" w:hAnsi="Times New Roman"/>
          <w:bCs/>
          <w:color w:val="000000" w:themeColor="text1"/>
          <w:szCs w:val="22"/>
        </w:rPr>
        <w:t> </w:t>
      </w:r>
      <w:r w:rsidR="00F35A27" w:rsidRPr="0085799C">
        <w:rPr>
          <w:rFonts w:ascii="Times New Roman" w:hAnsi="Times New Roman"/>
          <w:bCs/>
          <w:color w:val="000000" w:themeColor="text1"/>
          <w:szCs w:val="22"/>
        </w:rPr>
        <w:t>416</w:t>
      </w:r>
      <w:r w:rsidRPr="00EE0FA7">
        <w:rPr>
          <w:rFonts w:ascii="Times New Roman" w:hAnsi="Times New Roman"/>
          <w:color w:val="000000" w:themeColor="text1"/>
          <w:szCs w:val="22"/>
        </w:rPr>
        <w:t> tis.</w:t>
      </w:r>
      <w:r w:rsidRPr="00EE0FA7">
        <w:rPr>
          <w:rFonts w:ascii="Times New Roman" w:hAnsi="Times New Roman"/>
          <w:b/>
          <w:color w:val="000000" w:themeColor="text1"/>
          <w:szCs w:val="22"/>
        </w:rPr>
        <w:t> </w:t>
      </w:r>
      <w:r w:rsidRPr="00EE0FA7">
        <w:rPr>
          <w:rFonts w:ascii="Times New Roman" w:hAnsi="Times New Roman"/>
          <w:color w:val="000000" w:themeColor="text1"/>
          <w:szCs w:val="22"/>
        </w:rPr>
        <w:t xml:space="preserve">eur. Z ústrednej správy vykazuje najvyššie náklady na opravy a údržbu majetku </w:t>
      </w:r>
      <w:r w:rsidR="0085167A" w:rsidRPr="0085799C">
        <w:rPr>
          <w:rFonts w:ascii="Times New Roman" w:hAnsi="Times New Roman"/>
          <w:color w:val="000000" w:themeColor="text1"/>
          <w:szCs w:val="22"/>
        </w:rPr>
        <w:t>kapitol</w:t>
      </w:r>
      <w:r w:rsidR="00C044EC">
        <w:rPr>
          <w:rFonts w:ascii="Times New Roman" w:hAnsi="Times New Roman"/>
          <w:color w:val="000000" w:themeColor="text1"/>
          <w:szCs w:val="22"/>
        </w:rPr>
        <w:t>a</w:t>
      </w:r>
      <w:r w:rsidR="0085167A" w:rsidRPr="0085799C">
        <w:rPr>
          <w:rFonts w:ascii="Times New Roman" w:hAnsi="Times New Roman"/>
          <w:color w:val="000000" w:themeColor="text1"/>
          <w:szCs w:val="22"/>
        </w:rPr>
        <w:t xml:space="preserve"> </w:t>
      </w:r>
      <w:r w:rsidRPr="00EE0FA7">
        <w:rPr>
          <w:rFonts w:ascii="Times New Roman" w:hAnsi="Times New Roman"/>
          <w:color w:val="000000" w:themeColor="text1"/>
          <w:szCs w:val="22"/>
        </w:rPr>
        <w:t>Ministerstv</w:t>
      </w:r>
      <w:r w:rsidR="0085167A" w:rsidRPr="0085799C">
        <w:rPr>
          <w:rFonts w:ascii="Times New Roman" w:hAnsi="Times New Roman"/>
          <w:color w:val="000000" w:themeColor="text1"/>
          <w:szCs w:val="22"/>
        </w:rPr>
        <w:t>a</w:t>
      </w:r>
      <w:r w:rsidRPr="00EE0FA7">
        <w:rPr>
          <w:rFonts w:ascii="Times New Roman" w:hAnsi="Times New Roman"/>
          <w:color w:val="000000" w:themeColor="text1"/>
          <w:szCs w:val="22"/>
        </w:rPr>
        <w:t xml:space="preserve"> </w:t>
      </w:r>
      <w:r w:rsidR="0085167A" w:rsidRPr="0085799C">
        <w:rPr>
          <w:rFonts w:ascii="Times New Roman" w:hAnsi="Times New Roman"/>
          <w:color w:val="000000" w:themeColor="text1"/>
          <w:szCs w:val="22"/>
        </w:rPr>
        <w:t>dopravy</w:t>
      </w:r>
      <w:r w:rsidR="0085167A" w:rsidRPr="00EE0FA7">
        <w:rPr>
          <w:rFonts w:ascii="Times New Roman" w:hAnsi="Times New Roman"/>
          <w:color w:val="000000" w:themeColor="text1"/>
          <w:szCs w:val="22"/>
        </w:rPr>
        <w:t xml:space="preserve"> </w:t>
      </w:r>
      <w:r w:rsidRPr="00EE0FA7">
        <w:rPr>
          <w:rFonts w:ascii="Times New Roman" w:hAnsi="Times New Roman"/>
          <w:color w:val="000000" w:themeColor="text1"/>
          <w:szCs w:val="22"/>
        </w:rPr>
        <w:t>SR (</w:t>
      </w:r>
      <w:r w:rsidR="0085167A" w:rsidRPr="0085799C">
        <w:rPr>
          <w:rFonts w:ascii="Times New Roman" w:hAnsi="Times New Roman"/>
          <w:bCs/>
          <w:color w:val="000000" w:themeColor="text1"/>
          <w:szCs w:val="22"/>
        </w:rPr>
        <w:t>298</w:t>
      </w:r>
      <w:r w:rsidR="00FE0916">
        <w:rPr>
          <w:rFonts w:ascii="Times New Roman" w:hAnsi="Times New Roman"/>
          <w:bCs/>
          <w:color w:val="000000" w:themeColor="text1"/>
          <w:szCs w:val="22"/>
        </w:rPr>
        <w:t> </w:t>
      </w:r>
      <w:r w:rsidR="0085167A" w:rsidRPr="0085799C">
        <w:rPr>
          <w:rFonts w:ascii="Times New Roman" w:hAnsi="Times New Roman"/>
          <w:bCs/>
          <w:color w:val="000000" w:themeColor="text1"/>
          <w:szCs w:val="22"/>
        </w:rPr>
        <w:t>556</w:t>
      </w:r>
      <w:r w:rsidRPr="00EE0FA7">
        <w:rPr>
          <w:rFonts w:ascii="Times New Roman" w:hAnsi="Times New Roman"/>
          <w:color w:val="000000" w:themeColor="text1"/>
          <w:szCs w:val="22"/>
        </w:rPr>
        <w:t> tis.</w:t>
      </w:r>
      <w:r w:rsidRPr="00EE0FA7">
        <w:rPr>
          <w:rFonts w:ascii="Times New Roman" w:hAnsi="Times New Roman"/>
          <w:b/>
          <w:color w:val="000000" w:themeColor="text1"/>
          <w:szCs w:val="22"/>
        </w:rPr>
        <w:t> </w:t>
      </w:r>
      <w:r w:rsidRPr="00EE0FA7">
        <w:rPr>
          <w:rFonts w:ascii="Times New Roman" w:hAnsi="Times New Roman"/>
          <w:color w:val="000000" w:themeColor="text1"/>
          <w:szCs w:val="22"/>
        </w:rPr>
        <w:t>eur</w:t>
      </w:r>
      <w:r w:rsidR="0085167A" w:rsidRPr="0085799C">
        <w:rPr>
          <w:rFonts w:ascii="Times New Roman" w:hAnsi="Times New Roman"/>
          <w:color w:val="000000" w:themeColor="text1"/>
          <w:szCs w:val="22"/>
        </w:rPr>
        <w:t>, z toho 90 487</w:t>
      </w:r>
      <w:r w:rsidR="00FE0916">
        <w:rPr>
          <w:rFonts w:ascii="Times New Roman" w:hAnsi="Times New Roman"/>
          <w:color w:val="000000" w:themeColor="text1"/>
          <w:szCs w:val="22"/>
        </w:rPr>
        <w:t> </w:t>
      </w:r>
      <w:r w:rsidR="0085167A" w:rsidRPr="0085799C">
        <w:rPr>
          <w:rFonts w:ascii="Times New Roman" w:hAnsi="Times New Roman"/>
          <w:color w:val="000000" w:themeColor="text1"/>
          <w:szCs w:val="22"/>
        </w:rPr>
        <w:t>tis.</w:t>
      </w:r>
      <w:r w:rsidR="00FE0916">
        <w:rPr>
          <w:rFonts w:ascii="Times New Roman" w:hAnsi="Times New Roman"/>
          <w:color w:val="000000" w:themeColor="text1"/>
          <w:szCs w:val="22"/>
        </w:rPr>
        <w:t> </w:t>
      </w:r>
      <w:r w:rsidR="0085167A" w:rsidRPr="0085799C">
        <w:rPr>
          <w:rFonts w:ascii="Times New Roman" w:hAnsi="Times New Roman"/>
          <w:color w:val="000000" w:themeColor="text1"/>
          <w:szCs w:val="22"/>
        </w:rPr>
        <w:t>eur vykazuje Slovenská správa ciest najmä na opravu a údržbu ciest)</w:t>
      </w:r>
      <w:r w:rsidRPr="00EE0FA7">
        <w:rPr>
          <w:rFonts w:ascii="Times New Roman" w:hAnsi="Times New Roman"/>
          <w:color w:val="000000" w:themeColor="text1"/>
          <w:szCs w:val="22"/>
        </w:rPr>
        <w:t>.</w:t>
      </w:r>
    </w:p>
    <w:p w14:paraId="4DCF4EF9" w14:textId="568A11C1" w:rsidR="00EB15F9" w:rsidRPr="00EE0FA7" w:rsidRDefault="00EB15F9" w:rsidP="00EB15F9">
      <w:pPr>
        <w:spacing w:after="120" w:line="240" w:lineRule="auto"/>
        <w:jc w:val="both"/>
        <w:rPr>
          <w:rFonts w:ascii="Times New Roman" w:hAnsi="Times New Roman"/>
          <w:szCs w:val="22"/>
          <w:lang w:eastAsia="sk-SK"/>
        </w:rPr>
      </w:pPr>
      <w:r w:rsidRPr="0085799C">
        <w:rPr>
          <w:rFonts w:ascii="Times New Roman" w:hAnsi="Times New Roman"/>
          <w:color w:val="000000" w:themeColor="text1"/>
          <w:szCs w:val="22"/>
          <w:u w:val="single"/>
          <w:lang w:eastAsia="sk-SK"/>
        </w:rPr>
        <w:t>Železničná spoločnosť Slovensko, a.s.</w:t>
      </w:r>
      <w:r w:rsidRPr="00EE0FA7">
        <w:rPr>
          <w:rFonts w:ascii="Times New Roman" w:hAnsi="Times New Roman"/>
          <w:b/>
          <w:i/>
          <w:color w:val="000000" w:themeColor="text1"/>
          <w:szCs w:val="22"/>
          <w:lang w:eastAsia="sk-SK"/>
        </w:rPr>
        <w:t xml:space="preserve"> </w:t>
      </w:r>
      <w:r w:rsidRPr="00EE0FA7">
        <w:rPr>
          <w:rFonts w:ascii="Times New Roman" w:hAnsi="Times New Roman"/>
          <w:color w:val="000000" w:themeColor="text1"/>
          <w:szCs w:val="22"/>
          <w:lang w:eastAsia="sk-SK"/>
        </w:rPr>
        <w:t>vykázala sumu 82</w:t>
      </w:r>
      <w:r w:rsidR="00FE0916">
        <w:rPr>
          <w:rFonts w:ascii="Times New Roman" w:hAnsi="Times New Roman"/>
          <w:color w:val="000000" w:themeColor="text1"/>
          <w:szCs w:val="22"/>
          <w:lang w:eastAsia="sk-SK"/>
        </w:rPr>
        <w:t> </w:t>
      </w:r>
      <w:r w:rsidRPr="00EE0FA7">
        <w:rPr>
          <w:rFonts w:ascii="Times New Roman" w:hAnsi="Times New Roman"/>
          <w:color w:val="000000" w:themeColor="text1"/>
          <w:szCs w:val="22"/>
          <w:lang w:eastAsia="sk-SK"/>
        </w:rPr>
        <w:t>824</w:t>
      </w:r>
      <w:r w:rsidR="00FE0916">
        <w:rPr>
          <w:rFonts w:ascii="Times New Roman" w:hAnsi="Times New Roman"/>
          <w:color w:val="000000" w:themeColor="text1"/>
          <w:szCs w:val="22"/>
          <w:lang w:eastAsia="sk-SK"/>
        </w:rPr>
        <w:t> </w:t>
      </w:r>
      <w:r w:rsidRPr="00EE0FA7">
        <w:rPr>
          <w:rFonts w:ascii="Times New Roman" w:hAnsi="Times New Roman"/>
          <w:color w:val="000000" w:themeColor="text1"/>
          <w:szCs w:val="22"/>
          <w:lang w:eastAsia="sk-SK"/>
        </w:rPr>
        <w:t xml:space="preserve">tis. eur s najvyšším medziročným zvýšením 48 371 tis. eur v rámci nákladov na opravy a udržiavanie. Išlo najmä o náklady na opravu a údržbu železničných koľajových vozidiel, </w:t>
      </w:r>
      <w:r w:rsidRPr="00EE0FA7">
        <w:rPr>
          <w:rFonts w:ascii="Times New Roman" w:hAnsi="Times New Roman"/>
          <w:szCs w:val="22"/>
          <w:lang w:eastAsia="sk-SK"/>
        </w:rPr>
        <w:t>stavebno-udržiavacie práce na administratívnych budovách, v rušňových depách, opravy koľajníc a výhybiek, opravy a servis cestných motorových vozidiel. Medziročný nárast predstavuje najmä nárast externých opráv a údržby železničných koľajových vozidiel.</w:t>
      </w:r>
    </w:p>
    <w:p w14:paraId="1265DF0B" w14:textId="77777777" w:rsidR="00D96CA2" w:rsidRPr="00EE0FA7" w:rsidRDefault="00D96CA2" w:rsidP="00D96CA2">
      <w:pPr>
        <w:spacing w:after="120" w:line="240" w:lineRule="auto"/>
        <w:jc w:val="both"/>
        <w:rPr>
          <w:rFonts w:ascii="Times New Roman" w:hAnsi="Times New Roman"/>
          <w:color w:val="000000" w:themeColor="text1"/>
          <w:szCs w:val="22"/>
          <w:lang w:eastAsia="sk-SK"/>
        </w:rPr>
      </w:pPr>
    </w:p>
    <w:p w14:paraId="1883A722" w14:textId="7E4F6636" w:rsidR="00D96CA2" w:rsidRPr="001567C8" w:rsidRDefault="009F2AF6" w:rsidP="0085799C">
      <w:pPr>
        <w:pStyle w:val="Nadpis4"/>
        <w:numPr>
          <w:ilvl w:val="0"/>
          <w:numId w:val="54"/>
        </w:numPr>
        <w:ind w:left="426" w:hanging="426"/>
        <w:rPr>
          <w:lang w:eastAsia="sk-SK"/>
        </w:rPr>
      </w:pPr>
      <w:bookmarkStart w:id="90" w:name="_Spotreba_materiálu"/>
      <w:bookmarkEnd w:id="90"/>
      <w:r>
        <w:rPr>
          <w:lang w:eastAsia="sk-SK"/>
        </w:rPr>
        <w:t>Spotreba materiálu</w:t>
      </w:r>
    </w:p>
    <w:p w14:paraId="5DC4357E" w14:textId="2F359269" w:rsidR="00120562" w:rsidRPr="00505C0F" w:rsidRDefault="00647542" w:rsidP="00505C0F">
      <w:pPr>
        <w:tabs>
          <w:tab w:val="num" w:pos="0"/>
          <w:tab w:val="num" w:pos="426"/>
        </w:tabs>
        <w:spacing w:after="120" w:line="240" w:lineRule="auto"/>
        <w:jc w:val="both"/>
        <w:rPr>
          <w:rFonts w:ascii="Times New Roman" w:hAnsi="Times New Roman"/>
          <w:color w:val="000000" w:themeColor="text1"/>
          <w:szCs w:val="22"/>
          <w:lang w:eastAsia="sk-SK"/>
        </w:rPr>
      </w:pPr>
      <w:r w:rsidRPr="0085799C">
        <w:rPr>
          <w:rFonts w:ascii="Times New Roman" w:hAnsi="Times New Roman"/>
          <w:color w:val="000000" w:themeColor="text1"/>
          <w:szCs w:val="22"/>
        </w:rPr>
        <w:t xml:space="preserve">Zo spotrebovaných nákupov tvorila spotreba materiálu </w:t>
      </w:r>
      <w:r w:rsidR="00705A35" w:rsidRPr="0085799C">
        <w:rPr>
          <w:rFonts w:ascii="Times New Roman" w:hAnsi="Times New Roman"/>
          <w:color w:val="000000" w:themeColor="text1"/>
          <w:szCs w:val="22"/>
        </w:rPr>
        <w:t>4</w:t>
      </w:r>
      <w:r w:rsidR="00FE0916" w:rsidRPr="00505C0F">
        <w:rPr>
          <w:rFonts w:ascii="Times New Roman" w:hAnsi="Times New Roman"/>
          <w:color w:val="000000" w:themeColor="text1"/>
          <w:szCs w:val="22"/>
        </w:rPr>
        <w:t> </w:t>
      </w:r>
      <w:r w:rsidR="00705A35" w:rsidRPr="0085799C">
        <w:rPr>
          <w:rFonts w:ascii="Times New Roman" w:hAnsi="Times New Roman"/>
          <w:color w:val="000000" w:themeColor="text1"/>
          <w:szCs w:val="22"/>
        </w:rPr>
        <w:t>604</w:t>
      </w:r>
      <w:r w:rsidR="00FE0916" w:rsidRPr="00505C0F">
        <w:rPr>
          <w:rFonts w:ascii="Times New Roman" w:hAnsi="Times New Roman"/>
          <w:color w:val="000000" w:themeColor="text1"/>
          <w:szCs w:val="22"/>
        </w:rPr>
        <w:t> </w:t>
      </w:r>
      <w:r w:rsidR="00705A35" w:rsidRPr="0085799C">
        <w:rPr>
          <w:rFonts w:ascii="Times New Roman" w:hAnsi="Times New Roman"/>
          <w:color w:val="000000" w:themeColor="text1"/>
          <w:szCs w:val="22"/>
        </w:rPr>
        <w:t>609</w:t>
      </w:r>
      <w:r w:rsidRPr="0085799C">
        <w:rPr>
          <w:rFonts w:ascii="Times New Roman" w:hAnsi="Times New Roman"/>
          <w:color w:val="000000" w:themeColor="text1"/>
          <w:szCs w:val="22"/>
        </w:rPr>
        <w:t> tis. eur, pri medziročnom poklese o</w:t>
      </w:r>
      <w:r w:rsidR="00FE0916" w:rsidRPr="00505C0F">
        <w:rPr>
          <w:rFonts w:ascii="Times New Roman" w:hAnsi="Times New Roman"/>
          <w:color w:val="000000" w:themeColor="text1"/>
          <w:szCs w:val="22"/>
        </w:rPr>
        <w:t> </w:t>
      </w:r>
      <w:r w:rsidR="00C239F1" w:rsidRPr="0085799C">
        <w:rPr>
          <w:rFonts w:ascii="Times New Roman" w:hAnsi="Times New Roman"/>
          <w:color w:val="000000" w:themeColor="text1"/>
          <w:szCs w:val="22"/>
        </w:rPr>
        <w:t>497</w:t>
      </w:r>
      <w:r w:rsidR="00FE0916" w:rsidRPr="00505C0F">
        <w:rPr>
          <w:rFonts w:ascii="Times New Roman" w:hAnsi="Times New Roman"/>
          <w:color w:val="000000" w:themeColor="text1"/>
          <w:szCs w:val="22"/>
        </w:rPr>
        <w:t> </w:t>
      </w:r>
      <w:r w:rsidR="00C239F1" w:rsidRPr="0085799C">
        <w:rPr>
          <w:rFonts w:ascii="Times New Roman" w:hAnsi="Times New Roman"/>
          <w:color w:val="000000" w:themeColor="text1"/>
          <w:szCs w:val="22"/>
        </w:rPr>
        <w:t>041</w:t>
      </w:r>
      <w:r w:rsidRPr="0085799C">
        <w:rPr>
          <w:rFonts w:ascii="Times New Roman" w:hAnsi="Times New Roman"/>
          <w:color w:val="000000" w:themeColor="text1"/>
          <w:szCs w:val="22"/>
        </w:rPr>
        <w:t> tis. eur.</w:t>
      </w:r>
      <w:r w:rsidRPr="0085799C">
        <w:rPr>
          <w:rFonts w:ascii="Times New Roman" w:hAnsi="Times New Roman"/>
          <w:color w:val="FF0000"/>
          <w:szCs w:val="22"/>
        </w:rPr>
        <w:t xml:space="preserve"> </w:t>
      </w:r>
      <w:r w:rsidR="00120562" w:rsidRPr="00505C0F">
        <w:rPr>
          <w:rFonts w:ascii="Times New Roman" w:hAnsi="Times New Roman"/>
          <w:color w:val="000000" w:themeColor="text1"/>
          <w:szCs w:val="22"/>
          <w:lang w:eastAsia="sk-SK"/>
        </w:rPr>
        <w:t xml:space="preserve">Rozhodujúcou mierou sa na spotrebe materiálu podieľal </w:t>
      </w:r>
      <w:r w:rsidR="00120562" w:rsidRPr="0085799C">
        <w:rPr>
          <w:rFonts w:ascii="Times New Roman" w:hAnsi="Times New Roman"/>
          <w:iCs/>
          <w:color w:val="000000" w:themeColor="text1"/>
          <w:szCs w:val="22"/>
          <w:u w:val="single"/>
          <w:lang w:eastAsia="sk-SK"/>
        </w:rPr>
        <w:t>Slovenský plynárenský priemysel, a.s.,</w:t>
      </w:r>
      <w:r w:rsidR="00120562" w:rsidRPr="00505C0F">
        <w:rPr>
          <w:rFonts w:ascii="Times New Roman" w:hAnsi="Times New Roman"/>
          <w:color w:val="000000" w:themeColor="text1"/>
          <w:szCs w:val="22"/>
          <w:lang w:eastAsia="sk-SK"/>
        </w:rPr>
        <w:t xml:space="preserve"> a to sumou 2 499 740 tis.</w:t>
      </w:r>
      <w:r w:rsidR="00120562" w:rsidRPr="00505C0F">
        <w:rPr>
          <w:rFonts w:ascii="Times New Roman" w:hAnsi="Times New Roman"/>
          <w:b/>
          <w:color w:val="000000" w:themeColor="text1"/>
          <w:szCs w:val="22"/>
        </w:rPr>
        <w:t> </w:t>
      </w:r>
      <w:r w:rsidR="00120562" w:rsidRPr="00505C0F">
        <w:rPr>
          <w:rFonts w:ascii="Times New Roman" w:hAnsi="Times New Roman"/>
          <w:color w:val="000000" w:themeColor="text1"/>
          <w:szCs w:val="22"/>
          <w:lang w:eastAsia="sk-SK"/>
        </w:rPr>
        <w:t>eur, pričom sa súčasne podieľal aj na vysokom medziročnom poklese o  519</w:t>
      </w:r>
      <w:r w:rsidR="00FE0916" w:rsidRPr="00505C0F">
        <w:rPr>
          <w:rFonts w:ascii="Times New Roman" w:hAnsi="Times New Roman"/>
          <w:color w:val="000000" w:themeColor="text1"/>
          <w:szCs w:val="22"/>
          <w:lang w:eastAsia="sk-SK"/>
        </w:rPr>
        <w:t> </w:t>
      </w:r>
      <w:r w:rsidR="00120562" w:rsidRPr="00505C0F">
        <w:rPr>
          <w:rFonts w:ascii="Times New Roman" w:hAnsi="Times New Roman"/>
          <w:color w:val="000000" w:themeColor="text1"/>
          <w:szCs w:val="22"/>
          <w:lang w:eastAsia="sk-SK"/>
        </w:rPr>
        <w:t>393</w:t>
      </w:r>
      <w:r w:rsidR="00FE0916" w:rsidRPr="00505C0F">
        <w:rPr>
          <w:rFonts w:ascii="Times New Roman" w:hAnsi="Times New Roman"/>
          <w:color w:val="000000" w:themeColor="text1"/>
          <w:szCs w:val="22"/>
          <w:lang w:eastAsia="sk-SK"/>
        </w:rPr>
        <w:t> </w:t>
      </w:r>
      <w:r w:rsidR="00120562" w:rsidRPr="00505C0F">
        <w:rPr>
          <w:rFonts w:ascii="Times New Roman" w:hAnsi="Times New Roman"/>
          <w:color w:val="000000" w:themeColor="text1"/>
          <w:szCs w:val="22"/>
          <w:lang w:eastAsia="sk-SK"/>
        </w:rPr>
        <w:t xml:space="preserve">tis. eur. Účtovali sa tu náklady na nákup zemného plynu a vedľajšie náklady na obstaranie zemného plynu (distribučná služba). Medziročný pokles bol spôsobený poklesom cien na komoditných trhoch, čím došlo k poklesu nákladov na nákup zemného plynu. Z ďalších kapitol štátneho rozpočtu najvyššie náklady na spotrebu materiálu vykázala kapitola </w:t>
      </w:r>
      <w:r w:rsidR="00120562" w:rsidRPr="0085799C">
        <w:rPr>
          <w:rFonts w:ascii="Times New Roman" w:hAnsi="Times New Roman"/>
          <w:color w:val="000000" w:themeColor="text1"/>
          <w:szCs w:val="22"/>
          <w:u w:val="single"/>
          <w:lang w:eastAsia="sk-SK"/>
        </w:rPr>
        <w:t>Ministerstva zdravotníctva SR</w:t>
      </w:r>
      <w:r w:rsidR="00120562" w:rsidRPr="00505C0F">
        <w:rPr>
          <w:rFonts w:ascii="Times New Roman" w:hAnsi="Times New Roman"/>
          <w:color w:val="000000" w:themeColor="text1"/>
          <w:szCs w:val="22"/>
          <w:lang w:eastAsia="sk-SK"/>
        </w:rPr>
        <w:t xml:space="preserve">, kapitola </w:t>
      </w:r>
      <w:r w:rsidR="00120562" w:rsidRPr="0085799C">
        <w:rPr>
          <w:rFonts w:ascii="Times New Roman" w:hAnsi="Times New Roman"/>
          <w:color w:val="000000" w:themeColor="text1"/>
          <w:szCs w:val="22"/>
          <w:u w:val="single"/>
          <w:lang w:eastAsia="sk-SK"/>
        </w:rPr>
        <w:t>Ministerstva obrany SR</w:t>
      </w:r>
      <w:r w:rsidR="00120562" w:rsidRPr="00505C0F">
        <w:rPr>
          <w:rFonts w:ascii="Times New Roman" w:hAnsi="Times New Roman"/>
          <w:color w:val="000000" w:themeColor="text1"/>
          <w:szCs w:val="22"/>
          <w:lang w:eastAsia="sk-SK"/>
        </w:rPr>
        <w:t xml:space="preserve"> a kapitola </w:t>
      </w:r>
      <w:r w:rsidR="00120562" w:rsidRPr="0085799C">
        <w:rPr>
          <w:rFonts w:ascii="Times New Roman" w:hAnsi="Times New Roman"/>
          <w:color w:val="000000" w:themeColor="text1"/>
          <w:szCs w:val="22"/>
          <w:u w:val="single"/>
          <w:lang w:eastAsia="sk-SK"/>
        </w:rPr>
        <w:t>Ministerstva dopravy SR</w:t>
      </w:r>
      <w:r w:rsidR="00120562" w:rsidRPr="00505C0F">
        <w:rPr>
          <w:rFonts w:ascii="Times New Roman" w:hAnsi="Times New Roman"/>
          <w:color w:val="000000" w:themeColor="text1"/>
          <w:szCs w:val="22"/>
          <w:lang w:eastAsia="sk-SK"/>
        </w:rPr>
        <w:t xml:space="preserve">. </w:t>
      </w:r>
    </w:p>
    <w:p w14:paraId="74AE9FF5" w14:textId="353EA4B4" w:rsidR="00B04110" w:rsidRPr="00505C0F" w:rsidRDefault="00120562" w:rsidP="00505C0F">
      <w:pPr>
        <w:tabs>
          <w:tab w:val="num" w:pos="0"/>
          <w:tab w:val="num" w:pos="426"/>
        </w:tabs>
        <w:spacing w:after="120" w:line="240" w:lineRule="auto"/>
        <w:jc w:val="both"/>
        <w:rPr>
          <w:rFonts w:ascii="Times New Roman" w:hAnsi="Times New Roman"/>
          <w:b/>
          <w:i/>
          <w:color w:val="000000" w:themeColor="text1"/>
          <w:szCs w:val="22"/>
          <w:lang w:eastAsia="sk-SK"/>
        </w:rPr>
      </w:pPr>
      <w:r w:rsidRPr="0085799C">
        <w:rPr>
          <w:rFonts w:ascii="Times New Roman" w:hAnsi="Times New Roman"/>
          <w:color w:val="000000" w:themeColor="text1"/>
          <w:szCs w:val="22"/>
          <w:u w:val="single"/>
          <w:lang w:eastAsia="sk-SK"/>
        </w:rPr>
        <w:t>Kapitola Ministerstva zdravotníctva SR</w:t>
      </w:r>
      <w:r w:rsidRPr="00505C0F">
        <w:rPr>
          <w:rFonts w:ascii="Times New Roman" w:hAnsi="Times New Roman"/>
          <w:color w:val="000000" w:themeColor="text1"/>
          <w:szCs w:val="22"/>
          <w:lang w:eastAsia="sk-SK"/>
        </w:rPr>
        <w:t xml:space="preserve"> vykázala spotrebu materiálu v sume 633 430 </w:t>
      </w:r>
      <w:r w:rsidR="00A23AA1" w:rsidRPr="00505C0F">
        <w:rPr>
          <w:rFonts w:ascii="Times New Roman" w:hAnsi="Times New Roman"/>
          <w:color w:val="000000" w:themeColor="text1"/>
          <w:szCs w:val="22"/>
          <w:lang w:eastAsia="sk-SK"/>
        </w:rPr>
        <w:t xml:space="preserve">tis. </w:t>
      </w:r>
      <w:r w:rsidRPr="00505C0F">
        <w:rPr>
          <w:rFonts w:ascii="Times New Roman" w:hAnsi="Times New Roman"/>
          <w:color w:val="000000" w:themeColor="text1"/>
          <w:szCs w:val="22"/>
          <w:lang w:eastAsia="sk-SK"/>
        </w:rPr>
        <w:t>eur a oproti roku 2023 bola vyššia o 18 725 </w:t>
      </w:r>
      <w:r w:rsidR="00A23AA1" w:rsidRPr="00505C0F">
        <w:rPr>
          <w:rFonts w:ascii="Times New Roman" w:hAnsi="Times New Roman"/>
          <w:color w:val="000000" w:themeColor="text1"/>
          <w:szCs w:val="22"/>
          <w:lang w:eastAsia="sk-SK"/>
        </w:rPr>
        <w:t>tis.</w:t>
      </w:r>
      <w:r w:rsidRPr="00505C0F">
        <w:rPr>
          <w:rFonts w:ascii="Times New Roman" w:hAnsi="Times New Roman"/>
          <w:color w:val="000000" w:themeColor="text1"/>
          <w:szCs w:val="22"/>
          <w:lang w:eastAsia="sk-SK"/>
        </w:rPr>
        <w:t> eur</w:t>
      </w:r>
      <w:r w:rsidR="00A23AA1" w:rsidRPr="00505C0F">
        <w:rPr>
          <w:rFonts w:ascii="Times New Roman" w:hAnsi="Times New Roman"/>
          <w:color w:val="000000" w:themeColor="text1"/>
          <w:szCs w:val="22"/>
          <w:lang w:eastAsia="sk-SK"/>
        </w:rPr>
        <w:t>.</w:t>
      </w:r>
      <w:r w:rsidR="00B04110" w:rsidRPr="00505C0F">
        <w:rPr>
          <w:rFonts w:ascii="Times New Roman" w:hAnsi="Times New Roman"/>
          <w:color w:val="000000" w:themeColor="text1"/>
          <w:szCs w:val="22"/>
          <w:lang w:eastAsia="sk-SK"/>
        </w:rPr>
        <w:t xml:space="preserve"> </w:t>
      </w:r>
      <w:r w:rsidR="00D30CC9">
        <w:rPr>
          <w:rFonts w:ascii="Times New Roman" w:hAnsi="Times New Roman"/>
          <w:color w:val="000000" w:themeColor="text1"/>
          <w:szCs w:val="22"/>
          <w:lang w:eastAsia="sk-SK"/>
        </w:rPr>
        <w:t>Ide najmä o</w:t>
      </w:r>
      <w:r w:rsidR="00B04110" w:rsidRPr="00505C0F">
        <w:rPr>
          <w:rFonts w:ascii="Times New Roman" w:hAnsi="Times New Roman"/>
          <w:color w:val="000000" w:themeColor="text1"/>
          <w:szCs w:val="22"/>
          <w:lang w:eastAsia="sk-SK"/>
        </w:rPr>
        <w:t xml:space="preserve"> spotrebu liekov, špeciálneho zdravotníckeho materiálu, diagnostického materiálu, krv a krvné výrobky, potraviny a ostatný materiál (kancelársky, údržbársky, atď.). Zvýšenie spotreby v roku 2024 bolo zapríčinené väčšou spotrebou špeciálneho zdravotníckeho materiálu, krvi a krvných výrobkov.</w:t>
      </w:r>
    </w:p>
    <w:p w14:paraId="4B4514E4" w14:textId="177F8220" w:rsidR="00120562" w:rsidRPr="00505C0F" w:rsidRDefault="00B04110" w:rsidP="0085799C">
      <w:pPr>
        <w:spacing w:after="120" w:line="240" w:lineRule="auto"/>
        <w:jc w:val="both"/>
        <w:rPr>
          <w:rFonts w:ascii="Times New Roman" w:hAnsi="Times New Roman"/>
          <w:color w:val="000000" w:themeColor="text1"/>
          <w:szCs w:val="22"/>
          <w:lang w:eastAsia="sk-SK"/>
        </w:rPr>
      </w:pPr>
      <w:r w:rsidRPr="0085799C">
        <w:rPr>
          <w:rFonts w:ascii="Times New Roman" w:hAnsi="Times New Roman"/>
          <w:color w:val="000000" w:themeColor="text1"/>
          <w:u w:val="single"/>
          <w:lang w:eastAsia="sk-SK"/>
        </w:rPr>
        <w:t>Kapitola Ministerstva obrany SR</w:t>
      </w:r>
      <w:r w:rsidRPr="00505C0F">
        <w:rPr>
          <w:rFonts w:ascii="Times New Roman" w:hAnsi="Times New Roman"/>
          <w:b/>
          <w:i/>
          <w:color w:val="000000" w:themeColor="text1"/>
          <w:szCs w:val="22"/>
          <w:lang w:eastAsia="sk-SK"/>
        </w:rPr>
        <w:t xml:space="preserve"> </w:t>
      </w:r>
      <w:r w:rsidRPr="00505C0F">
        <w:rPr>
          <w:rFonts w:ascii="Times New Roman" w:hAnsi="Times New Roman"/>
          <w:color w:val="000000" w:themeColor="text1"/>
          <w:szCs w:val="22"/>
          <w:lang w:eastAsia="sk-SK"/>
        </w:rPr>
        <w:t>spotrebovala materiál v celkovej sume 190</w:t>
      </w:r>
      <w:r w:rsidR="00FE0916" w:rsidRPr="00505C0F">
        <w:rPr>
          <w:rFonts w:ascii="Times New Roman" w:hAnsi="Times New Roman"/>
          <w:color w:val="000000" w:themeColor="text1"/>
          <w:szCs w:val="22"/>
          <w:lang w:eastAsia="sk-SK"/>
        </w:rPr>
        <w:t> </w:t>
      </w:r>
      <w:r w:rsidRPr="00505C0F">
        <w:rPr>
          <w:rFonts w:ascii="Times New Roman" w:hAnsi="Times New Roman"/>
          <w:color w:val="000000" w:themeColor="text1"/>
          <w:szCs w:val="22"/>
          <w:lang w:eastAsia="sk-SK"/>
        </w:rPr>
        <w:t>671</w:t>
      </w:r>
      <w:r w:rsidR="00FE0916" w:rsidRPr="00505C0F">
        <w:rPr>
          <w:rFonts w:ascii="Times New Roman" w:hAnsi="Times New Roman"/>
          <w:color w:val="000000" w:themeColor="text1"/>
          <w:szCs w:val="22"/>
          <w:lang w:eastAsia="sk-SK"/>
        </w:rPr>
        <w:t> </w:t>
      </w:r>
      <w:r w:rsidRPr="00505C0F">
        <w:rPr>
          <w:rFonts w:ascii="Times New Roman" w:hAnsi="Times New Roman"/>
          <w:color w:val="000000" w:themeColor="text1"/>
          <w:szCs w:val="22"/>
          <w:lang w:eastAsia="sk-SK"/>
        </w:rPr>
        <w:t>tis. eur (s medziročným zvýšením o 34 947 </w:t>
      </w:r>
      <w:r w:rsidR="003F165A" w:rsidRPr="00505C0F">
        <w:rPr>
          <w:rFonts w:ascii="Times New Roman" w:hAnsi="Times New Roman"/>
          <w:color w:val="000000" w:themeColor="text1"/>
          <w:szCs w:val="22"/>
          <w:lang w:eastAsia="sk-SK"/>
        </w:rPr>
        <w:t>tis.</w:t>
      </w:r>
      <w:r w:rsidRPr="00505C0F">
        <w:rPr>
          <w:rFonts w:ascii="Times New Roman" w:hAnsi="Times New Roman"/>
          <w:color w:val="000000" w:themeColor="text1"/>
          <w:szCs w:val="22"/>
          <w:lang w:eastAsia="sk-SK"/>
        </w:rPr>
        <w:t xml:space="preserve"> eur), v tom </w:t>
      </w:r>
      <w:r w:rsidRPr="0085799C">
        <w:rPr>
          <w:rFonts w:ascii="Times New Roman" w:hAnsi="Times New Roman"/>
          <w:color w:val="000000" w:themeColor="text1"/>
          <w:u w:val="single"/>
          <w:lang w:eastAsia="sk-SK"/>
        </w:rPr>
        <w:t>Ministerstvo obrany SR</w:t>
      </w:r>
      <w:r w:rsidRPr="00505C0F">
        <w:rPr>
          <w:rFonts w:ascii="Times New Roman" w:hAnsi="Times New Roman"/>
          <w:color w:val="000000" w:themeColor="text1"/>
          <w:szCs w:val="22"/>
          <w:lang w:eastAsia="sk-SK"/>
        </w:rPr>
        <w:t xml:space="preserve"> vo výške 80 721 </w:t>
      </w:r>
      <w:r w:rsidR="003F165A" w:rsidRPr="00505C0F">
        <w:rPr>
          <w:rFonts w:ascii="Times New Roman" w:hAnsi="Times New Roman"/>
          <w:color w:val="000000" w:themeColor="text1"/>
          <w:szCs w:val="22"/>
          <w:lang w:eastAsia="sk-SK"/>
        </w:rPr>
        <w:t>tis.</w:t>
      </w:r>
      <w:r w:rsidRPr="00505C0F">
        <w:rPr>
          <w:rFonts w:ascii="Times New Roman" w:hAnsi="Times New Roman"/>
          <w:color w:val="000000" w:themeColor="text1"/>
          <w:szCs w:val="22"/>
          <w:lang w:eastAsia="sk-SK"/>
        </w:rPr>
        <w:t> eur.</w:t>
      </w:r>
      <w:r w:rsidRPr="00505C0F">
        <w:rPr>
          <w:rFonts w:ascii="Times New Roman" w:hAnsi="Times New Roman"/>
          <w:color w:val="FF0000"/>
          <w:szCs w:val="22"/>
          <w:lang w:eastAsia="sk-SK"/>
        </w:rPr>
        <w:t xml:space="preserve"> </w:t>
      </w:r>
      <w:r w:rsidRPr="00505C0F">
        <w:rPr>
          <w:rFonts w:ascii="Times New Roman" w:hAnsi="Times New Roman"/>
          <w:color w:val="000000" w:themeColor="text1"/>
          <w:szCs w:val="22"/>
          <w:lang w:eastAsia="sk-SK"/>
        </w:rPr>
        <w:t>Išlo najmä o účtovanie nákupov priamo do spotreby pri vydaní oblečenia, osobnej a vojenskej výstroje vojakom, spotrebu palív, mazív a olejov pre potreby ozbrojených síl SR, náhradných dielov a komponentov do lietadiel, kolesovej techniky, špeciálnych elektrotechnických súčiastok, chemikálií a chemických výrobkov, rakiet, munície a potravín.</w:t>
      </w:r>
    </w:p>
    <w:p w14:paraId="6CCC9768" w14:textId="2A314B27" w:rsidR="00647542" w:rsidRPr="00505C0F" w:rsidRDefault="00647542" w:rsidP="00505C0F">
      <w:pPr>
        <w:pStyle w:val="Pismenka"/>
        <w:tabs>
          <w:tab w:val="clear" w:pos="426"/>
        </w:tabs>
        <w:spacing w:after="120"/>
        <w:ind w:left="0" w:firstLine="0"/>
        <w:rPr>
          <w:b w:val="0"/>
          <w:color w:val="000000" w:themeColor="text1"/>
          <w:sz w:val="22"/>
          <w:szCs w:val="22"/>
        </w:rPr>
      </w:pPr>
      <w:r w:rsidRPr="00505C0F">
        <w:rPr>
          <w:b w:val="0"/>
          <w:color w:val="000000" w:themeColor="text1"/>
          <w:sz w:val="22"/>
          <w:szCs w:val="22"/>
        </w:rPr>
        <w:t xml:space="preserve">Obce vykázali spotrebu materiálu v hodnote </w:t>
      </w:r>
      <w:r w:rsidR="00AD33B0" w:rsidRPr="0085799C">
        <w:rPr>
          <w:b w:val="0"/>
          <w:bCs w:val="0"/>
          <w:color w:val="000000" w:themeColor="text1"/>
          <w:sz w:val="22"/>
          <w:szCs w:val="22"/>
        </w:rPr>
        <w:t>567</w:t>
      </w:r>
      <w:r w:rsidR="00FE0916" w:rsidRPr="00505C0F">
        <w:rPr>
          <w:b w:val="0"/>
          <w:bCs w:val="0"/>
          <w:color w:val="000000" w:themeColor="text1"/>
          <w:sz w:val="22"/>
          <w:szCs w:val="22"/>
        </w:rPr>
        <w:t> </w:t>
      </w:r>
      <w:r w:rsidR="00AD33B0" w:rsidRPr="0085799C">
        <w:rPr>
          <w:b w:val="0"/>
          <w:bCs w:val="0"/>
          <w:color w:val="000000" w:themeColor="text1"/>
          <w:sz w:val="22"/>
          <w:szCs w:val="22"/>
        </w:rPr>
        <w:t>818</w:t>
      </w:r>
      <w:r w:rsidRPr="00505C0F">
        <w:rPr>
          <w:b w:val="0"/>
          <w:color w:val="000000" w:themeColor="text1"/>
          <w:sz w:val="22"/>
          <w:szCs w:val="22"/>
        </w:rPr>
        <w:t xml:space="preserve"> tis. eur a vyššie územné celky </w:t>
      </w:r>
      <w:r w:rsidRPr="00505C0F">
        <w:rPr>
          <w:b w:val="0"/>
          <w:bCs w:val="0"/>
          <w:color w:val="000000" w:themeColor="text1"/>
          <w:sz w:val="22"/>
          <w:szCs w:val="22"/>
        </w:rPr>
        <w:t>19</w:t>
      </w:r>
      <w:r w:rsidR="00AD33B0" w:rsidRPr="0085799C">
        <w:rPr>
          <w:b w:val="0"/>
          <w:bCs w:val="0"/>
          <w:color w:val="000000" w:themeColor="text1"/>
          <w:sz w:val="22"/>
          <w:szCs w:val="22"/>
        </w:rPr>
        <w:t>6</w:t>
      </w:r>
      <w:r w:rsidR="00FE0916" w:rsidRPr="00505C0F">
        <w:rPr>
          <w:b w:val="0"/>
          <w:bCs w:val="0"/>
          <w:color w:val="000000" w:themeColor="text1"/>
          <w:sz w:val="22"/>
          <w:szCs w:val="22"/>
        </w:rPr>
        <w:t> </w:t>
      </w:r>
      <w:r w:rsidR="00AD33B0" w:rsidRPr="0085799C">
        <w:rPr>
          <w:b w:val="0"/>
          <w:bCs w:val="0"/>
          <w:color w:val="000000" w:themeColor="text1"/>
          <w:sz w:val="22"/>
          <w:szCs w:val="22"/>
        </w:rPr>
        <w:t>075</w:t>
      </w:r>
      <w:r w:rsidRPr="00505C0F">
        <w:rPr>
          <w:b w:val="0"/>
          <w:color w:val="000000" w:themeColor="text1"/>
          <w:sz w:val="22"/>
          <w:szCs w:val="22"/>
        </w:rPr>
        <w:t> tis. eur.</w:t>
      </w:r>
    </w:p>
    <w:p w14:paraId="421D3CC3" w14:textId="77777777" w:rsidR="009F2AF6" w:rsidRPr="00505C0F" w:rsidRDefault="009F2AF6" w:rsidP="00505C0F">
      <w:pPr>
        <w:pStyle w:val="Pismenka"/>
        <w:tabs>
          <w:tab w:val="clear" w:pos="426"/>
        </w:tabs>
        <w:spacing w:after="120"/>
        <w:ind w:left="0" w:firstLine="0"/>
        <w:rPr>
          <w:b w:val="0"/>
          <w:color w:val="000000" w:themeColor="text1"/>
          <w:sz w:val="22"/>
          <w:szCs w:val="22"/>
        </w:rPr>
      </w:pPr>
    </w:p>
    <w:p w14:paraId="783F2331" w14:textId="51A98443" w:rsidR="009F2AF6" w:rsidRDefault="009F2AF6" w:rsidP="0085799C">
      <w:pPr>
        <w:pStyle w:val="Nadpis4"/>
        <w:numPr>
          <w:ilvl w:val="0"/>
          <w:numId w:val="54"/>
        </w:numPr>
        <w:ind w:left="426" w:hanging="426"/>
      </w:pPr>
      <w:bookmarkStart w:id="91" w:name="_Predaný_tovar"/>
      <w:bookmarkEnd w:id="91"/>
      <w:r>
        <w:t>Predaný tovar</w:t>
      </w:r>
    </w:p>
    <w:p w14:paraId="228EA56E" w14:textId="78F4B195" w:rsidR="00381CBB" w:rsidRPr="00505C0F" w:rsidRDefault="00647542" w:rsidP="00505C0F">
      <w:pPr>
        <w:spacing w:after="120" w:line="240" w:lineRule="auto"/>
        <w:jc w:val="both"/>
        <w:rPr>
          <w:rFonts w:ascii="Times New Roman" w:hAnsi="Times New Roman"/>
          <w:color w:val="FF0000"/>
          <w:szCs w:val="22"/>
          <w:lang w:eastAsia="sk-SK"/>
        </w:rPr>
      </w:pPr>
      <w:r w:rsidRPr="0085799C">
        <w:rPr>
          <w:rFonts w:ascii="Times New Roman" w:hAnsi="Times New Roman"/>
          <w:bCs/>
          <w:color w:val="000000" w:themeColor="text1"/>
          <w:szCs w:val="22"/>
          <w:u w:val="single"/>
        </w:rPr>
        <w:t>Na celkovej hodnote predaného tovaru</w:t>
      </w:r>
      <w:r w:rsidRPr="0085799C">
        <w:rPr>
          <w:rFonts w:ascii="Times New Roman" w:hAnsi="Times New Roman"/>
          <w:bCs/>
          <w:color w:val="000000" w:themeColor="text1"/>
          <w:szCs w:val="22"/>
        </w:rPr>
        <w:t xml:space="preserve"> (4</w:t>
      </w:r>
      <w:r w:rsidR="004E2AEC" w:rsidRPr="0085799C">
        <w:rPr>
          <w:rFonts w:ascii="Times New Roman" w:hAnsi="Times New Roman"/>
          <w:bCs/>
          <w:color w:val="000000" w:themeColor="text1"/>
          <w:szCs w:val="22"/>
        </w:rPr>
        <w:t> 113</w:t>
      </w:r>
      <w:r w:rsidR="00FE0916">
        <w:rPr>
          <w:rFonts w:ascii="Times New Roman" w:hAnsi="Times New Roman"/>
          <w:bCs/>
          <w:color w:val="000000" w:themeColor="text1"/>
          <w:szCs w:val="22"/>
        </w:rPr>
        <w:t> </w:t>
      </w:r>
      <w:r w:rsidR="004E2AEC" w:rsidRPr="0085799C">
        <w:rPr>
          <w:rFonts w:ascii="Times New Roman" w:hAnsi="Times New Roman"/>
          <w:bCs/>
          <w:color w:val="000000" w:themeColor="text1"/>
          <w:szCs w:val="22"/>
        </w:rPr>
        <w:t>383</w:t>
      </w:r>
      <w:r w:rsidRPr="0085799C">
        <w:rPr>
          <w:rFonts w:ascii="Times New Roman" w:hAnsi="Times New Roman"/>
          <w:bCs/>
          <w:color w:val="000000" w:themeColor="text1"/>
          <w:szCs w:val="22"/>
        </w:rPr>
        <w:t xml:space="preserve"> tis. eur) sa podieľala ústredná správa až 99 % a tvoria ju najmä dve obchodné spoločnosti - Slovenská elektrizačná prenosová sústava, a. s. v </w:t>
      </w:r>
      <w:r w:rsidR="00F50FB6" w:rsidRPr="00505C0F">
        <w:rPr>
          <w:rFonts w:ascii="Times New Roman" w:hAnsi="Times New Roman"/>
          <w:bCs/>
          <w:color w:val="000000" w:themeColor="text1"/>
          <w:szCs w:val="22"/>
          <w:lang w:eastAsia="sk-SK"/>
        </w:rPr>
        <w:t>sum</w:t>
      </w:r>
      <w:r w:rsidR="00F50FB6" w:rsidRPr="00505C0F">
        <w:rPr>
          <w:rFonts w:ascii="Times New Roman" w:hAnsi="Times New Roman"/>
          <w:bCs/>
          <w:color w:val="000000" w:themeColor="text1"/>
          <w:szCs w:val="22"/>
        </w:rPr>
        <w:t>e</w:t>
      </w:r>
      <w:r w:rsidR="00F50FB6" w:rsidRPr="00505C0F">
        <w:rPr>
          <w:rFonts w:ascii="Times New Roman" w:hAnsi="Times New Roman"/>
          <w:bCs/>
          <w:color w:val="000000" w:themeColor="text1"/>
          <w:szCs w:val="22"/>
          <w:lang w:eastAsia="sk-SK"/>
        </w:rPr>
        <w:t xml:space="preserve"> 2 189 721 </w:t>
      </w:r>
      <w:r w:rsidRPr="0085799C">
        <w:rPr>
          <w:rFonts w:ascii="Times New Roman" w:hAnsi="Times New Roman"/>
          <w:bCs/>
          <w:color w:val="000000" w:themeColor="text1"/>
          <w:szCs w:val="22"/>
        </w:rPr>
        <w:t>tis. eur a S</w:t>
      </w:r>
      <w:r w:rsidR="0094232B">
        <w:rPr>
          <w:rFonts w:ascii="Times New Roman" w:hAnsi="Times New Roman"/>
          <w:bCs/>
          <w:color w:val="000000" w:themeColor="text1"/>
          <w:szCs w:val="22"/>
        </w:rPr>
        <w:t>lovenský plynárenský priemysel,</w:t>
      </w:r>
      <w:r w:rsidRPr="0085799C">
        <w:rPr>
          <w:rFonts w:ascii="Times New Roman" w:hAnsi="Times New Roman"/>
          <w:bCs/>
          <w:color w:val="000000" w:themeColor="text1"/>
          <w:szCs w:val="22"/>
        </w:rPr>
        <w:t xml:space="preserve"> a.s. v sume </w:t>
      </w:r>
      <w:r w:rsidRPr="00505C0F">
        <w:rPr>
          <w:rFonts w:ascii="Times New Roman" w:hAnsi="Times New Roman"/>
          <w:bCs/>
          <w:color w:val="000000" w:themeColor="text1"/>
          <w:szCs w:val="22"/>
          <w:lang w:eastAsia="sk-SK"/>
        </w:rPr>
        <w:t>1 </w:t>
      </w:r>
      <w:r w:rsidR="00AA6BFF" w:rsidRPr="00505C0F">
        <w:rPr>
          <w:rFonts w:ascii="Times New Roman" w:hAnsi="Times New Roman"/>
          <w:bCs/>
          <w:color w:val="000000" w:themeColor="text1"/>
          <w:szCs w:val="22"/>
          <w:lang w:eastAsia="sk-SK"/>
        </w:rPr>
        <w:t>639</w:t>
      </w:r>
      <w:r w:rsidR="00AA6BFF" w:rsidRPr="00505C0F">
        <w:rPr>
          <w:rFonts w:ascii="Times New Roman" w:hAnsi="Times New Roman"/>
          <w:bCs/>
          <w:color w:val="000000" w:themeColor="text1"/>
          <w:szCs w:val="22"/>
        </w:rPr>
        <w:t> </w:t>
      </w:r>
      <w:r w:rsidR="00AA6BFF" w:rsidRPr="00505C0F">
        <w:rPr>
          <w:rFonts w:ascii="Times New Roman" w:hAnsi="Times New Roman"/>
          <w:bCs/>
          <w:color w:val="000000" w:themeColor="text1"/>
          <w:szCs w:val="22"/>
          <w:lang w:eastAsia="sk-SK"/>
        </w:rPr>
        <w:t>747 </w:t>
      </w:r>
      <w:r w:rsidRPr="0085799C">
        <w:rPr>
          <w:rFonts w:ascii="Times New Roman" w:hAnsi="Times New Roman"/>
          <w:bCs/>
          <w:color w:val="000000" w:themeColor="text1"/>
          <w:szCs w:val="22"/>
        </w:rPr>
        <w:t>tis. eur. V porovnaní s rokom 202</w:t>
      </w:r>
      <w:r w:rsidR="00AA6BFF" w:rsidRPr="0085799C">
        <w:rPr>
          <w:rFonts w:ascii="Times New Roman" w:hAnsi="Times New Roman"/>
          <w:bCs/>
          <w:color w:val="000000" w:themeColor="text1"/>
          <w:szCs w:val="22"/>
        </w:rPr>
        <w:t>3</w:t>
      </w:r>
      <w:r w:rsidRPr="0085799C">
        <w:rPr>
          <w:rFonts w:ascii="Times New Roman" w:hAnsi="Times New Roman"/>
          <w:bCs/>
          <w:color w:val="000000" w:themeColor="text1"/>
          <w:szCs w:val="22"/>
        </w:rPr>
        <w:t xml:space="preserve"> došlo</w:t>
      </w:r>
      <w:r w:rsidRPr="00505C0F">
        <w:rPr>
          <w:rFonts w:ascii="Times New Roman" w:hAnsi="Times New Roman"/>
          <w:b/>
          <w:color w:val="000000" w:themeColor="text1"/>
          <w:szCs w:val="22"/>
        </w:rPr>
        <w:t xml:space="preserve"> </w:t>
      </w:r>
      <w:r w:rsidR="00C77B31">
        <w:rPr>
          <w:rFonts w:ascii="Times New Roman" w:hAnsi="Times New Roman"/>
          <w:color w:val="000000" w:themeColor="text1"/>
          <w:szCs w:val="22"/>
          <w:lang w:eastAsia="sk-SK"/>
        </w:rPr>
        <w:t xml:space="preserve">k poklesu </w:t>
      </w:r>
      <w:r w:rsidR="00381CBB" w:rsidRPr="00505C0F">
        <w:rPr>
          <w:rFonts w:ascii="Times New Roman" w:hAnsi="Times New Roman"/>
          <w:color w:val="000000" w:themeColor="text1"/>
          <w:szCs w:val="22"/>
          <w:lang w:eastAsia="sk-SK"/>
        </w:rPr>
        <w:t xml:space="preserve">nákladov o 31 098 tis. eur u </w:t>
      </w:r>
      <w:r w:rsidR="00381CBB" w:rsidRPr="0085799C">
        <w:rPr>
          <w:rFonts w:ascii="Times New Roman" w:hAnsi="Times New Roman"/>
          <w:color w:val="000000" w:themeColor="text1"/>
          <w:u w:val="single"/>
          <w:lang w:eastAsia="sk-SK"/>
        </w:rPr>
        <w:t>Slovenskej elektrizačnej prenosovej sústav</w:t>
      </w:r>
      <w:r w:rsidR="00C77B31">
        <w:rPr>
          <w:rFonts w:ascii="Times New Roman" w:hAnsi="Times New Roman"/>
          <w:color w:val="000000" w:themeColor="text1"/>
          <w:u w:val="single"/>
          <w:lang w:eastAsia="sk-SK"/>
        </w:rPr>
        <w:t>y</w:t>
      </w:r>
      <w:r w:rsidR="00381CBB" w:rsidRPr="0085799C">
        <w:rPr>
          <w:rFonts w:ascii="Times New Roman" w:hAnsi="Times New Roman"/>
          <w:color w:val="000000" w:themeColor="text1"/>
          <w:u w:val="single"/>
          <w:lang w:eastAsia="sk-SK"/>
        </w:rPr>
        <w:t>, a.s.</w:t>
      </w:r>
      <w:r w:rsidR="00C77B31">
        <w:rPr>
          <w:rFonts w:ascii="Times New Roman" w:hAnsi="Times New Roman"/>
          <w:color w:val="000000" w:themeColor="text1"/>
          <w:u w:val="single"/>
          <w:lang w:eastAsia="sk-SK"/>
        </w:rPr>
        <w:t>,</w:t>
      </w:r>
      <w:r w:rsidR="00381CBB" w:rsidRPr="00505C0F">
        <w:rPr>
          <w:rFonts w:ascii="Times New Roman" w:hAnsi="Times New Roman"/>
          <w:color w:val="000000" w:themeColor="text1"/>
          <w:szCs w:val="22"/>
          <w:lang w:eastAsia="sk-SK"/>
        </w:rPr>
        <w:t xml:space="preserve"> </w:t>
      </w:r>
      <w:r w:rsidR="00381CBB" w:rsidRPr="00505C0F">
        <w:rPr>
          <w:rFonts w:ascii="Times New Roman" w:hAnsi="Times New Roman"/>
          <w:szCs w:val="22"/>
        </w:rPr>
        <w:t xml:space="preserve">najmä z dôvodu poklesu nákladov na nákup elektriny predávanej na dennom trhu a poklesom </w:t>
      </w:r>
      <w:r w:rsidR="00381CBB" w:rsidRPr="00505C0F">
        <w:rPr>
          <w:rFonts w:ascii="Times New Roman" w:hAnsi="Times New Roman"/>
          <w:szCs w:val="22"/>
        </w:rPr>
        <w:lastRenderedPageBreak/>
        <w:t xml:space="preserve">nákladov v rámci systému IGCC.  Náklady na </w:t>
      </w:r>
      <w:proofErr w:type="spellStart"/>
      <w:r w:rsidR="00381CBB" w:rsidRPr="00505C0F">
        <w:rPr>
          <w:rFonts w:ascii="Times New Roman" w:hAnsi="Times New Roman"/>
          <w:szCs w:val="22"/>
        </w:rPr>
        <w:t>shippera</w:t>
      </w:r>
      <w:proofErr w:type="spellEnd"/>
      <w:r w:rsidR="00381CBB" w:rsidRPr="00505C0F">
        <w:rPr>
          <w:rFonts w:ascii="Times New Roman" w:hAnsi="Times New Roman"/>
          <w:szCs w:val="22"/>
        </w:rPr>
        <w:t xml:space="preserve"> a náklady na FSKAR (neplánované výmeny elektrickej energie) vzrástli.</w:t>
      </w:r>
    </w:p>
    <w:p w14:paraId="02291F4F" w14:textId="289E448C" w:rsidR="009F2AF6" w:rsidRPr="00505C0F" w:rsidRDefault="00381CBB" w:rsidP="00505C0F">
      <w:pPr>
        <w:spacing w:after="120" w:line="240" w:lineRule="auto"/>
        <w:jc w:val="both"/>
        <w:rPr>
          <w:rFonts w:ascii="Times New Roman" w:hAnsi="Times New Roman"/>
          <w:color w:val="000000" w:themeColor="text1"/>
          <w:szCs w:val="22"/>
          <w:lang w:eastAsia="sk-SK"/>
        </w:rPr>
      </w:pPr>
      <w:r w:rsidRPr="0085799C">
        <w:rPr>
          <w:rFonts w:ascii="Times New Roman" w:hAnsi="Times New Roman"/>
          <w:color w:val="000000" w:themeColor="text1"/>
          <w:u w:val="single"/>
          <w:lang w:eastAsia="sk-SK"/>
        </w:rPr>
        <w:t>Slovenský plynárenský priemysel, a.s.</w:t>
      </w:r>
      <w:r w:rsidRPr="00505C0F">
        <w:rPr>
          <w:rFonts w:ascii="Times New Roman" w:hAnsi="Times New Roman"/>
          <w:color w:val="000000" w:themeColor="text1"/>
          <w:szCs w:val="22"/>
          <w:lang w:eastAsia="sk-SK"/>
        </w:rPr>
        <w:t>,</w:t>
      </w:r>
      <w:r w:rsidRPr="00505C0F">
        <w:rPr>
          <w:rFonts w:ascii="Times New Roman" w:hAnsi="Times New Roman"/>
          <w:b/>
          <w:i/>
          <w:color w:val="000000" w:themeColor="text1"/>
          <w:szCs w:val="22"/>
          <w:lang w:eastAsia="sk-SK"/>
        </w:rPr>
        <w:t xml:space="preserve"> </w:t>
      </w:r>
      <w:r w:rsidRPr="00505C0F">
        <w:rPr>
          <w:rFonts w:ascii="Times New Roman" w:hAnsi="Times New Roman"/>
          <w:color w:val="000000" w:themeColor="text1"/>
          <w:szCs w:val="22"/>
          <w:lang w:eastAsia="sk-SK"/>
        </w:rPr>
        <w:t>ktorý účtuje na tejto položke náklady na nákup elektrickej energie a</w:t>
      </w:r>
      <w:r w:rsidR="003A51AE">
        <w:rPr>
          <w:rFonts w:ascii="Times New Roman" w:hAnsi="Times New Roman"/>
          <w:color w:val="000000" w:themeColor="text1"/>
          <w:szCs w:val="22"/>
          <w:lang w:eastAsia="sk-SK"/>
        </w:rPr>
        <w:t xml:space="preserve"> zemného plynu pre účely </w:t>
      </w:r>
      <w:proofErr w:type="spellStart"/>
      <w:r w:rsidRPr="00505C0F">
        <w:rPr>
          <w:rFonts w:ascii="Times New Roman" w:hAnsi="Times New Roman"/>
          <w:color w:val="000000" w:themeColor="text1"/>
          <w:szCs w:val="22"/>
          <w:lang w:eastAsia="sk-SK"/>
        </w:rPr>
        <w:t>tradingov</w:t>
      </w:r>
      <w:r w:rsidR="003A51AE">
        <w:rPr>
          <w:rFonts w:ascii="Times New Roman" w:hAnsi="Times New Roman"/>
          <w:color w:val="000000" w:themeColor="text1"/>
          <w:szCs w:val="22"/>
          <w:lang w:eastAsia="sk-SK"/>
        </w:rPr>
        <w:t>ých</w:t>
      </w:r>
      <w:proofErr w:type="spellEnd"/>
      <w:r w:rsidRPr="00505C0F">
        <w:rPr>
          <w:rFonts w:ascii="Times New Roman" w:hAnsi="Times New Roman"/>
          <w:color w:val="000000" w:themeColor="text1"/>
          <w:szCs w:val="22"/>
          <w:lang w:eastAsia="sk-SK"/>
        </w:rPr>
        <w:t xml:space="preserve"> obchod</w:t>
      </w:r>
      <w:r w:rsidR="003A51AE">
        <w:rPr>
          <w:rFonts w:ascii="Times New Roman" w:hAnsi="Times New Roman"/>
          <w:color w:val="000000" w:themeColor="text1"/>
          <w:szCs w:val="22"/>
          <w:lang w:eastAsia="sk-SK"/>
        </w:rPr>
        <w:t>ov</w:t>
      </w:r>
      <w:r w:rsidRPr="00505C0F">
        <w:rPr>
          <w:rFonts w:ascii="Times New Roman" w:hAnsi="Times New Roman"/>
          <w:color w:val="000000" w:themeColor="text1"/>
          <w:szCs w:val="22"/>
          <w:lang w:eastAsia="sk-SK"/>
        </w:rPr>
        <w:t>, vykázal najvyšší medziročný nárast o</w:t>
      </w:r>
      <w:r w:rsidR="00FE0916">
        <w:rPr>
          <w:rFonts w:ascii="Times New Roman" w:hAnsi="Times New Roman"/>
          <w:color w:val="000000" w:themeColor="text1"/>
          <w:szCs w:val="22"/>
          <w:lang w:eastAsia="sk-SK"/>
        </w:rPr>
        <w:t xml:space="preserve"> </w:t>
      </w:r>
      <w:r w:rsidRPr="00505C0F">
        <w:rPr>
          <w:rFonts w:ascii="Times New Roman" w:hAnsi="Times New Roman"/>
          <w:color w:val="000000" w:themeColor="text1"/>
          <w:szCs w:val="22"/>
          <w:lang w:eastAsia="sk-SK"/>
        </w:rPr>
        <w:t>90</w:t>
      </w:r>
      <w:r w:rsidR="00FE0916">
        <w:rPr>
          <w:rFonts w:ascii="Times New Roman" w:hAnsi="Times New Roman"/>
          <w:color w:val="000000" w:themeColor="text1"/>
          <w:szCs w:val="22"/>
          <w:lang w:eastAsia="sk-SK"/>
        </w:rPr>
        <w:t> </w:t>
      </w:r>
      <w:r w:rsidRPr="00505C0F">
        <w:rPr>
          <w:rFonts w:ascii="Times New Roman" w:hAnsi="Times New Roman"/>
          <w:color w:val="000000" w:themeColor="text1"/>
          <w:szCs w:val="22"/>
          <w:lang w:eastAsia="sk-SK"/>
        </w:rPr>
        <w:t>496</w:t>
      </w:r>
      <w:r w:rsidR="00FE0916">
        <w:rPr>
          <w:rFonts w:ascii="Times New Roman" w:hAnsi="Times New Roman"/>
          <w:color w:val="000000" w:themeColor="text1"/>
          <w:szCs w:val="22"/>
          <w:lang w:eastAsia="sk-SK"/>
        </w:rPr>
        <w:t> </w:t>
      </w:r>
      <w:r w:rsidRPr="00505C0F">
        <w:rPr>
          <w:rFonts w:ascii="Times New Roman" w:hAnsi="Times New Roman"/>
          <w:color w:val="000000" w:themeColor="text1"/>
          <w:szCs w:val="22"/>
          <w:lang w:eastAsia="sk-SK"/>
        </w:rPr>
        <w:t>tis.</w:t>
      </w:r>
      <w:r w:rsidR="00FE0916">
        <w:rPr>
          <w:rFonts w:ascii="Times New Roman" w:hAnsi="Times New Roman"/>
          <w:color w:val="000000" w:themeColor="text1"/>
          <w:szCs w:val="22"/>
          <w:lang w:eastAsia="sk-SK"/>
        </w:rPr>
        <w:t> </w:t>
      </w:r>
      <w:r w:rsidRPr="00505C0F">
        <w:rPr>
          <w:rFonts w:ascii="Times New Roman" w:hAnsi="Times New Roman"/>
          <w:color w:val="000000" w:themeColor="text1"/>
          <w:szCs w:val="22"/>
          <w:lang w:eastAsia="sk-SK"/>
        </w:rPr>
        <w:t>eur a</w:t>
      </w:r>
      <w:r w:rsidR="00FE0916">
        <w:rPr>
          <w:rFonts w:ascii="Times New Roman" w:hAnsi="Times New Roman"/>
          <w:color w:val="000000" w:themeColor="text1"/>
          <w:szCs w:val="22"/>
          <w:lang w:eastAsia="sk-SK"/>
        </w:rPr>
        <w:t xml:space="preserve"> </w:t>
      </w:r>
      <w:r w:rsidRPr="00505C0F">
        <w:rPr>
          <w:rFonts w:ascii="Times New Roman" w:hAnsi="Times New Roman"/>
          <w:color w:val="000000" w:themeColor="text1"/>
          <w:szCs w:val="22"/>
          <w:lang w:eastAsia="sk-SK"/>
        </w:rPr>
        <w:t xml:space="preserve">tento bol spôsobený najmä vyšším objemom nákupov zemného plynu pre účely </w:t>
      </w:r>
      <w:proofErr w:type="spellStart"/>
      <w:r w:rsidRPr="00505C0F">
        <w:rPr>
          <w:rFonts w:ascii="Times New Roman" w:hAnsi="Times New Roman"/>
          <w:color w:val="000000" w:themeColor="text1"/>
          <w:szCs w:val="22"/>
          <w:lang w:eastAsia="sk-SK"/>
        </w:rPr>
        <w:t>tradingu</w:t>
      </w:r>
      <w:proofErr w:type="spellEnd"/>
      <w:r w:rsidRPr="00505C0F">
        <w:rPr>
          <w:rFonts w:ascii="Times New Roman" w:hAnsi="Times New Roman"/>
          <w:color w:val="000000" w:themeColor="text1"/>
          <w:szCs w:val="22"/>
          <w:lang w:eastAsia="sk-SK"/>
        </w:rPr>
        <w:t>.</w:t>
      </w:r>
    </w:p>
    <w:p w14:paraId="43E2E8D6" w14:textId="77777777" w:rsidR="009F2AF6" w:rsidRPr="00505C0F" w:rsidRDefault="009F2AF6" w:rsidP="00505C0F">
      <w:pPr>
        <w:spacing w:after="120" w:line="240" w:lineRule="auto"/>
        <w:jc w:val="both"/>
        <w:rPr>
          <w:rFonts w:ascii="Times New Roman" w:hAnsi="Times New Roman"/>
          <w:color w:val="000000" w:themeColor="text1"/>
          <w:szCs w:val="22"/>
          <w:lang w:eastAsia="sk-SK"/>
        </w:rPr>
      </w:pPr>
    </w:p>
    <w:p w14:paraId="0FDDABC5" w14:textId="50C645CB" w:rsidR="009F2AF6" w:rsidRDefault="009F2AF6" w:rsidP="0085799C">
      <w:pPr>
        <w:pStyle w:val="Nadpis4"/>
        <w:numPr>
          <w:ilvl w:val="0"/>
          <w:numId w:val="54"/>
        </w:numPr>
        <w:ind w:left="426" w:hanging="426"/>
        <w:rPr>
          <w:lang w:eastAsia="sk-SK"/>
        </w:rPr>
      </w:pPr>
      <w:bookmarkStart w:id="92" w:name="_Spotreba_energií"/>
      <w:bookmarkEnd w:id="92"/>
      <w:r>
        <w:rPr>
          <w:lang w:eastAsia="sk-SK"/>
        </w:rPr>
        <w:t>Spotreba energií</w:t>
      </w:r>
    </w:p>
    <w:p w14:paraId="4B5514D0" w14:textId="3BA72FE2" w:rsidR="00647542" w:rsidRPr="00505C0F" w:rsidRDefault="00647542" w:rsidP="00505C0F">
      <w:pPr>
        <w:pStyle w:val="Pismenka"/>
        <w:tabs>
          <w:tab w:val="clear" w:pos="426"/>
        </w:tabs>
        <w:spacing w:after="120"/>
        <w:ind w:left="0" w:firstLine="0"/>
        <w:rPr>
          <w:b w:val="0"/>
          <w:color w:val="000000" w:themeColor="text1"/>
          <w:sz w:val="22"/>
          <w:szCs w:val="22"/>
        </w:rPr>
      </w:pPr>
      <w:r w:rsidRPr="00505C0F">
        <w:rPr>
          <w:b w:val="0"/>
          <w:color w:val="000000" w:themeColor="text1"/>
          <w:sz w:val="22"/>
          <w:szCs w:val="22"/>
          <w:u w:val="single"/>
        </w:rPr>
        <w:t>Náklady na spotrebu energií</w:t>
      </w:r>
      <w:r w:rsidRPr="00505C0F">
        <w:rPr>
          <w:b w:val="0"/>
          <w:color w:val="000000" w:themeColor="text1"/>
          <w:sz w:val="22"/>
          <w:szCs w:val="22"/>
        </w:rPr>
        <w:t xml:space="preserve"> rôznych druhov boli medziročne </w:t>
      </w:r>
      <w:r w:rsidR="002268C3" w:rsidRPr="0085799C">
        <w:rPr>
          <w:b w:val="0"/>
          <w:bCs w:val="0"/>
          <w:color w:val="000000" w:themeColor="text1"/>
          <w:sz w:val="22"/>
          <w:szCs w:val="22"/>
        </w:rPr>
        <w:t>niž</w:t>
      </w:r>
      <w:r w:rsidRPr="00505C0F">
        <w:rPr>
          <w:b w:val="0"/>
          <w:color w:val="000000" w:themeColor="text1"/>
          <w:sz w:val="22"/>
          <w:szCs w:val="22"/>
        </w:rPr>
        <w:t>šie o</w:t>
      </w:r>
      <w:r w:rsidR="00FE0916">
        <w:rPr>
          <w:b w:val="0"/>
          <w:color w:val="000000" w:themeColor="text1"/>
          <w:sz w:val="22"/>
          <w:szCs w:val="22"/>
        </w:rPr>
        <w:t xml:space="preserve"> </w:t>
      </w:r>
      <w:r w:rsidR="002268C3" w:rsidRPr="0085799C">
        <w:rPr>
          <w:b w:val="0"/>
          <w:bCs w:val="0"/>
          <w:color w:val="000000" w:themeColor="text1"/>
          <w:sz w:val="22"/>
          <w:szCs w:val="22"/>
        </w:rPr>
        <w:t>269</w:t>
      </w:r>
      <w:r w:rsidR="00FE0916">
        <w:rPr>
          <w:b w:val="0"/>
          <w:bCs w:val="0"/>
          <w:color w:val="000000" w:themeColor="text1"/>
          <w:sz w:val="22"/>
          <w:szCs w:val="22"/>
        </w:rPr>
        <w:t> </w:t>
      </w:r>
      <w:r w:rsidR="002268C3" w:rsidRPr="0085799C">
        <w:rPr>
          <w:b w:val="0"/>
          <w:bCs w:val="0"/>
          <w:color w:val="000000" w:themeColor="text1"/>
          <w:sz w:val="22"/>
          <w:szCs w:val="22"/>
        </w:rPr>
        <w:t>404</w:t>
      </w:r>
      <w:r w:rsidR="00FE0916">
        <w:rPr>
          <w:b w:val="0"/>
          <w:bCs w:val="0"/>
          <w:color w:val="000000" w:themeColor="text1"/>
          <w:sz w:val="22"/>
          <w:szCs w:val="22"/>
        </w:rPr>
        <w:t> </w:t>
      </w:r>
      <w:r w:rsidRPr="00505C0F">
        <w:rPr>
          <w:b w:val="0"/>
          <w:color w:val="000000" w:themeColor="text1"/>
          <w:sz w:val="22"/>
          <w:szCs w:val="22"/>
        </w:rPr>
        <w:t>tis. eur</w:t>
      </w:r>
      <w:r w:rsidRPr="00505C0F">
        <w:rPr>
          <w:b w:val="0"/>
          <w:color w:val="FF0000"/>
          <w:sz w:val="22"/>
          <w:szCs w:val="22"/>
        </w:rPr>
        <w:t xml:space="preserve"> </w:t>
      </w:r>
      <w:r w:rsidRPr="00505C0F">
        <w:rPr>
          <w:b w:val="0"/>
          <w:color w:val="000000" w:themeColor="text1"/>
          <w:sz w:val="22"/>
          <w:szCs w:val="22"/>
        </w:rPr>
        <w:t>a dosiahli úroveň</w:t>
      </w:r>
      <w:r w:rsidR="00FE0916">
        <w:rPr>
          <w:b w:val="0"/>
          <w:color w:val="000000" w:themeColor="text1"/>
          <w:sz w:val="22"/>
          <w:szCs w:val="22"/>
        </w:rPr>
        <w:t xml:space="preserve"> </w:t>
      </w:r>
      <w:r w:rsidR="002268C3" w:rsidRPr="0085799C">
        <w:rPr>
          <w:b w:val="0"/>
          <w:bCs w:val="0"/>
          <w:color w:val="000000" w:themeColor="text1"/>
          <w:sz w:val="22"/>
          <w:szCs w:val="22"/>
        </w:rPr>
        <w:t>928</w:t>
      </w:r>
      <w:r w:rsidR="00FE0916">
        <w:rPr>
          <w:b w:val="0"/>
          <w:bCs w:val="0"/>
          <w:color w:val="000000" w:themeColor="text1"/>
          <w:sz w:val="22"/>
          <w:szCs w:val="22"/>
        </w:rPr>
        <w:t> </w:t>
      </w:r>
      <w:r w:rsidR="002268C3" w:rsidRPr="0085799C">
        <w:rPr>
          <w:b w:val="0"/>
          <w:bCs w:val="0"/>
          <w:color w:val="000000" w:themeColor="text1"/>
          <w:sz w:val="22"/>
          <w:szCs w:val="22"/>
        </w:rPr>
        <w:t>076</w:t>
      </w:r>
      <w:r w:rsidRPr="00505C0F">
        <w:rPr>
          <w:b w:val="0"/>
          <w:color w:val="000000" w:themeColor="text1"/>
          <w:sz w:val="22"/>
          <w:szCs w:val="22"/>
        </w:rPr>
        <w:t> tis. eur</w:t>
      </w:r>
      <w:r w:rsidRPr="00505C0F">
        <w:rPr>
          <w:b w:val="0"/>
          <w:color w:val="FF0000"/>
          <w:sz w:val="22"/>
          <w:szCs w:val="22"/>
        </w:rPr>
        <w:t xml:space="preserve"> </w:t>
      </w:r>
      <w:r w:rsidRPr="00505C0F">
        <w:rPr>
          <w:b w:val="0"/>
          <w:color w:val="000000" w:themeColor="text1"/>
          <w:sz w:val="22"/>
          <w:szCs w:val="22"/>
        </w:rPr>
        <w:t xml:space="preserve">(v tom územná samospráva </w:t>
      </w:r>
      <w:r w:rsidR="00155338" w:rsidRPr="0085799C">
        <w:rPr>
          <w:b w:val="0"/>
          <w:bCs w:val="0"/>
          <w:color w:val="000000" w:themeColor="text1"/>
          <w:sz w:val="22"/>
          <w:szCs w:val="22"/>
        </w:rPr>
        <w:t>571</w:t>
      </w:r>
      <w:r w:rsidR="00FE0916">
        <w:rPr>
          <w:b w:val="0"/>
          <w:bCs w:val="0"/>
          <w:color w:val="000000" w:themeColor="text1"/>
          <w:sz w:val="22"/>
          <w:szCs w:val="22"/>
        </w:rPr>
        <w:t> </w:t>
      </w:r>
      <w:r w:rsidR="00155338" w:rsidRPr="0085799C">
        <w:rPr>
          <w:b w:val="0"/>
          <w:bCs w:val="0"/>
          <w:color w:val="000000" w:themeColor="text1"/>
          <w:sz w:val="22"/>
          <w:szCs w:val="22"/>
        </w:rPr>
        <w:t>892</w:t>
      </w:r>
      <w:r w:rsidRPr="00505C0F">
        <w:rPr>
          <w:b w:val="0"/>
          <w:color w:val="000000" w:themeColor="text1"/>
          <w:sz w:val="22"/>
          <w:szCs w:val="22"/>
        </w:rPr>
        <w:t> tis. eur a</w:t>
      </w:r>
      <w:r w:rsidR="00FE0916">
        <w:rPr>
          <w:b w:val="0"/>
          <w:color w:val="000000" w:themeColor="text1"/>
          <w:sz w:val="22"/>
          <w:szCs w:val="22"/>
        </w:rPr>
        <w:t xml:space="preserve"> </w:t>
      </w:r>
      <w:r w:rsidRPr="00505C0F">
        <w:rPr>
          <w:b w:val="0"/>
          <w:color w:val="000000" w:themeColor="text1"/>
          <w:sz w:val="22"/>
          <w:szCs w:val="22"/>
        </w:rPr>
        <w:t xml:space="preserve">ústredná správa </w:t>
      </w:r>
      <w:r w:rsidR="00155338" w:rsidRPr="0085799C">
        <w:rPr>
          <w:b w:val="0"/>
          <w:bCs w:val="0"/>
          <w:color w:val="000000" w:themeColor="text1"/>
          <w:sz w:val="22"/>
          <w:szCs w:val="22"/>
        </w:rPr>
        <w:t>297</w:t>
      </w:r>
      <w:r w:rsidR="00FE0916">
        <w:rPr>
          <w:b w:val="0"/>
          <w:bCs w:val="0"/>
          <w:color w:val="000000" w:themeColor="text1"/>
          <w:sz w:val="22"/>
          <w:szCs w:val="22"/>
        </w:rPr>
        <w:t> </w:t>
      </w:r>
      <w:r w:rsidR="00155338" w:rsidRPr="0085799C">
        <w:rPr>
          <w:b w:val="0"/>
          <w:bCs w:val="0"/>
          <w:color w:val="000000" w:themeColor="text1"/>
          <w:sz w:val="22"/>
          <w:szCs w:val="22"/>
        </w:rPr>
        <w:t>386</w:t>
      </w:r>
      <w:r w:rsidRPr="00505C0F">
        <w:rPr>
          <w:b w:val="0"/>
          <w:color w:val="000000" w:themeColor="text1"/>
          <w:sz w:val="22"/>
          <w:szCs w:val="22"/>
        </w:rPr>
        <w:t xml:space="preserve"> tis. eur). </w:t>
      </w:r>
      <w:r w:rsidR="004A142D" w:rsidRPr="0085799C">
        <w:rPr>
          <w:b w:val="0"/>
          <w:bCs w:val="0"/>
          <w:color w:val="000000" w:themeColor="text1"/>
          <w:sz w:val="22"/>
          <w:szCs w:val="22"/>
        </w:rPr>
        <w:t xml:space="preserve">Najväčší objem spotrebovaných nákladov na energie vykázali </w:t>
      </w:r>
      <w:r w:rsidR="004A142D" w:rsidRPr="0085799C">
        <w:rPr>
          <w:b w:val="0"/>
          <w:color w:val="000000" w:themeColor="text1"/>
          <w:sz w:val="22"/>
          <w:szCs w:val="22"/>
          <w:u w:val="single"/>
        </w:rPr>
        <w:t>Železnice Slovenskej republiky</w:t>
      </w:r>
      <w:r w:rsidR="004A142D" w:rsidRPr="0085799C">
        <w:rPr>
          <w:b w:val="0"/>
          <w:bCs w:val="0"/>
          <w:color w:val="000000" w:themeColor="text1"/>
          <w:sz w:val="22"/>
          <w:szCs w:val="22"/>
        </w:rPr>
        <w:t xml:space="preserve"> (90 469 </w:t>
      </w:r>
      <w:r w:rsidR="004A142D" w:rsidRPr="00505C0F">
        <w:rPr>
          <w:b w:val="0"/>
          <w:bCs w:val="0"/>
          <w:color w:val="000000" w:themeColor="text1"/>
          <w:sz w:val="22"/>
          <w:szCs w:val="22"/>
        </w:rPr>
        <w:t>tis.</w:t>
      </w:r>
      <w:r w:rsidR="004A142D" w:rsidRPr="0085799C">
        <w:rPr>
          <w:b w:val="0"/>
          <w:bCs w:val="0"/>
          <w:color w:val="000000" w:themeColor="text1"/>
          <w:sz w:val="22"/>
          <w:szCs w:val="22"/>
        </w:rPr>
        <w:t> eur) s medziročným poklesom  o</w:t>
      </w:r>
      <w:r w:rsidR="00FE0916">
        <w:rPr>
          <w:b w:val="0"/>
          <w:bCs w:val="0"/>
          <w:color w:val="000000" w:themeColor="text1"/>
          <w:sz w:val="22"/>
          <w:szCs w:val="22"/>
        </w:rPr>
        <w:t xml:space="preserve"> </w:t>
      </w:r>
      <w:r w:rsidR="004A142D" w:rsidRPr="0085799C">
        <w:rPr>
          <w:b w:val="0"/>
          <w:bCs w:val="0"/>
          <w:color w:val="000000" w:themeColor="text1"/>
          <w:sz w:val="22"/>
          <w:szCs w:val="22"/>
        </w:rPr>
        <w:t>18 762 </w:t>
      </w:r>
      <w:r w:rsidR="004A142D" w:rsidRPr="00505C0F">
        <w:rPr>
          <w:b w:val="0"/>
          <w:bCs w:val="0"/>
          <w:color w:val="000000" w:themeColor="text1"/>
          <w:sz w:val="22"/>
          <w:szCs w:val="22"/>
        </w:rPr>
        <w:t>tis.</w:t>
      </w:r>
      <w:r w:rsidR="004A142D" w:rsidRPr="0085799C">
        <w:rPr>
          <w:b w:val="0"/>
          <w:bCs w:val="0"/>
          <w:color w:val="000000" w:themeColor="text1"/>
          <w:sz w:val="22"/>
          <w:szCs w:val="22"/>
        </w:rPr>
        <w:t> eur. Tento pokles bol spôsobený nižšími nákladmi na dodávku elektriny z</w:t>
      </w:r>
      <w:r w:rsidR="00FE0916">
        <w:rPr>
          <w:b w:val="0"/>
          <w:bCs w:val="0"/>
          <w:color w:val="000000" w:themeColor="text1"/>
          <w:sz w:val="22"/>
          <w:szCs w:val="22"/>
        </w:rPr>
        <w:t xml:space="preserve"> </w:t>
      </w:r>
      <w:r w:rsidR="004A142D" w:rsidRPr="0085799C">
        <w:rPr>
          <w:b w:val="0"/>
          <w:bCs w:val="0"/>
          <w:color w:val="000000" w:themeColor="text1"/>
          <w:sz w:val="22"/>
          <w:szCs w:val="22"/>
        </w:rPr>
        <w:t>dôvodu jej nižšej ceny.</w:t>
      </w:r>
    </w:p>
    <w:p w14:paraId="216143E0" w14:textId="77777777" w:rsidR="009F2AF6" w:rsidRPr="00505C0F" w:rsidRDefault="009F2AF6" w:rsidP="00505C0F">
      <w:pPr>
        <w:pStyle w:val="Pismenka"/>
        <w:tabs>
          <w:tab w:val="clear" w:pos="426"/>
        </w:tabs>
        <w:spacing w:after="120"/>
        <w:ind w:left="0" w:firstLine="0"/>
        <w:rPr>
          <w:b w:val="0"/>
          <w:bCs w:val="0"/>
          <w:color w:val="000000" w:themeColor="text1"/>
          <w:sz w:val="22"/>
          <w:szCs w:val="22"/>
        </w:rPr>
      </w:pPr>
    </w:p>
    <w:p w14:paraId="71D2C75D" w14:textId="788F5BD9" w:rsidR="009F2AF6" w:rsidRDefault="00372B3A" w:rsidP="00372B3A">
      <w:pPr>
        <w:pStyle w:val="Nadpis4"/>
        <w:numPr>
          <w:ilvl w:val="0"/>
          <w:numId w:val="54"/>
        </w:numPr>
        <w:ind w:left="426" w:hanging="426"/>
      </w:pPr>
      <w:bookmarkStart w:id="93" w:name="_Ostatné"/>
      <w:bookmarkEnd w:id="93"/>
      <w:r>
        <w:t>Ostatné</w:t>
      </w:r>
    </w:p>
    <w:p w14:paraId="6748A4FB" w14:textId="589DB13A" w:rsidR="00647542" w:rsidRPr="00505C0F" w:rsidRDefault="00647542" w:rsidP="00505C0F">
      <w:pPr>
        <w:pStyle w:val="Pismenka"/>
        <w:tabs>
          <w:tab w:val="clear" w:pos="426"/>
        </w:tabs>
        <w:spacing w:after="120"/>
        <w:ind w:left="0" w:firstLine="0"/>
        <w:rPr>
          <w:b w:val="0"/>
          <w:color w:val="000000" w:themeColor="text1"/>
          <w:sz w:val="22"/>
          <w:szCs w:val="22"/>
        </w:rPr>
      </w:pPr>
      <w:r w:rsidRPr="00505C0F">
        <w:rPr>
          <w:b w:val="0"/>
          <w:color w:val="000000" w:themeColor="text1"/>
          <w:sz w:val="22"/>
          <w:szCs w:val="22"/>
        </w:rPr>
        <w:t>Ide o</w:t>
      </w:r>
      <w:r w:rsidR="00FE0916">
        <w:rPr>
          <w:b w:val="0"/>
          <w:color w:val="000000" w:themeColor="text1"/>
          <w:sz w:val="22"/>
          <w:szCs w:val="22"/>
        </w:rPr>
        <w:t xml:space="preserve"> </w:t>
      </w:r>
      <w:r w:rsidRPr="00505C0F">
        <w:rPr>
          <w:b w:val="0"/>
          <w:color w:val="000000" w:themeColor="text1"/>
          <w:sz w:val="22"/>
          <w:szCs w:val="22"/>
        </w:rPr>
        <w:t>náklady na spotrebu ostatných neskladovateľných dodávok v celkovej sume 1</w:t>
      </w:r>
      <w:r w:rsidR="00E051A5" w:rsidRPr="0085799C">
        <w:rPr>
          <w:b w:val="0"/>
          <w:bCs w:val="0"/>
          <w:color w:val="000000" w:themeColor="text1"/>
          <w:sz w:val="22"/>
          <w:szCs w:val="22"/>
        </w:rPr>
        <w:t>3</w:t>
      </w:r>
      <w:r w:rsidRPr="00505C0F">
        <w:rPr>
          <w:b w:val="0"/>
          <w:bCs w:val="0"/>
          <w:color w:val="000000" w:themeColor="text1"/>
          <w:sz w:val="22"/>
          <w:szCs w:val="22"/>
        </w:rPr>
        <w:t> </w:t>
      </w:r>
      <w:r w:rsidR="00E051A5" w:rsidRPr="0085799C">
        <w:rPr>
          <w:b w:val="0"/>
          <w:bCs w:val="0"/>
          <w:color w:val="000000" w:themeColor="text1"/>
          <w:sz w:val="22"/>
          <w:szCs w:val="22"/>
        </w:rPr>
        <w:t>027</w:t>
      </w:r>
      <w:r w:rsidRPr="00505C0F">
        <w:rPr>
          <w:b w:val="0"/>
          <w:color w:val="000000" w:themeColor="text1"/>
          <w:sz w:val="22"/>
          <w:szCs w:val="22"/>
        </w:rPr>
        <w:t> tis. eur</w:t>
      </w:r>
      <w:r w:rsidR="00FE0916">
        <w:rPr>
          <w:b w:val="0"/>
          <w:color w:val="000000" w:themeColor="text1"/>
          <w:sz w:val="22"/>
          <w:szCs w:val="22"/>
        </w:rPr>
        <w:t xml:space="preserve"> </w:t>
      </w:r>
      <w:r w:rsidRPr="00505C0F">
        <w:rPr>
          <w:b w:val="0"/>
          <w:color w:val="000000" w:themeColor="text1"/>
          <w:sz w:val="22"/>
          <w:szCs w:val="22"/>
        </w:rPr>
        <w:t>(202</w:t>
      </w:r>
      <w:r w:rsidR="00E051A5" w:rsidRPr="0085799C">
        <w:rPr>
          <w:b w:val="0"/>
          <w:bCs w:val="0"/>
          <w:color w:val="000000" w:themeColor="text1"/>
          <w:sz w:val="22"/>
          <w:szCs w:val="22"/>
        </w:rPr>
        <w:t>3</w:t>
      </w:r>
      <w:r w:rsidRPr="00505C0F">
        <w:rPr>
          <w:b w:val="0"/>
          <w:color w:val="000000" w:themeColor="text1"/>
          <w:sz w:val="22"/>
          <w:szCs w:val="22"/>
        </w:rPr>
        <w:t xml:space="preserve">: </w:t>
      </w:r>
      <w:r w:rsidR="00E051A5" w:rsidRPr="0085799C">
        <w:rPr>
          <w:b w:val="0"/>
          <w:bCs w:val="0"/>
          <w:color w:val="000000" w:themeColor="text1"/>
          <w:sz w:val="22"/>
          <w:szCs w:val="22"/>
        </w:rPr>
        <w:t>18</w:t>
      </w:r>
      <w:r w:rsidR="00FE0916">
        <w:rPr>
          <w:b w:val="0"/>
          <w:bCs w:val="0"/>
          <w:color w:val="000000" w:themeColor="text1"/>
          <w:sz w:val="22"/>
          <w:szCs w:val="22"/>
        </w:rPr>
        <w:t> </w:t>
      </w:r>
      <w:r w:rsidR="00E051A5" w:rsidRPr="0085799C">
        <w:rPr>
          <w:b w:val="0"/>
          <w:bCs w:val="0"/>
          <w:color w:val="000000" w:themeColor="text1"/>
          <w:sz w:val="22"/>
          <w:szCs w:val="22"/>
        </w:rPr>
        <w:t>459</w:t>
      </w:r>
      <w:r w:rsidRPr="00505C0F">
        <w:rPr>
          <w:b w:val="0"/>
          <w:color w:val="000000" w:themeColor="text1"/>
          <w:sz w:val="22"/>
          <w:szCs w:val="22"/>
        </w:rPr>
        <w:t> tis. eur). Tvorené sú najmä subjektami územnej samosprávy úhrnom v</w:t>
      </w:r>
      <w:r w:rsidR="00FE0916">
        <w:rPr>
          <w:b w:val="0"/>
          <w:color w:val="000000" w:themeColor="text1"/>
          <w:sz w:val="22"/>
          <w:szCs w:val="22"/>
        </w:rPr>
        <w:t> </w:t>
      </w:r>
      <w:r w:rsidRPr="00505C0F">
        <w:rPr>
          <w:b w:val="0"/>
          <w:color w:val="000000" w:themeColor="text1"/>
          <w:sz w:val="22"/>
          <w:szCs w:val="22"/>
        </w:rPr>
        <w:t>sume</w:t>
      </w:r>
      <w:r w:rsidR="00FE0916">
        <w:rPr>
          <w:b w:val="0"/>
          <w:color w:val="000000" w:themeColor="text1"/>
          <w:sz w:val="22"/>
          <w:szCs w:val="22"/>
        </w:rPr>
        <w:t xml:space="preserve"> </w:t>
      </w:r>
      <w:r w:rsidR="00D318CA" w:rsidRPr="0085799C">
        <w:rPr>
          <w:b w:val="0"/>
          <w:bCs w:val="0"/>
          <w:color w:val="000000" w:themeColor="text1"/>
          <w:sz w:val="22"/>
          <w:szCs w:val="22"/>
        </w:rPr>
        <w:t>12</w:t>
      </w:r>
      <w:r w:rsidR="00FE0916">
        <w:rPr>
          <w:b w:val="0"/>
          <w:bCs w:val="0"/>
          <w:color w:val="000000" w:themeColor="text1"/>
          <w:sz w:val="22"/>
          <w:szCs w:val="22"/>
        </w:rPr>
        <w:t> </w:t>
      </w:r>
      <w:r w:rsidR="00D318CA" w:rsidRPr="0085799C">
        <w:rPr>
          <w:b w:val="0"/>
          <w:bCs w:val="0"/>
          <w:color w:val="000000" w:themeColor="text1"/>
          <w:sz w:val="22"/>
          <w:szCs w:val="22"/>
        </w:rPr>
        <w:t>612</w:t>
      </w:r>
      <w:r w:rsidRPr="00505C0F">
        <w:rPr>
          <w:b w:val="0"/>
          <w:color w:val="000000" w:themeColor="text1"/>
          <w:sz w:val="22"/>
          <w:szCs w:val="22"/>
        </w:rPr>
        <w:t xml:space="preserve"> tis. eur (v tom </w:t>
      </w:r>
      <w:r w:rsidR="00D318CA" w:rsidRPr="0085799C">
        <w:rPr>
          <w:b w:val="0"/>
          <w:bCs w:val="0"/>
          <w:color w:val="000000" w:themeColor="text1"/>
          <w:sz w:val="22"/>
          <w:szCs w:val="22"/>
        </w:rPr>
        <w:t>VÚC</w:t>
      </w:r>
      <w:r w:rsidRPr="00505C0F">
        <w:rPr>
          <w:b w:val="0"/>
          <w:color w:val="000000" w:themeColor="text1"/>
          <w:sz w:val="22"/>
          <w:szCs w:val="22"/>
        </w:rPr>
        <w:t xml:space="preserve"> </w:t>
      </w:r>
      <w:r w:rsidR="00D318CA" w:rsidRPr="0085799C">
        <w:rPr>
          <w:b w:val="0"/>
          <w:bCs w:val="0"/>
          <w:color w:val="000000" w:themeColor="text1"/>
          <w:sz w:val="22"/>
          <w:szCs w:val="22"/>
        </w:rPr>
        <w:t>12</w:t>
      </w:r>
      <w:r w:rsidR="00FE0916">
        <w:rPr>
          <w:b w:val="0"/>
          <w:bCs w:val="0"/>
          <w:color w:val="000000" w:themeColor="text1"/>
          <w:sz w:val="22"/>
          <w:szCs w:val="22"/>
        </w:rPr>
        <w:t> </w:t>
      </w:r>
      <w:r w:rsidR="00D318CA" w:rsidRPr="0085799C">
        <w:rPr>
          <w:b w:val="0"/>
          <w:bCs w:val="0"/>
          <w:color w:val="000000" w:themeColor="text1"/>
          <w:sz w:val="22"/>
          <w:szCs w:val="22"/>
        </w:rPr>
        <w:t>604</w:t>
      </w:r>
      <w:r w:rsidRPr="00505C0F">
        <w:rPr>
          <w:b w:val="0"/>
          <w:color w:val="000000" w:themeColor="text1"/>
          <w:sz w:val="22"/>
          <w:szCs w:val="22"/>
        </w:rPr>
        <w:t> tis. eur).</w:t>
      </w:r>
      <w:bookmarkStart w:id="94" w:name="_Ref86186859"/>
    </w:p>
    <w:p w14:paraId="4EC3293A" w14:textId="77777777" w:rsidR="00CA57DB" w:rsidRPr="00505C0F" w:rsidRDefault="00CA57DB" w:rsidP="00505C0F">
      <w:pPr>
        <w:pStyle w:val="Pismenka"/>
        <w:tabs>
          <w:tab w:val="clear" w:pos="426"/>
        </w:tabs>
        <w:spacing w:after="120"/>
        <w:ind w:left="0" w:firstLine="0"/>
        <w:rPr>
          <w:b w:val="0"/>
          <w:color w:val="000000" w:themeColor="text1"/>
          <w:sz w:val="22"/>
          <w:szCs w:val="22"/>
        </w:rPr>
      </w:pPr>
    </w:p>
    <w:p w14:paraId="3DFCC1F6" w14:textId="6E22F91F" w:rsidR="00372B3A" w:rsidRPr="0085799C" w:rsidRDefault="00372B3A" w:rsidP="0085799C">
      <w:pPr>
        <w:pStyle w:val="Nadpis3"/>
        <w:numPr>
          <w:ilvl w:val="0"/>
          <w:numId w:val="10"/>
        </w:numPr>
        <w:ind w:left="709"/>
      </w:pPr>
      <w:r>
        <w:t>Osobné náklady</w:t>
      </w:r>
    </w:p>
    <w:p w14:paraId="68EE1DC1" w14:textId="34A4DF67" w:rsidR="00647542" w:rsidRPr="00907622" w:rsidRDefault="00647542" w:rsidP="00647542">
      <w:pPr>
        <w:spacing w:after="0" w:line="240" w:lineRule="auto"/>
        <w:rPr>
          <w:rFonts w:ascii="Times New Roman" w:hAnsi="Times New Roman"/>
          <w:b/>
          <w:sz w:val="24"/>
          <w:szCs w:val="24"/>
          <w:lang w:eastAsia="sk-SK"/>
        </w:rPr>
      </w:pPr>
    </w:p>
    <w:bookmarkEnd w:id="94"/>
    <w:p w14:paraId="7F1C0B3F" w14:textId="09A0B2E9" w:rsidR="00647542" w:rsidRDefault="00647542" w:rsidP="00647542">
      <w:pPr>
        <w:pStyle w:val="Popis"/>
        <w:keepNext/>
        <w:rPr>
          <w:noProof/>
        </w:rPr>
      </w:pPr>
      <w:r w:rsidRPr="00907622">
        <w:t xml:space="preserve">Tabuľka </w:t>
      </w:r>
      <w:r w:rsidRPr="00907622">
        <w:fldChar w:fldCharType="begin"/>
      </w:r>
      <w:r w:rsidRPr="00907622">
        <w:instrText xml:space="preserve"> SEQ Tabuľka \* ARABIC </w:instrText>
      </w:r>
      <w:r w:rsidRPr="00907622">
        <w:fldChar w:fldCharType="separate"/>
      </w:r>
      <w:r w:rsidRPr="00907622">
        <w:rPr>
          <w:noProof/>
        </w:rPr>
        <w:t>23</w:t>
      </w:r>
      <w:r w:rsidRPr="00907622">
        <w:rPr>
          <w:noProof/>
        </w:rPr>
        <w:fldChar w:fldCharType="end"/>
      </w:r>
    </w:p>
    <w:tbl>
      <w:tblPr>
        <w:tblW w:w="9072" w:type="dxa"/>
        <w:jc w:val="center"/>
        <w:tblCellMar>
          <w:left w:w="70" w:type="dxa"/>
          <w:right w:w="70" w:type="dxa"/>
        </w:tblCellMar>
        <w:tblLook w:val="04A0" w:firstRow="1" w:lastRow="0" w:firstColumn="1" w:lastColumn="0" w:noHBand="0" w:noVBand="1"/>
      </w:tblPr>
      <w:tblGrid>
        <w:gridCol w:w="4020"/>
        <w:gridCol w:w="1684"/>
        <w:gridCol w:w="1684"/>
        <w:gridCol w:w="1684"/>
      </w:tblGrid>
      <w:tr w:rsidR="00D22E9A" w:rsidRPr="00D22E9A" w14:paraId="4500A6CC" w14:textId="77777777" w:rsidTr="0085799C">
        <w:trPr>
          <w:trHeight w:val="227"/>
          <w:jc w:val="center"/>
        </w:trPr>
        <w:tc>
          <w:tcPr>
            <w:tcW w:w="2216" w:type="pct"/>
            <w:tcBorders>
              <w:top w:val="single" w:sz="8" w:space="0" w:color="auto"/>
              <w:left w:val="nil"/>
              <w:bottom w:val="single" w:sz="8" w:space="0" w:color="auto"/>
              <w:right w:val="nil"/>
            </w:tcBorders>
            <w:shd w:val="clear" w:color="000000" w:fill="F4B084"/>
            <w:noWrap/>
            <w:vAlign w:val="center"/>
            <w:hideMark/>
          </w:tcPr>
          <w:p w14:paraId="1504A09F" w14:textId="77777777" w:rsidR="00D22E9A" w:rsidRPr="00D22E9A" w:rsidRDefault="00D22E9A" w:rsidP="00D22E9A">
            <w:pPr>
              <w:spacing w:after="0" w:line="240" w:lineRule="auto"/>
              <w:rPr>
                <w:rFonts w:ascii="Times New Roman" w:hAnsi="Times New Roman"/>
                <w:b/>
                <w:bCs/>
                <w:color w:val="000000"/>
                <w:sz w:val="18"/>
                <w:szCs w:val="18"/>
                <w:lang w:eastAsia="sk-SK"/>
              </w:rPr>
            </w:pPr>
            <w:r w:rsidRPr="00D22E9A">
              <w:rPr>
                <w:rFonts w:ascii="Times New Roman" w:hAnsi="Times New Roman"/>
                <w:b/>
                <w:bCs/>
                <w:color w:val="000000"/>
                <w:sz w:val="18"/>
                <w:szCs w:val="18"/>
                <w:lang w:eastAsia="sk-SK"/>
              </w:rPr>
              <w:t>Osobné náklady podľa druhu</w:t>
            </w:r>
          </w:p>
        </w:tc>
        <w:tc>
          <w:tcPr>
            <w:tcW w:w="928" w:type="pct"/>
            <w:tcBorders>
              <w:top w:val="single" w:sz="8" w:space="0" w:color="auto"/>
              <w:left w:val="nil"/>
              <w:bottom w:val="single" w:sz="8" w:space="0" w:color="auto"/>
              <w:right w:val="nil"/>
            </w:tcBorders>
            <w:shd w:val="clear" w:color="000000" w:fill="F4B084"/>
            <w:noWrap/>
            <w:vAlign w:val="center"/>
            <w:hideMark/>
          </w:tcPr>
          <w:p w14:paraId="6D92BE9D" w14:textId="77777777" w:rsidR="00D22E9A" w:rsidRPr="00D22E9A" w:rsidRDefault="00D22E9A" w:rsidP="00D22E9A">
            <w:pPr>
              <w:spacing w:after="0" w:line="240" w:lineRule="auto"/>
              <w:jc w:val="center"/>
              <w:rPr>
                <w:rFonts w:ascii="Times New Roman" w:hAnsi="Times New Roman"/>
                <w:b/>
                <w:bCs/>
                <w:color w:val="000000"/>
                <w:sz w:val="18"/>
                <w:szCs w:val="18"/>
                <w:lang w:eastAsia="sk-SK"/>
              </w:rPr>
            </w:pPr>
            <w:r w:rsidRPr="00D22E9A">
              <w:rPr>
                <w:rFonts w:ascii="Times New Roman" w:hAnsi="Times New Roman"/>
                <w:b/>
                <w:bCs/>
                <w:color w:val="000000"/>
                <w:sz w:val="18"/>
                <w:szCs w:val="18"/>
                <w:lang w:eastAsia="sk-SK"/>
              </w:rPr>
              <w:t> </w:t>
            </w:r>
          </w:p>
        </w:tc>
        <w:tc>
          <w:tcPr>
            <w:tcW w:w="928" w:type="pct"/>
            <w:tcBorders>
              <w:top w:val="single" w:sz="8" w:space="0" w:color="auto"/>
              <w:left w:val="nil"/>
              <w:bottom w:val="single" w:sz="8" w:space="0" w:color="auto"/>
              <w:right w:val="nil"/>
            </w:tcBorders>
            <w:shd w:val="clear" w:color="000000" w:fill="F4B084"/>
            <w:noWrap/>
            <w:vAlign w:val="center"/>
            <w:hideMark/>
          </w:tcPr>
          <w:p w14:paraId="31A7787C" w14:textId="77777777" w:rsidR="00D22E9A" w:rsidRPr="00D22E9A" w:rsidRDefault="00D22E9A" w:rsidP="00D22E9A">
            <w:pPr>
              <w:spacing w:after="0" w:line="240" w:lineRule="auto"/>
              <w:jc w:val="center"/>
              <w:rPr>
                <w:rFonts w:ascii="Times New Roman" w:hAnsi="Times New Roman"/>
                <w:b/>
                <w:bCs/>
                <w:color w:val="000000"/>
                <w:sz w:val="18"/>
                <w:szCs w:val="18"/>
                <w:lang w:eastAsia="sk-SK"/>
              </w:rPr>
            </w:pPr>
            <w:r w:rsidRPr="00D22E9A">
              <w:rPr>
                <w:rFonts w:ascii="Times New Roman" w:hAnsi="Times New Roman"/>
                <w:b/>
                <w:bCs/>
                <w:color w:val="000000"/>
                <w:sz w:val="18"/>
                <w:szCs w:val="18"/>
                <w:lang w:eastAsia="sk-SK"/>
              </w:rPr>
              <w:t>(v tis. eur)</w:t>
            </w:r>
          </w:p>
        </w:tc>
        <w:tc>
          <w:tcPr>
            <w:tcW w:w="928" w:type="pct"/>
            <w:tcBorders>
              <w:top w:val="single" w:sz="8" w:space="0" w:color="auto"/>
              <w:left w:val="nil"/>
              <w:bottom w:val="single" w:sz="8" w:space="0" w:color="auto"/>
              <w:right w:val="nil"/>
            </w:tcBorders>
            <w:shd w:val="clear" w:color="000000" w:fill="F4B084"/>
            <w:noWrap/>
            <w:vAlign w:val="center"/>
            <w:hideMark/>
          </w:tcPr>
          <w:p w14:paraId="00C5F2CF" w14:textId="77777777" w:rsidR="00D22E9A" w:rsidRPr="00D22E9A" w:rsidRDefault="00D22E9A" w:rsidP="00D22E9A">
            <w:pPr>
              <w:spacing w:after="0" w:line="240" w:lineRule="auto"/>
              <w:jc w:val="center"/>
              <w:rPr>
                <w:rFonts w:ascii="Times New Roman" w:hAnsi="Times New Roman"/>
                <w:b/>
                <w:bCs/>
                <w:color w:val="000000"/>
                <w:sz w:val="18"/>
                <w:szCs w:val="18"/>
                <w:lang w:eastAsia="sk-SK"/>
              </w:rPr>
            </w:pPr>
            <w:r w:rsidRPr="00D22E9A">
              <w:rPr>
                <w:rFonts w:ascii="Times New Roman" w:hAnsi="Times New Roman"/>
                <w:b/>
                <w:bCs/>
                <w:color w:val="000000"/>
                <w:sz w:val="18"/>
                <w:szCs w:val="18"/>
                <w:lang w:eastAsia="sk-SK"/>
              </w:rPr>
              <w:t> </w:t>
            </w:r>
          </w:p>
        </w:tc>
      </w:tr>
      <w:tr w:rsidR="00D22E9A" w:rsidRPr="00D22E9A" w14:paraId="3B93EA0B" w14:textId="77777777" w:rsidTr="0085799C">
        <w:trPr>
          <w:trHeight w:val="227"/>
          <w:jc w:val="center"/>
        </w:trPr>
        <w:tc>
          <w:tcPr>
            <w:tcW w:w="2216" w:type="pct"/>
            <w:tcBorders>
              <w:top w:val="nil"/>
              <w:left w:val="nil"/>
              <w:bottom w:val="single" w:sz="8" w:space="0" w:color="auto"/>
              <w:right w:val="nil"/>
            </w:tcBorders>
            <w:shd w:val="clear" w:color="000000" w:fill="BDD7EE"/>
            <w:noWrap/>
            <w:vAlign w:val="center"/>
            <w:hideMark/>
          </w:tcPr>
          <w:p w14:paraId="450BB168" w14:textId="77777777" w:rsidR="00D22E9A" w:rsidRPr="00D22E9A" w:rsidRDefault="00D22E9A" w:rsidP="00D22E9A">
            <w:pPr>
              <w:spacing w:after="0" w:line="240" w:lineRule="auto"/>
              <w:rPr>
                <w:rFonts w:ascii="Times New Roman" w:hAnsi="Times New Roman"/>
                <w:b/>
                <w:bCs/>
                <w:color w:val="000000"/>
                <w:sz w:val="18"/>
                <w:szCs w:val="18"/>
                <w:lang w:eastAsia="sk-SK"/>
              </w:rPr>
            </w:pPr>
            <w:r w:rsidRPr="00D22E9A">
              <w:rPr>
                <w:rFonts w:ascii="Times New Roman" w:hAnsi="Times New Roman"/>
                <w:b/>
                <w:bCs/>
                <w:color w:val="000000"/>
                <w:sz w:val="18"/>
                <w:szCs w:val="18"/>
                <w:lang w:eastAsia="sk-SK"/>
              </w:rPr>
              <w:t> </w:t>
            </w:r>
          </w:p>
        </w:tc>
        <w:tc>
          <w:tcPr>
            <w:tcW w:w="928" w:type="pct"/>
            <w:tcBorders>
              <w:top w:val="nil"/>
              <w:left w:val="nil"/>
              <w:bottom w:val="single" w:sz="8" w:space="0" w:color="auto"/>
              <w:right w:val="nil"/>
            </w:tcBorders>
            <w:shd w:val="clear" w:color="000000" w:fill="BDD7EE"/>
            <w:noWrap/>
            <w:vAlign w:val="center"/>
            <w:hideMark/>
          </w:tcPr>
          <w:p w14:paraId="6CA1CB27" w14:textId="77777777" w:rsidR="00D22E9A" w:rsidRPr="00D22E9A" w:rsidRDefault="00D22E9A" w:rsidP="00D22E9A">
            <w:pPr>
              <w:spacing w:after="0" w:line="240" w:lineRule="auto"/>
              <w:jc w:val="center"/>
              <w:rPr>
                <w:rFonts w:ascii="Times New Roman" w:hAnsi="Times New Roman"/>
                <w:b/>
                <w:bCs/>
                <w:color w:val="000000"/>
                <w:sz w:val="18"/>
                <w:szCs w:val="18"/>
                <w:lang w:eastAsia="sk-SK"/>
              </w:rPr>
            </w:pPr>
            <w:r w:rsidRPr="00D22E9A">
              <w:rPr>
                <w:rFonts w:ascii="Times New Roman" w:hAnsi="Times New Roman"/>
                <w:b/>
                <w:bCs/>
                <w:color w:val="000000"/>
                <w:sz w:val="18"/>
                <w:szCs w:val="18"/>
                <w:lang w:eastAsia="sk-SK"/>
              </w:rPr>
              <w:t>2024</w:t>
            </w:r>
          </w:p>
        </w:tc>
        <w:tc>
          <w:tcPr>
            <w:tcW w:w="928" w:type="pct"/>
            <w:tcBorders>
              <w:top w:val="nil"/>
              <w:left w:val="nil"/>
              <w:bottom w:val="single" w:sz="8" w:space="0" w:color="auto"/>
              <w:right w:val="nil"/>
            </w:tcBorders>
            <w:shd w:val="clear" w:color="000000" w:fill="BDD7EE"/>
            <w:noWrap/>
            <w:vAlign w:val="center"/>
            <w:hideMark/>
          </w:tcPr>
          <w:p w14:paraId="15FB9859" w14:textId="77777777" w:rsidR="00D22E9A" w:rsidRPr="00D22E9A" w:rsidRDefault="00D22E9A" w:rsidP="00D22E9A">
            <w:pPr>
              <w:spacing w:after="0" w:line="240" w:lineRule="auto"/>
              <w:jc w:val="center"/>
              <w:rPr>
                <w:rFonts w:ascii="Times New Roman" w:hAnsi="Times New Roman"/>
                <w:b/>
                <w:bCs/>
                <w:color w:val="000000"/>
                <w:sz w:val="18"/>
                <w:szCs w:val="18"/>
                <w:lang w:eastAsia="sk-SK"/>
              </w:rPr>
            </w:pPr>
            <w:r w:rsidRPr="00D22E9A">
              <w:rPr>
                <w:rFonts w:ascii="Times New Roman" w:hAnsi="Times New Roman"/>
                <w:b/>
                <w:bCs/>
                <w:color w:val="000000"/>
                <w:sz w:val="18"/>
                <w:szCs w:val="18"/>
                <w:lang w:eastAsia="sk-SK"/>
              </w:rPr>
              <w:t>2023</w:t>
            </w:r>
          </w:p>
        </w:tc>
        <w:tc>
          <w:tcPr>
            <w:tcW w:w="928" w:type="pct"/>
            <w:tcBorders>
              <w:top w:val="nil"/>
              <w:left w:val="nil"/>
              <w:bottom w:val="single" w:sz="8" w:space="0" w:color="auto"/>
              <w:right w:val="nil"/>
            </w:tcBorders>
            <w:shd w:val="clear" w:color="000000" w:fill="BDD7EE"/>
            <w:vAlign w:val="center"/>
            <w:hideMark/>
          </w:tcPr>
          <w:p w14:paraId="70104780" w14:textId="77777777" w:rsidR="00D22E9A" w:rsidRPr="00D22E9A" w:rsidRDefault="00D22E9A" w:rsidP="00D22E9A">
            <w:pPr>
              <w:spacing w:after="0" w:line="240" w:lineRule="auto"/>
              <w:jc w:val="center"/>
              <w:rPr>
                <w:rFonts w:ascii="Times New Roman" w:hAnsi="Times New Roman"/>
                <w:b/>
                <w:bCs/>
                <w:color w:val="000000"/>
                <w:sz w:val="18"/>
                <w:szCs w:val="18"/>
                <w:lang w:eastAsia="sk-SK"/>
              </w:rPr>
            </w:pPr>
            <w:r w:rsidRPr="00D22E9A">
              <w:rPr>
                <w:rFonts w:ascii="Times New Roman" w:hAnsi="Times New Roman"/>
                <w:b/>
                <w:bCs/>
                <w:color w:val="000000"/>
                <w:sz w:val="18"/>
                <w:szCs w:val="18"/>
                <w:lang w:eastAsia="sk-SK"/>
              </w:rPr>
              <w:t>Δ 2024-2023</w:t>
            </w:r>
          </w:p>
        </w:tc>
      </w:tr>
      <w:tr w:rsidR="00D22E9A" w:rsidRPr="00D22E9A" w14:paraId="0ED75FF1" w14:textId="77777777" w:rsidTr="0085799C">
        <w:trPr>
          <w:trHeight w:val="227"/>
          <w:jc w:val="center"/>
        </w:trPr>
        <w:tc>
          <w:tcPr>
            <w:tcW w:w="2216" w:type="pct"/>
            <w:tcBorders>
              <w:top w:val="nil"/>
              <w:left w:val="nil"/>
              <w:bottom w:val="nil"/>
              <w:right w:val="nil"/>
            </w:tcBorders>
            <w:vAlign w:val="center"/>
            <w:hideMark/>
          </w:tcPr>
          <w:p w14:paraId="34867B3E" w14:textId="77777777" w:rsidR="00D22E9A" w:rsidRPr="00D22E9A" w:rsidRDefault="00D22E9A" w:rsidP="00D22E9A">
            <w:pPr>
              <w:spacing w:after="0" w:line="240" w:lineRule="auto"/>
              <w:rPr>
                <w:rFonts w:ascii="Times New Roman" w:hAnsi="Times New Roman"/>
                <w:color w:val="000000"/>
                <w:sz w:val="18"/>
                <w:szCs w:val="18"/>
                <w:lang w:eastAsia="sk-SK"/>
              </w:rPr>
            </w:pPr>
            <w:r w:rsidRPr="00D22E9A">
              <w:rPr>
                <w:rFonts w:ascii="Times New Roman" w:hAnsi="Times New Roman"/>
                <w:color w:val="000000"/>
                <w:sz w:val="18"/>
                <w:szCs w:val="18"/>
                <w:lang w:eastAsia="sk-SK"/>
              </w:rPr>
              <w:t>Mzdové náklady</w:t>
            </w:r>
          </w:p>
        </w:tc>
        <w:tc>
          <w:tcPr>
            <w:tcW w:w="928" w:type="pct"/>
            <w:tcBorders>
              <w:top w:val="nil"/>
              <w:left w:val="nil"/>
              <w:bottom w:val="nil"/>
              <w:right w:val="nil"/>
            </w:tcBorders>
            <w:vAlign w:val="center"/>
            <w:hideMark/>
          </w:tcPr>
          <w:p w14:paraId="2632CBCC" w14:textId="77777777" w:rsidR="00D22E9A" w:rsidRPr="00D22E9A" w:rsidRDefault="00D22E9A" w:rsidP="00D22E9A">
            <w:pPr>
              <w:spacing w:after="0" w:line="240" w:lineRule="auto"/>
              <w:jc w:val="right"/>
              <w:rPr>
                <w:rFonts w:ascii="Times New Roman" w:hAnsi="Times New Roman"/>
                <w:color w:val="000000"/>
                <w:sz w:val="18"/>
                <w:szCs w:val="18"/>
                <w:lang w:eastAsia="sk-SK"/>
              </w:rPr>
            </w:pPr>
            <w:r w:rsidRPr="00D22E9A">
              <w:rPr>
                <w:rFonts w:ascii="Times New Roman" w:hAnsi="Times New Roman"/>
                <w:color w:val="000000"/>
                <w:sz w:val="18"/>
                <w:szCs w:val="18"/>
                <w:lang w:eastAsia="sk-SK"/>
              </w:rPr>
              <w:t>10 661 555</w:t>
            </w:r>
          </w:p>
        </w:tc>
        <w:tc>
          <w:tcPr>
            <w:tcW w:w="928" w:type="pct"/>
            <w:tcBorders>
              <w:top w:val="nil"/>
              <w:left w:val="nil"/>
              <w:bottom w:val="nil"/>
              <w:right w:val="nil"/>
            </w:tcBorders>
            <w:vAlign w:val="center"/>
            <w:hideMark/>
          </w:tcPr>
          <w:p w14:paraId="05C11586" w14:textId="77777777" w:rsidR="00D22E9A" w:rsidRPr="00D22E9A" w:rsidRDefault="00D22E9A" w:rsidP="00D22E9A">
            <w:pPr>
              <w:spacing w:after="0" w:line="240" w:lineRule="auto"/>
              <w:jc w:val="right"/>
              <w:rPr>
                <w:rFonts w:ascii="Times New Roman" w:hAnsi="Times New Roman"/>
                <w:color w:val="000000"/>
                <w:sz w:val="18"/>
                <w:szCs w:val="18"/>
                <w:lang w:eastAsia="sk-SK"/>
              </w:rPr>
            </w:pPr>
            <w:r w:rsidRPr="00D22E9A">
              <w:rPr>
                <w:rFonts w:ascii="Times New Roman" w:hAnsi="Times New Roman"/>
                <w:color w:val="000000"/>
                <w:sz w:val="18"/>
                <w:szCs w:val="18"/>
                <w:lang w:eastAsia="sk-SK"/>
              </w:rPr>
              <w:t>9 844 876</w:t>
            </w:r>
          </w:p>
        </w:tc>
        <w:tc>
          <w:tcPr>
            <w:tcW w:w="928" w:type="pct"/>
            <w:tcBorders>
              <w:top w:val="nil"/>
              <w:left w:val="nil"/>
              <w:bottom w:val="nil"/>
              <w:right w:val="nil"/>
            </w:tcBorders>
            <w:vAlign w:val="center"/>
            <w:hideMark/>
          </w:tcPr>
          <w:p w14:paraId="5B6362EF" w14:textId="77777777" w:rsidR="00D22E9A" w:rsidRPr="00D22E9A" w:rsidRDefault="00D22E9A" w:rsidP="00D22E9A">
            <w:pPr>
              <w:spacing w:after="0" w:line="240" w:lineRule="auto"/>
              <w:jc w:val="right"/>
              <w:rPr>
                <w:rFonts w:ascii="Times New Roman" w:hAnsi="Times New Roman"/>
                <w:color w:val="000000"/>
                <w:sz w:val="18"/>
                <w:szCs w:val="18"/>
                <w:lang w:eastAsia="sk-SK"/>
              </w:rPr>
            </w:pPr>
            <w:r w:rsidRPr="00D22E9A">
              <w:rPr>
                <w:rFonts w:ascii="Times New Roman" w:hAnsi="Times New Roman"/>
                <w:color w:val="000000"/>
                <w:sz w:val="18"/>
                <w:szCs w:val="18"/>
                <w:lang w:eastAsia="sk-SK"/>
              </w:rPr>
              <w:t>816 679</w:t>
            </w:r>
          </w:p>
        </w:tc>
      </w:tr>
      <w:tr w:rsidR="00D22E9A" w:rsidRPr="00D22E9A" w14:paraId="664CEA38" w14:textId="77777777" w:rsidTr="0085799C">
        <w:trPr>
          <w:trHeight w:val="227"/>
          <w:jc w:val="center"/>
        </w:trPr>
        <w:tc>
          <w:tcPr>
            <w:tcW w:w="2216" w:type="pct"/>
            <w:tcBorders>
              <w:top w:val="nil"/>
              <w:left w:val="nil"/>
              <w:bottom w:val="nil"/>
              <w:right w:val="nil"/>
            </w:tcBorders>
            <w:vAlign w:val="center"/>
            <w:hideMark/>
          </w:tcPr>
          <w:p w14:paraId="7788505A" w14:textId="77777777" w:rsidR="00D22E9A" w:rsidRPr="00D22E9A" w:rsidRDefault="00D22E9A" w:rsidP="00D22E9A">
            <w:pPr>
              <w:spacing w:after="0" w:line="240" w:lineRule="auto"/>
              <w:rPr>
                <w:rFonts w:ascii="Times New Roman" w:hAnsi="Times New Roman"/>
                <w:color w:val="000000"/>
                <w:sz w:val="18"/>
                <w:szCs w:val="18"/>
                <w:lang w:eastAsia="sk-SK"/>
              </w:rPr>
            </w:pPr>
            <w:r w:rsidRPr="00D22E9A">
              <w:rPr>
                <w:rFonts w:ascii="Times New Roman" w:hAnsi="Times New Roman"/>
                <w:color w:val="000000"/>
                <w:sz w:val="18"/>
                <w:szCs w:val="18"/>
                <w:lang w:eastAsia="sk-SK"/>
              </w:rPr>
              <w:t>Zákonné sociálne poistenie</w:t>
            </w:r>
          </w:p>
        </w:tc>
        <w:tc>
          <w:tcPr>
            <w:tcW w:w="928" w:type="pct"/>
            <w:tcBorders>
              <w:top w:val="nil"/>
              <w:left w:val="nil"/>
              <w:bottom w:val="nil"/>
              <w:right w:val="nil"/>
            </w:tcBorders>
            <w:vAlign w:val="center"/>
            <w:hideMark/>
          </w:tcPr>
          <w:p w14:paraId="437F888D" w14:textId="77777777" w:rsidR="00D22E9A" w:rsidRPr="00D22E9A" w:rsidRDefault="00D22E9A" w:rsidP="00D22E9A">
            <w:pPr>
              <w:spacing w:after="0" w:line="240" w:lineRule="auto"/>
              <w:jc w:val="right"/>
              <w:rPr>
                <w:rFonts w:ascii="Times New Roman" w:hAnsi="Times New Roman"/>
                <w:color w:val="000000"/>
                <w:sz w:val="18"/>
                <w:szCs w:val="18"/>
                <w:lang w:eastAsia="sk-SK"/>
              </w:rPr>
            </w:pPr>
            <w:r w:rsidRPr="00D22E9A">
              <w:rPr>
                <w:rFonts w:ascii="Times New Roman" w:hAnsi="Times New Roman"/>
                <w:color w:val="000000"/>
                <w:sz w:val="18"/>
                <w:szCs w:val="18"/>
                <w:lang w:eastAsia="sk-SK"/>
              </w:rPr>
              <w:t>2 971 918</w:t>
            </w:r>
          </w:p>
        </w:tc>
        <w:tc>
          <w:tcPr>
            <w:tcW w:w="928" w:type="pct"/>
            <w:tcBorders>
              <w:top w:val="nil"/>
              <w:left w:val="nil"/>
              <w:bottom w:val="nil"/>
              <w:right w:val="nil"/>
            </w:tcBorders>
            <w:vAlign w:val="center"/>
            <w:hideMark/>
          </w:tcPr>
          <w:p w14:paraId="0EA66CCE" w14:textId="77777777" w:rsidR="00D22E9A" w:rsidRPr="00D22E9A" w:rsidRDefault="00D22E9A" w:rsidP="00D22E9A">
            <w:pPr>
              <w:spacing w:after="0" w:line="240" w:lineRule="auto"/>
              <w:jc w:val="right"/>
              <w:rPr>
                <w:rFonts w:ascii="Times New Roman" w:hAnsi="Times New Roman"/>
                <w:color w:val="000000"/>
                <w:sz w:val="18"/>
                <w:szCs w:val="18"/>
                <w:lang w:eastAsia="sk-SK"/>
              </w:rPr>
            </w:pPr>
            <w:r w:rsidRPr="00D22E9A">
              <w:rPr>
                <w:rFonts w:ascii="Times New Roman" w:hAnsi="Times New Roman"/>
                <w:color w:val="000000"/>
                <w:sz w:val="18"/>
                <w:szCs w:val="18"/>
                <w:lang w:eastAsia="sk-SK"/>
              </w:rPr>
              <w:t>2 700 537</w:t>
            </w:r>
          </w:p>
        </w:tc>
        <w:tc>
          <w:tcPr>
            <w:tcW w:w="928" w:type="pct"/>
            <w:tcBorders>
              <w:top w:val="nil"/>
              <w:left w:val="nil"/>
              <w:bottom w:val="nil"/>
              <w:right w:val="nil"/>
            </w:tcBorders>
            <w:vAlign w:val="center"/>
            <w:hideMark/>
          </w:tcPr>
          <w:p w14:paraId="21A8DDAD" w14:textId="77777777" w:rsidR="00D22E9A" w:rsidRPr="00D22E9A" w:rsidRDefault="00D22E9A" w:rsidP="00D22E9A">
            <w:pPr>
              <w:spacing w:after="0" w:line="240" w:lineRule="auto"/>
              <w:jc w:val="right"/>
              <w:rPr>
                <w:rFonts w:ascii="Times New Roman" w:hAnsi="Times New Roman"/>
                <w:color w:val="000000"/>
                <w:sz w:val="18"/>
                <w:szCs w:val="18"/>
                <w:lang w:eastAsia="sk-SK"/>
              </w:rPr>
            </w:pPr>
            <w:r w:rsidRPr="00D22E9A">
              <w:rPr>
                <w:rFonts w:ascii="Times New Roman" w:hAnsi="Times New Roman"/>
                <w:color w:val="000000"/>
                <w:sz w:val="18"/>
                <w:szCs w:val="18"/>
                <w:lang w:eastAsia="sk-SK"/>
              </w:rPr>
              <w:t>271 381</w:t>
            </w:r>
          </w:p>
        </w:tc>
      </w:tr>
      <w:tr w:rsidR="00D22E9A" w:rsidRPr="00D22E9A" w14:paraId="1C1E0DB9" w14:textId="77777777" w:rsidTr="0085799C">
        <w:trPr>
          <w:trHeight w:val="227"/>
          <w:jc w:val="center"/>
        </w:trPr>
        <w:tc>
          <w:tcPr>
            <w:tcW w:w="2216" w:type="pct"/>
            <w:tcBorders>
              <w:top w:val="nil"/>
              <w:left w:val="nil"/>
              <w:bottom w:val="nil"/>
              <w:right w:val="nil"/>
            </w:tcBorders>
            <w:vAlign w:val="center"/>
            <w:hideMark/>
          </w:tcPr>
          <w:p w14:paraId="2FC26546" w14:textId="77777777" w:rsidR="00D22E9A" w:rsidRPr="00D22E9A" w:rsidRDefault="00D22E9A" w:rsidP="00D22E9A">
            <w:pPr>
              <w:spacing w:after="0" w:line="240" w:lineRule="auto"/>
              <w:rPr>
                <w:rFonts w:ascii="Times New Roman" w:hAnsi="Times New Roman"/>
                <w:color w:val="000000"/>
                <w:sz w:val="18"/>
                <w:szCs w:val="18"/>
                <w:lang w:eastAsia="sk-SK"/>
              </w:rPr>
            </w:pPr>
            <w:r w:rsidRPr="00D22E9A">
              <w:rPr>
                <w:rFonts w:ascii="Times New Roman" w:hAnsi="Times New Roman"/>
                <w:color w:val="000000"/>
                <w:sz w:val="18"/>
                <w:szCs w:val="18"/>
                <w:lang w:eastAsia="sk-SK"/>
              </w:rPr>
              <w:t>Zákonné sociálne náklady</w:t>
            </w:r>
          </w:p>
        </w:tc>
        <w:tc>
          <w:tcPr>
            <w:tcW w:w="928" w:type="pct"/>
            <w:tcBorders>
              <w:top w:val="nil"/>
              <w:left w:val="nil"/>
              <w:bottom w:val="nil"/>
              <w:right w:val="nil"/>
            </w:tcBorders>
            <w:vAlign w:val="center"/>
            <w:hideMark/>
          </w:tcPr>
          <w:p w14:paraId="4FB3FCBB" w14:textId="77777777" w:rsidR="00D22E9A" w:rsidRPr="00D22E9A" w:rsidRDefault="00D22E9A" w:rsidP="00D22E9A">
            <w:pPr>
              <w:spacing w:after="0" w:line="240" w:lineRule="auto"/>
              <w:jc w:val="right"/>
              <w:rPr>
                <w:rFonts w:ascii="Times New Roman" w:hAnsi="Times New Roman"/>
                <w:color w:val="000000"/>
                <w:sz w:val="18"/>
                <w:szCs w:val="18"/>
                <w:lang w:eastAsia="sk-SK"/>
              </w:rPr>
            </w:pPr>
            <w:r w:rsidRPr="00D22E9A">
              <w:rPr>
                <w:rFonts w:ascii="Times New Roman" w:hAnsi="Times New Roman"/>
                <w:color w:val="000000"/>
                <w:sz w:val="18"/>
                <w:szCs w:val="18"/>
                <w:lang w:eastAsia="sk-SK"/>
              </w:rPr>
              <w:t>740 335</w:t>
            </w:r>
          </w:p>
        </w:tc>
        <w:tc>
          <w:tcPr>
            <w:tcW w:w="928" w:type="pct"/>
            <w:tcBorders>
              <w:top w:val="nil"/>
              <w:left w:val="nil"/>
              <w:bottom w:val="nil"/>
              <w:right w:val="nil"/>
            </w:tcBorders>
            <w:vAlign w:val="center"/>
            <w:hideMark/>
          </w:tcPr>
          <w:p w14:paraId="46F364A8" w14:textId="77777777" w:rsidR="00D22E9A" w:rsidRPr="00D22E9A" w:rsidRDefault="00D22E9A" w:rsidP="00D22E9A">
            <w:pPr>
              <w:spacing w:after="0" w:line="240" w:lineRule="auto"/>
              <w:jc w:val="right"/>
              <w:rPr>
                <w:rFonts w:ascii="Times New Roman" w:hAnsi="Times New Roman"/>
                <w:color w:val="000000"/>
                <w:sz w:val="18"/>
                <w:szCs w:val="18"/>
                <w:lang w:eastAsia="sk-SK"/>
              </w:rPr>
            </w:pPr>
            <w:r w:rsidRPr="00D22E9A">
              <w:rPr>
                <w:rFonts w:ascii="Times New Roman" w:hAnsi="Times New Roman"/>
                <w:color w:val="000000"/>
                <w:sz w:val="18"/>
                <w:szCs w:val="18"/>
                <w:lang w:eastAsia="sk-SK"/>
              </w:rPr>
              <w:t>669 971</w:t>
            </w:r>
          </w:p>
        </w:tc>
        <w:tc>
          <w:tcPr>
            <w:tcW w:w="928" w:type="pct"/>
            <w:tcBorders>
              <w:top w:val="nil"/>
              <w:left w:val="nil"/>
              <w:bottom w:val="nil"/>
              <w:right w:val="nil"/>
            </w:tcBorders>
            <w:vAlign w:val="center"/>
            <w:hideMark/>
          </w:tcPr>
          <w:p w14:paraId="026948E4" w14:textId="77777777" w:rsidR="00D22E9A" w:rsidRPr="00D22E9A" w:rsidRDefault="00D22E9A" w:rsidP="00D22E9A">
            <w:pPr>
              <w:spacing w:after="0" w:line="240" w:lineRule="auto"/>
              <w:jc w:val="right"/>
              <w:rPr>
                <w:rFonts w:ascii="Times New Roman" w:hAnsi="Times New Roman"/>
                <w:color w:val="000000"/>
                <w:sz w:val="18"/>
                <w:szCs w:val="18"/>
                <w:lang w:eastAsia="sk-SK"/>
              </w:rPr>
            </w:pPr>
            <w:r w:rsidRPr="00D22E9A">
              <w:rPr>
                <w:rFonts w:ascii="Times New Roman" w:hAnsi="Times New Roman"/>
                <w:color w:val="000000"/>
                <w:sz w:val="18"/>
                <w:szCs w:val="18"/>
                <w:lang w:eastAsia="sk-SK"/>
              </w:rPr>
              <w:t>70 364</w:t>
            </w:r>
          </w:p>
        </w:tc>
      </w:tr>
      <w:tr w:rsidR="00D22E9A" w:rsidRPr="00D22E9A" w14:paraId="7CE2E104" w14:textId="77777777" w:rsidTr="0085799C">
        <w:trPr>
          <w:trHeight w:val="227"/>
          <w:jc w:val="center"/>
        </w:trPr>
        <w:tc>
          <w:tcPr>
            <w:tcW w:w="2216" w:type="pct"/>
            <w:tcBorders>
              <w:top w:val="nil"/>
              <w:left w:val="nil"/>
              <w:bottom w:val="nil"/>
              <w:right w:val="nil"/>
            </w:tcBorders>
            <w:vAlign w:val="center"/>
            <w:hideMark/>
          </w:tcPr>
          <w:p w14:paraId="48014335" w14:textId="77777777" w:rsidR="00D22E9A" w:rsidRPr="00D22E9A" w:rsidRDefault="00D22E9A" w:rsidP="00D22E9A">
            <w:pPr>
              <w:spacing w:after="0" w:line="240" w:lineRule="auto"/>
              <w:rPr>
                <w:rFonts w:ascii="Times New Roman" w:hAnsi="Times New Roman"/>
                <w:color w:val="000000"/>
                <w:sz w:val="18"/>
                <w:szCs w:val="18"/>
                <w:lang w:eastAsia="sk-SK"/>
              </w:rPr>
            </w:pPr>
            <w:r w:rsidRPr="00D22E9A">
              <w:rPr>
                <w:rFonts w:ascii="Times New Roman" w:hAnsi="Times New Roman"/>
                <w:color w:val="000000"/>
                <w:sz w:val="18"/>
                <w:szCs w:val="18"/>
                <w:lang w:eastAsia="sk-SK"/>
              </w:rPr>
              <w:t>Ostatné sociálne poistenie</w:t>
            </w:r>
          </w:p>
        </w:tc>
        <w:tc>
          <w:tcPr>
            <w:tcW w:w="928" w:type="pct"/>
            <w:tcBorders>
              <w:top w:val="nil"/>
              <w:left w:val="nil"/>
              <w:bottom w:val="nil"/>
              <w:right w:val="nil"/>
            </w:tcBorders>
            <w:vAlign w:val="center"/>
            <w:hideMark/>
          </w:tcPr>
          <w:p w14:paraId="737C204B" w14:textId="77777777" w:rsidR="00D22E9A" w:rsidRPr="00D22E9A" w:rsidRDefault="00D22E9A" w:rsidP="00D22E9A">
            <w:pPr>
              <w:spacing w:after="0" w:line="240" w:lineRule="auto"/>
              <w:jc w:val="right"/>
              <w:rPr>
                <w:rFonts w:ascii="Times New Roman" w:hAnsi="Times New Roman"/>
                <w:color w:val="000000"/>
                <w:sz w:val="18"/>
                <w:szCs w:val="18"/>
                <w:lang w:eastAsia="sk-SK"/>
              </w:rPr>
            </w:pPr>
            <w:r w:rsidRPr="00D22E9A">
              <w:rPr>
                <w:rFonts w:ascii="Times New Roman" w:hAnsi="Times New Roman"/>
                <w:color w:val="000000"/>
                <w:sz w:val="18"/>
                <w:szCs w:val="18"/>
                <w:lang w:eastAsia="sk-SK"/>
              </w:rPr>
              <w:t>108 389</w:t>
            </w:r>
          </w:p>
        </w:tc>
        <w:tc>
          <w:tcPr>
            <w:tcW w:w="928" w:type="pct"/>
            <w:tcBorders>
              <w:top w:val="nil"/>
              <w:left w:val="nil"/>
              <w:bottom w:val="nil"/>
              <w:right w:val="nil"/>
            </w:tcBorders>
            <w:vAlign w:val="center"/>
            <w:hideMark/>
          </w:tcPr>
          <w:p w14:paraId="7BEFC77E" w14:textId="77777777" w:rsidR="00D22E9A" w:rsidRPr="00D22E9A" w:rsidRDefault="00D22E9A" w:rsidP="00D22E9A">
            <w:pPr>
              <w:spacing w:after="0" w:line="240" w:lineRule="auto"/>
              <w:jc w:val="right"/>
              <w:rPr>
                <w:rFonts w:ascii="Times New Roman" w:hAnsi="Times New Roman"/>
                <w:color w:val="000000"/>
                <w:sz w:val="18"/>
                <w:szCs w:val="18"/>
                <w:lang w:eastAsia="sk-SK"/>
              </w:rPr>
            </w:pPr>
            <w:r w:rsidRPr="00D22E9A">
              <w:rPr>
                <w:rFonts w:ascii="Times New Roman" w:hAnsi="Times New Roman"/>
                <w:color w:val="000000"/>
                <w:sz w:val="18"/>
                <w:szCs w:val="18"/>
                <w:lang w:eastAsia="sk-SK"/>
              </w:rPr>
              <w:t>99 319</w:t>
            </w:r>
          </w:p>
        </w:tc>
        <w:tc>
          <w:tcPr>
            <w:tcW w:w="928" w:type="pct"/>
            <w:tcBorders>
              <w:top w:val="nil"/>
              <w:left w:val="nil"/>
              <w:bottom w:val="nil"/>
              <w:right w:val="nil"/>
            </w:tcBorders>
            <w:vAlign w:val="center"/>
            <w:hideMark/>
          </w:tcPr>
          <w:p w14:paraId="38C51C7E" w14:textId="77777777" w:rsidR="00D22E9A" w:rsidRPr="00D22E9A" w:rsidRDefault="00D22E9A" w:rsidP="00D22E9A">
            <w:pPr>
              <w:spacing w:after="0" w:line="240" w:lineRule="auto"/>
              <w:jc w:val="right"/>
              <w:rPr>
                <w:rFonts w:ascii="Times New Roman" w:hAnsi="Times New Roman"/>
                <w:color w:val="000000"/>
                <w:sz w:val="18"/>
                <w:szCs w:val="18"/>
                <w:lang w:eastAsia="sk-SK"/>
              </w:rPr>
            </w:pPr>
            <w:r w:rsidRPr="00D22E9A">
              <w:rPr>
                <w:rFonts w:ascii="Times New Roman" w:hAnsi="Times New Roman"/>
                <w:color w:val="000000"/>
                <w:sz w:val="18"/>
                <w:szCs w:val="18"/>
                <w:lang w:eastAsia="sk-SK"/>
              </w:rPr>
              <w:t>9 070</w:t>
            </w:r>
          </w:p>
        </w:tc>
      </w:tr>
      <w:tr w:rsidR="00D22E9A" w:rsidRPr="00D22E9A" w14:paraId="0AAB4DFF" w14:textId="77777777" w:rsidTr="0085799C">
        <w:trPr>
          <w:trHeight w:val="227"/>
          <w:jc w:val="center"/>
        </w:trPr>
        <w:tc>
          <w:tcPr>
            <w:tcW w:w="2216" w:type="pct"/>
            <w:tcBorders>
              <w:top w:val="nil"/>
              <w:left w:val="nil"/>
              <w:bottom w:val="single" w:sz="8" w:space="0" w:color="auto"/>
              <w:right w:val="nil"/>
            </w:tcBorders>
            <w:vAlign w:val="center"/>
            <w:hideMark/>
          </w:tcPr>
          <w:p w14:paraId="26DF4F17" w14:textId="77777777" w:rsidR="00D22E9A" w:rsidRPr="00D22E9A" w:rsidRDefault="00D22E9A" w:rsidP="00D22E9A">
            <w:pPr>
              <w:spacing w:after="0" w:line="240" w:lineRule="auto"/>
              <w:rPr>
                <w:rFonts w:ascii="Times New Roman" w:hAnsi="Times New Roman"/>
                <w:color w:val="000000"/>
                <w:sz w:val="18"/>
                <w:szCs w:val="18"/>
                <w:lang w:eastAsia="sk-SK"/>
              </w:rPr>
            </w:pPr>
            <w:r w:rsidRPr="00D22E9A">
              <w:rPr>
                <w:rFonts w:ascii="Times New Roman" w:hAnsi="Times New Roman"/>
                <w:color w:val="000000"/>
                <w:sz w:val="18"/>
                <w:szCs w:val="18"/>
                <w:lang w:eastAsia="sk-SK"/>
              </w:rPr>
              <w:t>Ostatné sociálne náklady</w:t>
            </w:r>
          </w:p>
        </w:tc>
        <w:tc>
          <w:tcPr>
            <w:tcW w:w="928" w:type="pct"/>
            <w:tcBorders>
              <w:top w:val="nil"/>
              <w:left w:val="nil"/>
              <w:bottom w:val="single" w:sz="8" w:space="0" w:color="auto"/>
              <w:right w:val="nil"/>
            </w:tcBorders>
            <w:vAlign w:val="center"/>
            <w:hideMark/>
          </w:tcPr>
          <w:p w14:paraId="5FE9E9EA" w14:textId="77777777" w:rsidR="00D22E9A" w:rsidRPr="00D22E9A" w:rsidRDefault="00D22E9A" w:rsidP="00D22E9A">
            <w:pPr>
              <w:spacing w:after="0" w:line="240" w:lineRule="auto"/>
              <w:jc w:val="right"/>
              <w:rPr>
                <w:rFonts w:ascii="Times New Roman" w:hAnsi="Times New Roman"/>
                <w:color w:val="000000"/>
                <w:sz w:val="18"/>
                <w:szCs w:val="18"/>
                <w:lang w:eastAsia="sk-SK"/>
              </w:rPr>
            </w:pPr>
            <w:r w:rsidRPr="00D22E9A">
              <w:rPr>
                <w:rFonts w:ascii="Times New Roman" w:hAnsi="Times New Roman"/>
                <w:color w:val="000000"/>
                <w:sz w:val="18"/>
                <w:szCs w:val="18"/>
                <w:lang w:eastAsia="sk-SK"/>
              </w:rPr>
              <w:t>20 097</w:t>
            </w:r>
          </w:p>
        </w:tc>
        <w:tc>
          <w:tcPr>
            <w:tcW w:w="928" w:type="pct"/>
            <w:tcBorders>
              <w:top w:val="nil"/>
              <w:left w:val="nil"/>
              <w:bottom w:val="single" w:sz="8" w:space="0" w:color="auto"/>
              <w:right w:val="nil"/>
            </w:tcBorders>
            <w:vAlign w:val="center"/>
            <w:hideMark/>
          </w:tcPr>
          <w:p w14:paraId="2BBF9791" w14:textId="77777777" w:rsidR="00D22E9A" w:rsidRPr="00D22E9A" w:rsidRDefault="00D22E9A" w:rsidP="00D22E9A">
            <w:pPr>
              <w:spacing w:after="0" w:line="240" w:lineRule="auto"/>
              <w:jc w:val="right"/>
              <w:rPr>
                <w:rFonts w:ascii="Times New Roman" w:hAnsi="Times New Roman"/>
                <w:color w:val="000000"/>
                <w:sz w:val="18"/>
                <w:szCs w:val="18"/>
                <w:lang w:eastAsia="sk-SK"/>
              </w:rPr>
            </w:pPr>
            <w:r w:rsidRPr="00D22E9A">
              <w:rPr>
                <w:rFonts w:ascii="Times New Roman" w:hAnsi="Times New Roman"/>
                <w:color w:val="000000"/>
                <w:sz w:val="18"/>
                <w:szCs w:val="18"/>
                <w:lang w:eastAsia="sk-SK"/>
              </w:rPr>
              <w:t>17 828</w:t>
            </w:r>
          </w:p>
        </w:tc>
        <w:tc>
          <w:tcPr>
            <w:tcW w:w="928" w:type="pct"/>
            <w:tcBorders>
              <w:top w:val="nil"/>
              <w:left w:val="nil"/>
              <w:bottom w:val="nil"/>
              <w:right w:val="nil"/>
            </w:tcBorders>
            <w:vAlign w:val="center"/>
            <w:hideMark/>
          </w:tcPr>
          <w:p w14:paraId="70265C2E" w14:textId="77777777" w:rsidR="00D22E9A" w:rsidRPr="00D22E9A" w:rsidRDefault="00D22E9A" w:rsidP="00D22E9A">
            <w:pPr>
              <w:spacing w:after="0" w:line="240" w:lineRule="auto"/>
              <w:jc w:val="right"/>
              <w:rPr>
                <w:rFonts w:ascii="Times New Roman" w:hAnsi="Times New Roman"/>
                <w:color w:val="000000"/>
                <w:sz w:val="18"/>
                <w:szCs w:val="18"/>
                <w:lang w:eastAsia="sk-SK"/>
              </w:rPr>
            </w:pPr>
            <w:r w:rsidRPr="00D22E9A">
              <w:rPr>
                <w:rFonts w:ascii="Times New Roman" w:hAnsi="Times New Roman"/>
                <w:color w:val="000000"/>
                <w:sz w:val="18"/>
                <w:szCs w:val="18"/>
                <w:lang w:eastAsia="sk-SK"/>
              </w:rPr>
              <w:t>2 269</w:t>
            </w:r>
          </w:p>
        </w:tc>
      </w:tr>
      <w:tr w:rsidR="00D22E9A" w:rsidRPr="00D22E9A" w14:paraId="6ED98449" w14:textId="77777777" w:rsidTr="0085799C">
        <w:trPr>
          <w:trHeight w:val="227"/>
          <w:jc w:val="center"/>
        </w:trPr>
        <w:tc>
          <w:tcPr>
            <w:tcW w:w="2216" w:type="pct"/>
            <w:tcBorders>
              <w:top w:val="nil"/>
              <w:left w:val="nil"/>
              <w:bottom w:val="single" w:sz="8" w:space="0" w:color="000000"/>
              <w:right w:val="nil"/>
            </w:tcBorders>
            <w:vAlign w:val="center"/>
            <w:hideMark/>
          </w:tcPr>
          <w:p w14:paraId="68DBD7B9" w14:textId="77777777" w:rsidR="00D22E9A" w:rsidRPr="00D22E9A" w:rsidRDefault="00D22E9A" w:rsidP="00D22E9A">
            <w:pPr>
              <w:spacing w:after="0" w:line="240" w:lineRule="auto"/>
              <w:rPr>
                <w:rFonts w:ascii="Times New Roman" w:hAnsi="Times New Roman"/>
                <w:b/>
                <w:bCs/>
                <w:color w:val="000000"/>
                <w:sz w:val="18"/>
                <w:szCs w:val="18"/>
                <w:lang w:eastAsia="sk-SK"/>
              </w:rPr>
            </w:pPr>
            <w:r w:rsidRPr="00D22E9A">
              <w:rPr>
                <w:rFonts w:ascii="Times New Roman" w:hAnsi="Times New Roman"/>
                <w:b/>
                <w:bCs/>
                <w:color w:val="000000"/>
                <w:sz w:val="18"/>
                <w:szCs w:val="18"/>
                <w:lang w:eastAsia="sk-SK"/>
              </w:rPr>
              <w:t>Spolu</w:t>
            </w:r>
          </w:p>
        </w:tc>
        <w:tc>
          <w:tcPr>
            <w:tcW w:w="928" w:type="pct"/>
            <w:tcBorders>
              <w:top w:val="nil"/>
              <w:left w:val="nil"/>
              <w:bottom w:val="nil"/>
              <w:right w:val="nil"/>
            </w:tcBorders>
            <w:vAlign w:val="center"/>
            <w:hideMark/>
          </w:tcPr>
          <w:p w14:paraId="54EFB4DD" w14:textId="5AB86E79" w:rsidR="00D22E9A" w:rsidRPr="00A7107D" w:rsidRDefault="00D22E9A" w:rsidP="00D22E9A">
            <w:pPr>
              <w:spacing w:after="0" w:line="240" w:lineRule="auto"/>
              <w:jc w:val="right"/>
              <w:rPr>
                <w:rFonts w:ascii="Times New Roman" w:hAnsi="Times New Roman"/>
                <w:b/>
                <w:bCs/>
                <w:sz w:val="18"/>
                <w:szCs w:val="18"/>
                <w:lang w:eastAsia="sk-SK"/>
              </w:rPr>
            </w:pPr>
            <w:r w:rsidRPr="00A7107D">
              <w:rPr>
                <w:rFonts w:ascii="Times New Roman" w:hAnsi="Times New Roman"/>
                <w:b/>
                <w:bCs/>
                <w:sz w:val="18"/>
                <w:szCs w:val="18"/>
                <w:lang w:eastAsia="sk-SK"/>
              </w:rPr>
              <w:t>14 502 29</w:t>
            </w:r>
          </w:p>
        </w:tc>
        <w:tc>
          <w:tcPr>
            <w:tcW w:w="928" w:type="pct"/>
            <w:tcBorders>
              <w:top w:val="nil"/>
              <w:left w:val="nil"/>
              <w:bottom w:val="nil"/>
              <w:right w:val="nil"/>
            </w:tcBorders>
            <w:vAlign w:val="center"/>
            <w:hideMark/>
          </w:tcPr>
          <w:p w14:paraId="0AFA6844" w14:textId="77777777" w:rsidR="00D22E9A" w:rsidRPr="00A7107D" w:rsidRDefault="00D22E9A" w:rsidP="00D22E9A">
            <w:pPr>
              <w:spacing w:after="0" w:line="240" w:lineRule="auto"/>
              <w:jc w:val="right"/>
              <w:rPr>
                <w:rFonts w:ascii="Times New Roman" w:hAnsi="Times New Roman"/>
                <w:b/>
                <w:bCs/>
                <w:sz w:val="18"/>
                <w:szCs w:val="18"/>
                <w:lang w:eastAsia="sk-SK"/>
              </w:rPr>
            </w:pPr>
            <w:r w:rsidRPr="00A7107D">
              <w:rPr>
                <w:rFonts w:ascii="Times New Roman" w:hAnsi="Times New Roman"/>
                <w:b/>
                <w:bCs/>
                <w:sz w:val="18"/>
                <w:szCs w:val="18"/>
                <w:lang w:eastAsia="sk-SK"/>
              </w:rPr>
              <w:t>13 332 531</w:t>
            </w:r>
          </w:p>
        </w:tc>
        <w:tc>
          <w:tcPr>
            <w:tcW w:w="928" w:type="pct"/>
            <w:tcBorders>
              <w:top w:val="single" w:sz="8" w:space="0" w:color="000000"/>
              <w:left w:val="nil"/>
              <w:bottom w:val="single" w:sz="8" w:space="0" w:color="000000"/>
              <w:right w:val="nil"/>
            </w:tcBorders>
            <w:vAlign w:val="center"/>
            <w:hideMark/>
          </w:tcPr>
          <w:p w14:paraId="437EB459" w14:textId="77777777" w:rsidR="00D22E9A" w:rsidRPr="00D22E9A" w:rsidRDefault="00D22E9A" w:rsidP="00D22E9A">
            <w:pPr>
              <w:spacing w:after="0" w:line="240" w:lineRule="auto"/>
              <w:jc w:val="right"/>
              <w:rPr>
                <w:rFonts w:ascii="Times New Roman" w:hAnsi="Times New Roman"/>
                <w:b/>
                <w:bCs/>
                <w:color w:val="000000"/>
                <w:sz w:val="18"/>
                <w:szCs w:val="18"/>
                <w:lang w:eastAsia="sk-SK"/>
              </w:rPr>
            </w:pPr>
            <w:r w:rsidRPr="00D22E9A">
              <w:rPr>
                <w:rFonts w:ascii="Times New Roman" w:hAnsi="Times New Roman"/>
                <w:b/>
                <w:bCs/>
                <w:color w:val="000000"/>
                <w:sz w:val="18"/>
                <w:szCs w:val="18"/>
                <w:lang w:eastAsia="sk-SK"/>
              </w:rPr>
              <w:t>1 169 763</w:t>
            </w:r>
          </w:p>
        </w:tc>
      </w:tr>
      <w:tr w:rsidR="00D22E9A" w:rsidRPr="00D22E9A" w14:paraId="1792AEC1" w14:textId="77777777" w:rsidTr="0085799C">
        <w:trPr>
          <w:trHeight w:val="227"/>
          <w:jc w:val="center"/>
        </w:trPr>
        <w:tc>
          <w:tcPr>
            <w:tcW w:w="5000" w:type="pct"/>
            <w:gridSpan w:val="4"/>
            <w:tcBorders>
              <w:top w:val="single" w:sz="8" w:space="0" w:color="000000"/>
              <w:left w:val="nil"/>
              <w:bottom w:val="nil"/>
              <w:right w:val="nil"/>
            </w:tcBorders>
            <w:noWrap/>
            <w:vAlign w:val="center"/>
            <w:hideMark/>
          </w:tcPr>
          <w:p w14:paraId="29B4C913" w14:textId="77777777" w:rsidR="00D22E9A" w:rsidRPr="00D22E9A" w:rsidRDefault="00D22E9A" w:rsidP="00D22E9A">
            <w:pPr>
              <w:spacing w:after="0" w:line="240" w:lineRule="auto"/>
              <w:jc w:val="right"/>
              <w:rPr>
                <w:rFonts w:ascii="Times New Roman" w:hAnsi="Times New Roman"/>
                <w:color w:val="000000"/>
                <w:sz w:val="16"/>
                <w:szCs w:val="16"/>
                <w:lang w:eastAsia="sk-SK"/>
              </w:rPr>
            </w:pPr>
            <w:r w:rsidRPr="00D22E9A">
              <w:rPr>
                <w:rFonts w:ascii="Times New Roman" w:hAnsi="Times New Roman"/>
                <w:color w:val="000000"/>
                <w:sz w:val="16"/>
                <w:szCs w:val="16"/>
                <w:lang w:eastAsia="sk-SK"/>
              </w:rPr>
              <w:t>Zdroj: MF SR, Centrálny konsolidačný systém</w:t>
            </w:r>
          </w:p>
        </w:tc>
      </w:tr>
    </w:tbl>
    <w:p w14:paraId="694C3D47" w14:textId="77777777" w:rsidR="00CA57DB" w:rsidRPr="00907622" w:rsidRDefault="00CA57DB" w:rsidP="00CC539E">
      <w:pPr>
        <w:pStyle w:val="Pismenka"/>
        <w:tabs>
          <w:tab w:val="clear" w:pos="426"/>
        </w:tabs>
        <w:spacing w:after="120"/>
        <w:jc w:val="right"/>
        <w:rPr>
          <w:b w:val="0"/>
        </w:rPr>
      </w:pPr>
    </w:p>
    <w:p w14:paraId="3F4B057A" w14:textId="17F85A8F" w:rsidR="00647542" w:rsidRPr="00505C0F" w:rsidRDefault="00647542" w:rsidP="0085799C">
      <w:pPr>
        <w:spacing w:after="120" w:line="240" w:lineRule="auto"/>
        <w:jc w:val="both"/>
        <w:rPr>
          <w:rFonts w:ascii="Times New Roman" w:hAnsi="Times New Roman"/>
          <w:color w:val="000000" w:themeColor="text1"/>
          <w:szCs w:val="22"/>
        </w:rPr>
      </w:pPr>
      <w:r w:rsidRPr="00505C0F">
        <w:rPr>
          <w:rFonts w:ascii="Times New Roman" w:hAnsi="Times New Roman"/>
          <w:color w:val="000000" w:themeColor="text1"/>
          <w:szCs w:val="22"/>
        </w:rPr>
        <w:t xml:space="preserve">Osobné náklady tvorili najmä </w:t>
      </w:r>
      <w:r w:rsidRPr="00505C0F">
        <w:rPr>
          <w:rFonts w:ascii="Times New Roman" w:hAnsi="Times New Roman"/>
          <w:color w:val="000000" w:themeColor="text1"/>
          <w:szCs w:val="22"/>
          <w:u w:val="single"/>
        </w:rPr>
        <w:t>mzdové náklady</w:t>
      </w:r>
      <w:r w:rsidRPr="00505C0F">
        <w:rPr>
          <w:rFonts w:ascii="Times New Roman" w:hAnsi="Times New Roman"/>
          <w:color w:val="000000" w:themeColor="text1"/>
          <w:szCs w:val="22"/>
        </w:rPr>
        <w:t xml:space="preserve"> vo výške </w:t>
      </w:r>
      <w:r w:rsidR="00434216" w:rsidRPr="0085799C">
        <w:rPr>
          <w:rFonts w:ascii="Times New Roman" w:hAnsi="Times New Roman"/>
          <w:bCs/>
          <w:color w:val="000000" w:themeColor="text1"/>
          <w:szCs w:val="22"/>
        </w:rPr>
        <w:t>10</w:t>
      </w:r>
      <w:r w:rsidR="00C77B31">
        <w:rPr>
          <w:rFonts w:ascii="Times New Roman" w:hAnsi="Times New Roman"/>
          <w:bCs/>
          <w:color w:val="000000" w:themeColor="text1"/>
          <w:szCs w:val="22"/>
        </w:rPr>
        <w:t> </w:t>
      </w:r>
      <w:r w:rsidR="00434216" w:rsidRPr="0085799C">
        <w:rPr>
          <w:rFonts w:ascii="Times New Roman" w:hAnsi="Times New Roman"/>
          <w:bCs/>
          <w:color w:val="000000" w:themeColor="text1"/>
          <w:szCs w:val="22"/>
        </w:rPr>
        <w:t>66</w:t>
      </w:r>
      <w:r w:rsidR="00C77B31">
        <w:rPr>
          <w:rFonts w:ascii="Times New Roman" w:hAnsi="Times New Roman"/>
          <w:bCs/>
          <w:color w:val="000000" w:themeColor="text1"/>
          <w:szCs w:val="22"/>
        </w:rPr>
        <w:t>1 555</w:t>
      </w:r>
      <w:r w:rsidRPr="00505C0F">
        <w:rPr>
          <w:rFonts w:ascii="Times New Roman" w:hAnsi="Times New Roman"/>
          <w:color w:val="000000" w:themeColor="text1"/>
          <w:szCs w:val="22"/>
        </w:rPr>
        <w:t> tis. eur (</w:t>
      </w:r>
      <w:r w:rsidRPr="00505C0F">
        <w:rPr>
          <w:rFonts w:ascii="Times New Roman" w:hAnsi="Times New Roman"/>
          <w:bCs/>
          <w:color w:val="000000" w:themeColor="text1"/>
          <w:szCs w:val="22"/>
        </w:rPr>
        <w:t>202</w:t>
      </w:r>
      <w:r w:rsidR="00434216" w:rsidRPr="0085799C">
        <w:rPr>
          <w:rFonts w:ascii="Times New Roman" w:hAnsi="Times New Roman"/>
          <w:bCs/>
          <w:color w:val="000000" w:themeColor="text1"/>
          <w:szCs w:val="22"/>
        </w:rPr>
        <w:t>3</w:t>
      </w:r>
      <w:r w:rsidRPr="00505C0F">
        <w:rPr>
          <w:rFonts w:ascii="Times New Roman" w:hAnsi="Times New Roman"/>
          <w:color w:val="000000" w:themeColor="text1"/>
          <w:szCs w:val="22"/>
        </w:rPr>
        <w:t xml:space="preserve">: </w:t>
      </w:r>
      <w:r w:rsidR="00434216" w:rsidRPr="0085799C">
        <w:rPr>
          <w:rFonts w:ascii="Times New Roman" w:hAnsi="Times New Roman"/>
          <w:bCs/>
          <w:color w:val="000000" w:themeColor="text1"/>
          <w:szCs w:val="22"/>
        </w:rPr>
        <w:t>9 844</w:t>
      </w:r>
      <w:r w:rsidR="00FE0916">
        <w:rPr>
          <w:rFonts w:ascii="Times New Roman" w:hAnsi="Times New Roman"/>
          <w:bCs/>
          <w:color w:val="000000" w:themeColor="text1"/>
          <w:szCs w:val="22"/>
        </w:rPr>
        <w:t> </w:t>
      </w:r>
      <w:r w:rsidR="00434216" w:rsidRPr="0085799C">
        <w:rPr>
          <w:rFonts w:ascii="Times New Roman" w:hAnsi="Times New Roman"/>
          <w:bCs/>
          <w:color w:val="000000" w:themeColor="text1"/>
          <w:szCs w:val="22"/>
        </w:rPr>
        <w:t>877</w:t>
      </w:r>
      <w:r w:rsidRPr="00505C0F">
        <w:rPr>
          <w:rFonts w:ascii="Times New Roman" w:hAnsi="Times New Roman"/>
          <w:color w:val="000000" w:themeColor="text1"/>
          <w:szCs w:val="22"/>
        </w:rPr>
        <w:t xml:space="preserve"> tis. eur), </w:t>
      </w:r>
      <w:r w:rsidRPr="00505C0F">
        <w:rPr>
          <w:rFonts w:ascii="Times New Roman" w:hAnsi="Times New Roman"/>
          <w:color w:val="000000" w:themeColor="text1"/>
          <w:szCs w:val="22"/>
          <w:u w:val="single"/>
        </w:rPr>
        <w:t>zákonné sociálne poistenie</w:t>
      </w:r>
      <w:r w:rsidRPr="0085799C">
        <w:rPr>
          <w:rFonts w:ascii="Times New Roman" w:hAnsi="Times New Roman"/>
          <w:color w:val="000000" w:themeColor="text1"/>
          <w:szCs w:val="22"/>
          <w:u w:val="single"/>
        </w:rPr>
        <w:t xml:space="preserve"> </w:t>
      </w:r>
      <w:r w:rsidRPr="00505C0F">
        <w:rPr>
          <w:rFonts w:ascii="Times New Roman" w:hAnsi="Times New Roman"/>
          <w:color w:val="000000" w:themeColor="text1"/>
          <w:szCs w:val="22"/>
        </w:rPr>
        <w:t>2 </w:t>
      </w:r>
      <w:r w:rsidR="00434216" w:rsidRPr="0085799C">
        <w:rPr>
          <w:rFonts w:ascii="Times New Roman" w:hAnsi="Times New Roman"/>
          <w:bCs/>
          <w:color w:val="000000" w:themeColor="text1"/>
          <w:szCs w:val="22"/>
        </w:rPr>
        <w:t>971</w:t>
      </w:r>
      <w:r w:rsidR="00FE0916">
        <w:rPr>
          <w:rFonts w:ascii="Times New Roman" w:hAnsi="Times New Roman"/>
          <w:bCs/>
          <w:color w:val="000000" w:themeColor="text1"/>
          <w:szCs w:val="22"/>
        </w:rPr>
        <w:t> </w:t>
      </w:r>
      <w:r w:rsidR="00434216" w:rsidRPr="0085799C">
        <w:rPr>
          <w:rFonts w:ascii="Times New Roman" w:hAnsi="Times New Roman"/>
          <w:bCs/>
          <w:color w:val="000000" w:themeColor="text1"/>
          <w:szCs w:val="22"/>
        </w:rPr>
        <w:t>918</w:t>
      </w:r>
      <w:r w:rsidR="00FE0916">
        <w:rPr>
          <w:rFonts w:ascii="Times New Roman" w:hAnsi="Times New Roman"/>
          <w:bCs/>
          <w:color w:val="000000" w:themeColor="text1"/>
          <w:szCs w:val="22"/>
        </w:rPr>
        <w:t> </w:t>
      </w:r>
      <w:r w:rsidRPr="00505C0F">
        <w:rPr>
          <w:rFonts w:ascii="Times New Roman" w:hAnsi="Times New Roman"/>
          <w:color w:val="000000" w:themeColor="text1"/>
          <w:szCs w:val="22"/>
        </w:rPr>
        <w:t>tis. eur (</w:t>
      </w:r>
      <w:r w:rsidRPr="00505C0F">
        <w:rPr>
          <w:rFonts w:ascii="Times New Roman" w:hAnsi="Times New Roman"/>
          <w:bCs/>
          <w:color w:val="000000" w:themeColor="text1"/>
          <w:szCs w:val="22"/>
        </w:rPr>
        <w:t>202</w:t>
      </w:r>
      <w:r w:rsidR="00434216" w:rsidRPr="0085799C">
        <w:rPr>
          <w:rFonts w:ascii="Times New Roman" w:hAnsi="Times New Roman"/>
          <w:bCs/>
          <w:color w:val="000000" w:themeColor="text1"/>
          <w:szCs w:val="22"/>
        </w:rPr>
        <w:t>3</w:t>
      </w:r>
      <w:r w:rsidRPr="00505C0F">
        <w:rPr>
          <w:rFonts w:ascii="Times New Roman" w:hAnsi="Times New Roman"/>
          <w:bCs/>
          <w:color w:val="000000" w:themeColor="text1"/>
          <w:szCs w:val="22"/>
        </w:rPr>
        <w:t xml:space="preserve">: </w:t>
      </w:r>
      <w:r w:rsidR="00434216" w:rsidRPr="0085799C">
        <w:rPr>
          <w:rFonts w:ascii="Times New Roman" w:hAnsi="Times New Roman"/>
          <w:bCs/>
          <w:color w:val="000000" w:themeColor="text1"/>
          <w:szCs w:val="22"/>
        </w:rPr>
        <w:t>2 700 537 </w:t>
      </w:r>
      <w:r w:rsidRPr="00505C0F">
        <w:rPr>
          <w:rFonts w:ascii="Times New Roman" w:hAnsi="Times New Roman"/>
          <w:color w:val="000000" w:themeColor="text1"/>
          <w:szCs w:val="22"/>
        </w:rPr>
        <w:t xml:space="preserve">tis. eur), </w:t>
      </w:r>
      <w:r w:rsidRPr="00505C0F">
        <w:rPr>
          <w:rFonts w:ascii="Times New Roman" w:hAnsi="Times New Roman"/>
          <w:color w:val="000000" w:themeColor="text1"/>
          <w:szCs w:val="22"/>
          <w:u w:val="single"/>
        </w:rPr>
        <w:t>zákonné sociálne náklady</w:t>
      </w:r>
      <w:r w:rsidRPr="00505C0F">
        <w:rPr>
          <w:rFonts w:ascii="Times New Roman" w:hAnsi="Times New Roman"/>
          <w:color w:val="000000" w:themeColor="text1"/>
          <w:szCs w:val="22"/>
        </w:rPr>
        <w:t xml:space="preserve"> </w:t>
      </w:r>
      <w:r w:rsidR="009E7D94" w:rsidRPr="0085799C">
        <w:rPr>
          <w:rFonts w:ascii="Times New Roman" w:hAnsi="Times New Roman"/>
          <w:bCs/>
          <w:color w:val="000000" w:themeColor="text1"/>
          <w:szCs w:val="22"/>
        </w:rPr>
        <w:t xml:space="preserve">740 335 </w:t>
      </w:r>
      <w:r w:rsidRPr="00505C0F">
        <w:rPr>
          <w:rFonts w:ascii="Times New Roman" w:hAnsi="Times New Roman"/>
          <w:color w:val="000000" w:themeColor="text1"/>
          <w:szCs w:val="22"/>
        </w:rPr>
        <w:t>tis. eur (202</w:t>
      </w:r>
      <w:r w:rsidR="00434216" w:rsidRPr="0085799C">
        <w:rPr>
          <w:rFonts w:ascii="Times New Roman" w:hAnsi="Times New Roman"/>
          <w:bCs/>
          <w:color w:val="000000" w:themeColor="text1"/>
          <w:szCs w:val="22"/>
        </w:rPr>
        <w:t>3</w:t>
      </w:r>
      <w:r w:rsidRPr="00505C0F">
        <w:rPr>
          <w:rFonts w:ascii="Times New Roman" w:hAnsi="Times New Roman"/>
          <w:bCs/>
          <w:color w:val="000000" w:themeColor="text1"/>
          <w:szCs w:val="22"/>
        </w:rPr>
        <w:t xml:space="preserve">: </w:t>
      </w:r>
      <w:r w:rsidR="00434216" w:rsidRPr="0085799C">
        <w:rPr>
          <w:rFonts w:ascii="Times New Roman" w:hAnsi="Times New Roman"/>
          <w:bCs/>
          <w:color w:val="000000" w:themeColor="text1"/>
          <w:szCs w:val="22"/>
        </w:rPr>
        <w:t>669 970 </w:t>
      </w:r>
      <w:r w:rsidRPr="00505C0F">
        <w:rPr>
          <w:rFonts w:ascii="Times New Roman" w:hAnsi="Times New Roman"/>
          <w:color w:val="000000" w:themeColor="text1"/>
          <w:szCs w:val="22"/>
        </w:rPr>
        <w:t>tis. eur) a </w:t>
      </w:r>
      <w:r w:rsidRPr="00505C0F">
        <w:rPr>
          <w:rFonts w:ascii="Times New Roman" w:hAnsi="Times New Roman"/>
          <w:color w:val="000000" w:themeColor="text1"/>
          <w:szCs w:val="22"/>
          <w:u w:val="single"/>
        </w:rPr>
        <w:t>ostatné sociálne poistenie a sociálne náklady</w:t>
      </w:r>
      <w:r w:rsidRPr="00505C0F">
        <w:rPr>
          <w:rFonts w:ascii="Times New Roman" w:hAnsi="Times New Roman"/>
          <w:color w:val="000000" w:themeColor="text1"/>
          <w:szCs w:val="22"/>
        </w:rPr>
        <w:t xml:space="preserve"> </w:t>
      </w:r>
      <w:r w:rsidR="009E7D94" w:rsidRPr="0085799C">
        <w:rPr>
          <w:rFonts w:ascii="Times New Roman" w:hAnsi="Times New Roman"/>
          <w:bCs/>
          <w:color w:val="000000" w:themeColor="text1"/>
          <w:szCs w:val="22"/>
        </w:rPr>
        <w:t>128</w:t>
      </w:r>
      <w:r w:rsidR="00FE0916">
        <w:rPr>
          <w:rFonts w:ascii="Times New Roman" w:hAnsi="Times New Roman"/>
          <w:bCs/>
          <w:color w:val="000000" w:themeColor="text1"/>
          <w:szCs w:val="22"/>
        </w:rPr>
        <w:t> </w:t>
      </w:r>
      <w:r w:rsidR="009E7D94" w:rsidRPr="0085799C">
        <w:rPr>
          <w:rFonts w:ascii="Times New Roman" w:hAnsi="Times New Roman"/>
          <w:bCs/>
          <w:color w:val="000000" w:themeColor="text1"/>
          <w:szCs w:val="22"/>
        </w:rPr>
        <w:t>48</w:t>
      </w:r>
      <w:r w:rsidR="00C77B31">
        <w:rPr>
          <w:rFonts w:ascii="Times New Roman" w:hAnsi="Times New Roman"/>
          <w:bCs/>
          <w:color w:val="000000" w:themeColor="text1"/>
          <w:szCs w:val="22"/>
        </w:rPr>
        <w:t>6</w:t>
      </w:r>
      <w:r w:rsidR="00FE0916">
        <w:rPr>
          <w:rFonts w:ascii="Times New Roman" w:hAnsi="Times New Roman"/>
          <w:bCs/>
          <w:color w:val="000000" w:themeColor="text1"/>
          <w:szCs w:val="22"/>
        </w:rPr>
        <w:t> </w:t>
      </w:r>
      <w:r w:rsidRPr="00505C0F">
        <w:rPr>
          <w:rFonts w:ascii="Times New Roman" w:hAnsi="Times New Roman"/>
          <w:color w:val="000000" w:themeColor="text1"/>
          <w:szCs w:val="22"/>
        </w:rPr>
        <w:t>tis. eur (</w:t>
      </w:r>
      <w:r w:rsidRPr="00505C0F">
        <w:rPr>
          <w:rFonts w:ascii="Times New Roman" w:hAnsi="Times New Roman"/>
          <w:bCs/>
          <w:color w:val="000000" w:themeColor="text1"/>
          <w:szCs w:val="22"/>
        </w:rPr>
        <w:t>202</w:t>
      </w:r>
      <w:r w:rsidR="009E7D94" w:rsidRPr="0085799C">
        <w:rPr>
          <w:rFonts w:ascii="Times New Roman" w:hAnsi="Times New Roman"/>
          <w:bCs/>
          <w:color w:val="000000" w:themeColor="text1"/>
          <w:szCs w:val="22"/>
        </w:rPr>
        <w:t>3</w:t>
      </w:r>
      <w:r w:rsidRPr="00505C0F">
        <w:rPr>
          <w:rFonts w:ascii="Times New Roman" w:hAnsi="Times New Roman"/>
          <w:bCs/>
          <w:color w:val="000000" w:themeColor="text1"/>
          <w:szCs w:val="22"/>
        </w:rPr>
        <w:t xml:space="preserve">: </w:t>
      </w:r>
      <w:r w:rsidR="009E7D94" w:rsidRPr="0085799C">
        <w:rPr>
          <w:rFonts w:ascii="Times New Roman" w:hAnsi="Times New Roman"/>
          <w:bCs/>
          <w:color w:val="000000" w:themeColor="text1"/>
          <w:szCs w:val="22"/>
        </w:rPr>
        <w:t>117 147 </w:t>
      </w:r>
      <w:r w:rsidRPr="00505C0F">
        <w:rPr>
          <w:rFonts w:ascii="Times New Roman" w:hAnsi="Times New Roman"/>
          <w:color w:val="000000" w:themeColor="text1"/>
          <w:szCs w:val="22"/>
        </w:rPr>
        <w:t>tis. eur). Všetky zložky osobných nákladov celkovo medziročne vzrástli o 1</w:t>
      </w:r>
      <w:r w:rsidR="009E7D94" w:rsidRPr="0085799C">
        <w:rPr>
          <w:rFonts w:ascii="Times New Roman" w:hAnsi="Times New Roman"/>
          <w:bCs/>
          <w:color w:val="000000" w:themeColor="text1"/>
          <w:szCs w:val="22"/>
        </w:rPr>
        <w:t> 169</w:t>
      </w:r>
      <w:r w:rsidR="00FE0916">
        <w:rPr>
          <w:rFonts w:ascii="Times New Roman" w:hAnsi="Times New Roman"/>
          <w:bCs/>
          <w:color w:val="000000" w:themeColor="text1"/>
          <w:szCs w:val="22"/>
        </w:rPr>
        <w:t> </w:t>
      </w:r>
      <w:r w:rsidR="009E7D94" w:rsidRPr="0085799C">
        <w:rPr>
          <w:rFonts w:ascii="Times New Roman" w:hAnsi="Times New Roman"/>
          <w:bCs/>
          <w:color w:val="000000" w:themeColor="text1"/>
          <w:szCs w:val="22"/>
        </w:rPr>
        <w:t>76</w:t>
      </w:r>
      <w:r w:rsidR="003A51AE">
        <w:rPr>
          <w:rFonts w:ascii="Times New Roman" w:hAnsi="Times New Roman"/>
          <w:bCs/>
          <w:color w:val="000000" w:themeColor="text1"/>
          <w:szCs w:val="22"/>
        </w:rPr>
        <w:t>3</w:t>
      </w:r>
      <w:r w:rsidRPr="00505C0F">
        <w:rPr>
          <w:rFonts w:ascii="Times New Roman" w:hAnsi="Times New Roman"/>
          <w:color w:val="000000" w:themeColor="text1"/>
          <w:szCs w:val="22"/>
        </w:rPr>
        <w:t> tis. eur.</w:t>
      </w:r>
    </w:p>
    <w:p w14:paraId="3C1DFC4D" w14:textId="3F388ED3" w:rsidR="00647542" w:rsidRPr="00505C0F" w:rsidRDefault="00647542" w:rsidP="0085799C">
      <w:pPr>
        <w:spacing w:after="120" w:line="240" w:lineRule="auto"/>
        <w:jc w:val="both"/>
        <w:rPr>
          <w:rFonts w:ascii="Times New Roman" w:hAnsi="Times New Roman"/>
          <w:color w:val="000000" w:themeColor="text1"/>
          <w:szCs w:val="22"/>
        </w:rPr>
      </w:pPr>
      <w:r w:rsidRPr="00505C0F">
        <w:rPr>
          <w:rFonts w:ascii="Times New Roman" w:hAnsi="Times New Roman"/>
          <w:color w:val="000000" w:themeColor="text1"/>
          <w:szCs w:val="22"/>
        </w:rPr>
        <w:t>Vzhľadom na počet zamestnancov v jednotlivých skupinách subjektov súhrnného celku vykazuje ústredná správa celkové osobné náklady (vrátane zákonného a ostatného poistenia) vo </w:t>
      </w:r>
      <w:r w:rsidRPr="00505C0F">
        <w:rPr>
          <w:rFonts w:ascii="Times New Roman" w:hAnsi="Times New Roman"/>
          <w:bCs/>
          <w:color w:val="000000" w:themeColor="text1"/>
          <w:szCs w:val="22"/>
        </w:rPr>
        <w:t>výške</w:t>
      </w:r>
      <w:r w:rsidR="009E7D94" w:rsidRPr="0085799C">
        <w:rPr>
          <w:rFonts w:ascii="Times New Roman" w:hAnsi="Times New Roman"/>
          <w:bCs/>
          <w:color w:val="000000" w:themeColor="text1"/>
          <w:szCs w:val="22"/>
        </w:rPr>
        <w:t xml:space="preserve"> </w:t>
      </w:r>
      <w:r w:rsidR="00123C5E" w:rsidRPr="0085799C">
        <w:rPr>
          <w:rFonts w:ascii="Times New Roman" w:hAnsi="Times New Roman"/>
          <w:bCs/>
          <w:color w:val="000000" w:themeColor="text1"/>
          <w:szCs w:val="22"/>
        </w:rPr>
        <w:t>8 083</w:t>
      </w:r>
      <w:r w:rsidR="00FE0916">
        <w:rPr>
          <w:rFonts w:ascii="Times New Roman" w:hAnsi="Times New Roman"/>
          <w:bCs/>
          <w:color w:val="000000" w:themeColor="text1"/>
          <w:szCs w:val="22"/>
        </w:rPr>
        <w:t> </w:t>
      </w:r>
      <w:r w:rsidR="00123C5E" w:rsidRPr="0085799C">
        <w:rPr>
          <w:rFonts w:ascii="Times New Roman" w:hAnsi="Times New Roman"/>
          <w:bCs/>
          <w:color w:val="000000" w:themeColor="text1"/>
          <w:szCs w:val="22"/>
        </w:rPr>
        <w:t>261</w:t>
      </w:r>
      <w:r w:rsidRPr="00505C0F">
        <w:rPr>
          <w:rFonts w:ascii="Times New Roman" w:hAnsi="Times New Roman"/>
          <w:color w:val="000000" w:themeColor="text1"/>
          <w:szCs w:val="22"/>
        </w:rPr>
        <w:t> tis. eur, čo je medziročne viac o</w:t>
      </w:r>
      <w:r w:rsidR="00FE0916">
        <w:rPr>
          <w:rFonts w:ascii="Times New Roman" w:hAnsi="Times New Roman"/>
          <w:bCs/>
          <w:color w:val="000000" w:themeColor="text1"/>
          <w:szCs w:val="22"/>
        </w:rPr>
        <w:t> </w:t>
      </w:r>
      <w:r w:rsidR="00123C5E" w:rsidRPr="0085799C">
        <w:rPr>
          <w:rFonts w:ascii="Times New Roman" w:hAnsi="Times New Roman"/>
          <w:bCs/>
          <w:color w:val="000000" w:themeColor="text1"/>
          <w:szCs w:val="22"/>
        </w:rPr>
        <w:t>900</w:t>
      </w:r>
      <w:r w:rsidR="00FE0916">
        <w:rPr>
          <w:rFonts w:ascii="Times New Roman" w:hAnsi="Times New Roman"/>
          <w:bCs/>
          <w:color w:val="000000" w:themeColor="text1"/>
          <w:szCs w:val="22"/>
        </w:rPr>
        <w:t> </w:t>
      </w:r>
      <w:r w:rsidR="00123C5E" w:rsidRPr="0085799C">
        <w:rPr>
          <w:rFonts w:ascii="Times New Roman" w:hAnsi="Times New Roman"/>
          <w:bCs/>
          <w:color w:val="000000" w:themeColor="text1"/>
          <w:szCs w:val="22"/>
        </w:rPr>
        <w:t>288</w:t>
      </w:r>
      <w:r w:rsidRPr="00505C0F">
        <w:rPr>
          <w:rFonts w:ascii="Times New Roman" w:hAnsi="Times New Roman"/>
          <w:color w:val="000000" w:themeColor="text1"/>
          <w:szCs w:val="22"/>
        </w:rPr>
        <w:t> tis. eur, pričom tieto náklady sú vrátane aj všetkých obchodných spoločností štátu a</w:t>
      </w:r>
      <w:r w:rsidR="00FE0916">
        <w:rPr>
          <w:rFonts w:ascii="Times New Roman" w:hAnsi="Times New Roman"/>
          <w:color w:val="000000" w:themeColor="text1"/>
          <w:szCs w:val="22"/>
        </w:rPr>
        <w:t xml:space="preserve"> </w:t>
      </w:r>
      <w:r w:rsidRPr="00505C0F">
        <w:rPr>
          <w:rFonts w:ascii="Times New Roman" w:hAnsi="Times New Roman"/>
          <w:color w:val="000000" w:themeColor="text1"/>
          <w:szCs w:val="22"/>
        </w:rPr>
        <w:t>štátnych podnikov.</w:t>
      </w:r>
    </w:p>
    <w:p w14:paraId="6C0333B9" w14:textId="557B05E6" w:rsidR="00647542" w:rsidRPr="00505C0F" w:rsidRDefault="00AA6486" w:rsidP="00505C0F">
      <w:pPr>
        <w:spacing w:after="120" w:line="240" w:lineRule="auto"/>
        <w:jc w:val="both"/>
        <w:rPr>
          <w:rFonts w:ascii="Times New Roman" w:hAnsi="Times New Roman"/>
          <w:color w:val="000000" w:themeColor="text1"/>
          <w:szCs w:val="22"/>
        </w:rPr>
      </w:pPr>
      <w:r w:rsidRPr="00505C0F">
        <w:rPr>
          <w:rFonts w:ascii="Times New Roman" w:hAnsi="Times New Roman"/>
          <w:bCs/>
          <w:color w:val="000000" w:themeColor="text1"/>
          <w:szCs w:val="22"/>
        </w:rPr>
        <w:t xml:space="preserve">Vyššie osobné náklady </w:t>
      </w:r>
      <w:r w:rsidR="00647542" w:rsidRPr="00505C0F">
        <w:rPr>
          <w:rFonts w:ascii="Times New Roman" w:hAnsi="Times New Roman"/>
          <w:color w:val="000000" w:themeColor="text1"/>
          <w:szCs w:val="22"/>
        </w:rPr>
        <w:t xml:space="preserve">pracovníkov vo verejnej správe </w:t>
      </w:r>
      <w:r w:rsidRPr="00505C0F">
        <w:rPr>
          <w:rFonts w:ascii="Times New Roman" w:hAnsi="Times New Roman"/>
          <w:bCs/>
          <w:color w:val="000000" w:themeColor="text1"/>
          <w:szCs w:val="22"/>
        </w:rPr>
        <w:t>boli vykazované aj u</w:t>
      </w:r>
      <w:r w:rsidR="00647542" w:rsidRPr="00505C0F">
        <w:rPr>
          <w:rFonts w:ascii="Times New Roman" w:hAnsi="Times New Roman"/>
          <w:color w:val="000000" w:themeColor="text1"/>
          <w:szCs w:val="22"/>
        </w:rPr>
        <w:t xml:space="preserve"> územnej samosprávy. Obce a ich rozpočtové, príspevkové organizácie a obchodné spoločnosti dosiahli osobné náklady vo výške </w:t>
      </w:r>
      <w:r w:rsidR="00545E24" w:rsidRPr="0085799C">
        <w:rPr>
          <w:rFonts w:ascii="Times New Roman" w:hAnsi="Times New Roman"/>
          <w:bCs/>
          <w:color w:val="000000" w:themeColor="text1"/>
          <w:szCs w:val="22"/>
        </w:rPr>
        <w:t>4 213</w:t>
      </w:r>
      <w:r w:rsidR="00FE0916">
        <w:rPr>
          <w:rFonts w:ascii="Times New Roman" w:hAnsi="Times New Roman"/>
          <w:bCs/>
          <w:color w:val="000000" w:themeColor="text1"/>
          <w:szCs w:val="22"/>
        </w:rPr>
        <w:t> </w:t>
      </w:r>
      <w:r w:rsidR="00545E24" w:rsidRPr="0085799C">
        <w:rPr>
          <w:rFonts w:ascii="Times New Roman" w:hAnsi="Times New Roman"/>
          <w:bCs/>
          <w:color w:val="000000" w:themeColor="text1"/>
          <w:szCs w:val="22"/>
        </w:rPr>
        <w:t>139</w:t>
      </w:r>
      <w:r w:rsidR="00647542" w:rsidRPr="00505C0F">
        <w:rPr>
          <w:rFonts w:ascii="Times New Roman" w:hAnsi="Times New Roman"/>
          <w:color w:val="000000" w:themeColor="text1"/>
          <w:szCs w:val="22"/>
        </w:rPr>
        <w:t> tis. eur</w:t>
      </w:r>
      <w:r w:rsidR="00545E24" w:rsidRPr="0085799C">
        <w:rPr>
          <w:rFonts w:ascii="Times New Roman" w:hAnsi="Times New Roman"/>
          <w:bCs/>
          <w:color w:val="000000" w:themeColor="text1"/>
          <w:szCs w:val="22"/>
        </w:rPr>
        <w:t xml:space="preserve"> </w:t>
      </w:r>
      <w:r w:rsidR="007926ED">
        <w:rPr>
          <w:rFonts w:ascii="Times New Roman" w:hAnsi="Times New Roman"/>
          <w:bCs/>
          <w:color w:val="000000" w:themeColor="text1"/>
          <w:szCs w:val="22"/>
        </w:rPr>
        <w:t xml:space="preserve">(medziročný nárast vo výške 381 369 tis. eur) </w:t>
      </w:r>
      <w:r w:rsidR="00545E24" w:rsidRPr="0085799C">
        <w:rPr>
          <w:rFonts w:ascii="Times New Roman" w:hAnsi="Times New Roman"/>
          <w:bCs/>
          <w:color w:val="000000" w:themeColor="text1"/>
          <w:szCs w:val="22"/>
        </w:rPr>
        <w:t xml:space="preserve">a v </w:t>
      </w:r>
      <w:r w:rsidR="00647542" w:rsidRPr="00505C0F">
        <w:rPr>
          <w:rFonts w:ascii="Times New Roman" w:hAnsi="Times New Roman"/>
          <w:color w:val="000000" w:themeColor="text1"/>
          <w:szCs w:val="22"/>
        </w:rPr>
        <w:t xml:space="preserve">prípade vyšších územných celkov to predstavovalo objem </w:t>
      </w:r>
      <w:r w:rsidR="00545E24" w:rsidRPr="0085799C">
        <w:rPr>
          <w:rFonts w:ascii="Times New Roman" w:hAnsi="Times New Roman"/>
          <w:bCs/>
          <w:color w:val="000000" w:themeColor="text1"/>
          <w:szCs w:val="22"/>
        </w:rPr>
        <w:t>1</w:t>
      </w:r>
      <w:r w:rsidR="00FE0916">
        <w:rPr>
          <w:rFonts w:ascii="Times New Roman" w:hAnsi="Times New Roman"/>
          <w:bCs/>
          <w:color w:val="000000" w:themeColor="text1"/>
          <w:szCs w:val="22"/>
        </w:rPr>
        <w:t> </w:t>
      </w:r>
      <w:r w:rsidR="00545E24" w:rsidRPr="0085799C">
        <w:rPr>
          <w:rFonts w:ascii="Times New Roman" w:hAnsi="Times New Roman"/>
          <w:bCs/>
          <w:color w:val="000000" w:themeColor="text1"/>
          <w:szCs w:val="22"/>
        </w:rPr>
        <w:t>389</w:t>
      </w:r>
      <w:r w:rsidR="00FE0916">
        <w:rPr>
          <w:rFonts w:ascii="Times New Roman" w:hAnsi="Times New Roman"/>
          <w:bCs/>
          <w:color w:val="000000" w:themeColor="text1"/>
          <w:szCs w:val="22"/>
        </w:rPr>
        <w:t> </w:t>
      </w:r>
      <w:r w:rsidR="00545E24" w:rsidRPr="0085799C">
        <w:rPr>
          <w:rFonts w:ascii="Times New Roman" w:hAnsi="Times New Roman"/>
          <w:bCs/>
          <w:color w:val="000000" w:themeColor="text1"/>
          <w:szCs w:val="22"/>
        </w:rPr>
        <w:t>277</w:t>
      </w:r>
      <w:r w:rsidR="00647542" w:rsidRPr="00505C0F">
        <w:rPr>
          <w:rFonts w:ascii="Times New Roman" w:hAnsi="Times New Roman"/>
          <w:color w:val="000000" w:themeColor="text1"/>
          <w:szCs w:val="22"/>
        </w:rPr>
        <w:t> tis. eur</w:t>
      </w:r>
      <w:r w:rsidR="007926ED">
        <w:rPr>
          <w:rFonts w:ascii="Times New Roman" w:hAnsi="Times New Roman"/>
          <w:color w:val="000000" w:themeColor="text1"/>
          <w:szCs w:val="22"/>
        </w:rPr>
        <w:t xml:space="preserve"> (medziročný nárast vo výške 102 924 tis. eur)</w:t>
      </w:r>
      <w:r w:rsidR="00647542" w:rsidRPr="00505C0F">
        <w:rPr>
          <w:rFonts w:ascii="Times New Roman" w:hAnsi="Times New Roman"/>
          <w:color w:val="000000" w:themeColor="text1"/>
          <w:szCs w:val="22"/>
        </w:rPr>
        <w:t>.</w:t>
      </w:r>
    </w:p>
    <w:p w14:paraId="30BF2490" w14:textId="77777777" w:rsidR="00AC7DA7" w:rsidRPr="00505C0F" w:rsidRDefault="00AC7DA7" w:rsidP="00505C0F">
      <w:pPr>
        <w:spacing w:after="120" w:line="240" w:lineRule="auto"/>
        <w:jc w:val="both"/>
        <w:rPr>
          <w:rFonts w:ascii="Times New Roman" w:hAnsi="Times New Roman"/>
          <w:color w:val="000000" w:themeColor="text1"/>
          <w:szCs w:val="22"/>
        </w:rPr>
      </w:pPr>
    </w:p>
    <w:p w14:paraId="08ACF4D6" w14:textId="57F99599" w:rsidR="00AC7DA7" w:rsidRDefault="00AC7DA7" w:rsidP="0085799C">
      <w:pPr>
        <w:pStyle w:val="Nadpis4"/>
        <w:numPr>
          <w:ilvl w:val="0"/>
          <w:numId w:val="54"/>
        </w:numPr>
        <w:ind w:left="426" w:hanging="426"/>
      </w:pPr>
      <w:bookmarkStart w:id="95" w:name="_Mzdy"/>
      <w:bookmarkEnd w:id="95"/>
      <w:r>
        <w:lastRenderedPageBreak/>
        <w:t>Mzd</w:t>
      </w:r>
      <w:r w:rsidR="000243B3">
        <w:t>y</w:t>
      </w:r>
    </w:p>
    <w:p w14:paraId="1225C209" w14:textId="2DB6E75B" w:rsidR="009341E3" w:rsidRPr="00200A9A" w:rsidRDefault="00647542" w:rsidP="0085799C">
      <w:pPr>
        <w:spacing w:after="120" w:line="240" w:lineRule="auto"/>
        <w:jc w:val="both"/>
        <w:rPr>
          <w:rFonts w:ascii="Times New Roman" w:hAnsi="Times New Roman"/>
          <w:color w:val="000000" w:themeColor="text1"/>
          <w:szCs w:val="22"/>
          <w:lang w:eastAsia="sk-SK"/>
        </w:rPr>
      </w:pPr>
      <w:r w:rsidRPr="00D277DA">
        <w:rPr>
          <w:rFonts w:ascii="Times New Roman" w:hAnsi="Times New Roman"/>
          <w:color w:val="000000" w:themeColor="text1"/>
          <w:szCs w:val="22"/>
        </w:rPr>
        <w:t xml:space="preserve">Náklady subjektov súhrnného celku na mzdy, platy a iné formy odmeňovania dosiahli </w:t>
      </w:r>
      <w:r w:rsidR="003D654F" w:rsidRPr="0085799C">
        <w:rPr>
          <w:rFonts w:ascii="Times New Roman" w:hAnsi="Times New Roman"/>
          <w:bCs/>
          <w:color w:val="000000" w:themeColor="text1"/>
          <w:szCs w:val="22"/>
        </w:rPr>
        <w:t>10 661</w:t>
      </w:r>
      <w:r w:rsidR="00FE0916" w:rsidRPr="00D277DA">
        <w:rPr>
          <w:rFonts w:ascii="Times New Roman" w:hAnsi="Times New Roman"/>
          <w:bCs/>
          <w:color w:val="000000" w:themeColor="text1"/>
          <w:szCs w:val="22"/>
        </w:rPr>
        <w:t> </w:t>
      </w:r>
      <w:r w:rsidR="003D654F" w:rsidRPr="0085799C">
        <w:rPr>
          <w:rFonts w:ascii="Times New Roman" w:hAnsi="Times New Roman"/>
          <w:bCs/>
          <w:color w:val="000000" w:themeColor="text1"/>
          <w:szCs w:val="22"/>
        </w:rPr>
        <w:t>555</w:t>
      </w:r>
      <w:r w:rsidRPr="00D277DA">
        <w:rPr>
          <w:rFonts w:ascii="Times New Roman" w:hAnsi="Times New Roman"/>
          <w:color w:val="000000" w:themeColor="text1"/>
          <w:szCs w:val="22"/>
        </w:rPr>
        <w:t> tis. eur a boli o</w:t>
      </w:r>
      <w:r w:rsidR="00B70C16" w:rsidRPr="0085799C">
        <w:rPr>
          <w:rFonts w:ascii="Times New Roman" w:hAnsi="Times New Roman"/>
          <w:bCs/>
          <w:color w:val="000000" w:themeColor="text1"/>
          <w:szCs w:val="22"/>
        </w:rPr>
        <w:t> 816</w:t>
      </w:r>
      <w:r w:rsidR="00FE0916" w:rsidRPr="00D277DA">
        <w:rPr>
          <w:rFonts w:ascii="Times New Roman" w:hAnsi="Times New Roman"/>
          <w:bCs/>
          <w:color w:val="000000" w:themeColor="text1"/>
          <w:szCs w:val="22"/>
        </w:rPr>
        <w:t> </w:t>
      </w:r>
      <w:r w:rsidR="00B70C16" w:rsidRPr="0085799C">
        <w:rPr>
          <w:rFonts w:ascii="Times New Roman" w:hAnsi="Times New Roman"/>
          <w:bCs/>
          <w:color w:val="000000" w:themeColor="text1"/>
          <w:szCs w:val="22"/>
        </w:rPr>
        <w:t>67</w:t>
      </w:r>
      <w:r w:rsidR="003A51AE">
        <w:rPr>
          <w:rFonts w:ascii="Times New Roman" w:hAnsi="Times New Roman"/>
          <w:bCs/>
          <w:color w:val="000000" w:themeColor="text1"/>
          <w:szCs w:val="22"/>
        </w:rPr>
        <w:t>9</w:t>
      </w:r>
      <w:r w:rsidRPr="00D277DA">
        <w:rPr>
          <w:rFonts w:ascii="Times New Roman" w:hAnsi="Times New Roman"/>
          <w:color w:val="000000" w:themeColor="text1"/>
          <w:szCs w:val="22"/>
        </w:rPr>
        <w:t> tis. eur vyššie ako v roku 202</w:t>
      </w:r>
      <w:r w:rsidR="00B70C16" w:rsidRPr="0085799C">
        <w:rPr>
          <w:rFonts w:ascii="Times New Roman" w:hAnsi="Times New Roman"/>
          <w:bCs/>
          <w:color w:val="000000" w:themeColor="text1"/>
          <w:szCs w:val="22"/>
        </w:rPr>
        <w:t>3</w:t>
      </w:r>
      <w:r w:rsidRPr="00D277DA">
        <w:rPr>
          <w:rFonts w:ascii="Times New Roman" w:hAnsi="Times New Roman"/>
          <w:color w:val="000000" w:themeColor="text1"/>
          <w:szCs w:val="22"/>
        </w:rPr>
        <w:t>. Vzhľadom na celkový počet zamestnancov sú mzdové náklady najvyššie v ústrednej správe (5</w:t>
      </w:r>
      <w:r w:rsidR="00FE0916" w:rsidRPr="00D277DA">
        <w:rPr>
          <w:rFonts w:ascii="Times New Roman" w:hAnsi="Times New Roman"/>
          <w:bCs/>
          <w:color w:val="000000" w:themeColor="text1"/>
          <w:szCs w:val="22"/>
        </w:rPr>
        <w:t> </w:t>
      </w:r>
      <w:r w:rsidR="00B70C16" w:rsidRPr="0085799C">
        <w:rPr>
          <w:rFonts w:ascii="Times New Roman" w:hAnsi="Times New Roman"/>
          <w:bCs/>
          <w:color w:val="000000" w:themeColor="text1"/>
          <w:szCs w:val="22"/>
        </w:rPr>
        <w:t>929</w:t>
      </w:r>
      <w:r w:rsidR="00FE0916" w:rsidRPr="00D277DA">
        <w:rPr>
          <w:rFonts w:ascii="Times New Roman" w:hAnsi="Times New Roman"/>
          <w:bCs/>
          <w:color w:val="000000" w:themeColor="text1"/>
          <w:szCs w:val="22"/>
        </w:rPr>
        <w:t> </w:t>
      </w:r>
      <w:r w:rsidR="00B70C16" w:rsidRPr="0085799C">
        <w:rPr>
          <w:rFonts w:ascii="Times New Roman" w:hAnsi="Times New Roman"/>
          <w:bCs/>
          <w:color w:val="000000" w:themeColor="text1"/>
          <w:szCs w:val="22"/>
        </w:rPr>
        <w:t>299</w:t>
      </w:r>
      <w:r w:rsidRPr="00D277DA">
        <w:rPr>
          <w:rFonts w:ascii="Times New Roman" w:hAnsi="Times New Roman"/>
          <w:color w:val="000000" w:themeColor="text1"/>
          <w:szCs w:val="22"/>
        </w:rPr>
        <w:t xml:space="preserve"> tis. eur) a územnej samospráve (obce </w:t>
      </w:r>
      <w:r w:rsidR="00B70C16" w:rsidRPr="0085799C">
        <w:rPr>
          <w:rFonts w:ascii="Times New Roman" w:hAnsi="Times New Roman"/>
          <w:bCs/>
          <w:color w:val="000000" w:themeColor="text1"/>
          <w:szCs w:val="22"/>
        </w:rPr>
        <w:t>2</w:t>
      </w:r>
      <w:r w:rsidR="00FE0916" w:rsidRPr="00200A9A">
        <w:rPr>
          <w:rFonts w:ascii="Times New Roman" w:hAnsi="Times New Roman"/>
          <w:bCs/>
          <w:color w:val="000000" w:themeColor="text1"/>
          <w:szCs w:val="22"/>
        </w:rPr>
        <w:t> </w:t>
      </w:r>
      <w:r w:rsidR="00B70C16" w:rsidRPr="0085799C">
        <w:rPr>
          <w:rFonts w:ascii="Times New Roman" w:hAnsi="Times New Roman"/>
          <w:bCs/>
          <w:color w:val="000000" w:themeColor="text1"/>
          <w:szCs w:val="22"/>
        </w:rPr>
        <w:t>973</w:t>
      </w:r>
      <w:r w:rsidR="00FE0916" w:rsidRPr="00200A9A">
        <w:rPr>
          <w:rFonts w:ascii="Times New Roman" w:hAnsi="Times New Roman"/>
          <w:bCs/>
          <w:color w:val="000000" w:themeColor="text1"/>
          <w:szCs w:val="22"/>
        </w:rPr>
        <w:t> </w:t>
      </w:r>
      <w:r w:rsidR="00B70C16" w:rsidRPr="0085799C">
        <w:rPr>
          <w:rFonts w:ascii="Times New Roman" w:hAnsi="Times New Roman"/>
          <w:bCs/>
          <w:color w:val="000000" w:themeColor="text1"/>
          <w:szCs w:val="22"/>
        </w:rPr>
        <w:t>297</w:t>
      </w:r>
      <w:r w:rsidRPr="00200A9A">
        <w:rPr>
          <w:rFonts w:ascii="Times New Roman" w:hAnsi="Times New Roman"/>
          <w:color w:val="000000" w:themeColor="text1"/>
          <w:szCs w:val="22"/>
        </w:rPr>
        <w:t xml:space="preserve"> tis. eur, </w:t>
      </w:r>
      <w:r w:rsidRPr="00200A9A">
        <w:rPr>
          <w:rFonts w:ascii="Times New Roman" w:hAnsi="Times New Roman"/>
          <w:bCs/>
          <w:color w:val="000000" w:themeColor="text1"/>
          <w:szCs w:val="22"/>
        </w:rPr>
        <w:t>V</w:t>
      </w:r>
      <w:r w:rsidR="00B70C16" w:rsidRPr="0085799C">
        <w:rPr>
          <w:rFonts w:ascii="Times New Roman" w:hAnsi="Times New Roman"/>
          <w:bCs/>
          <w:color w:val="000000" w:themeColor="text1"/>
          <w:szCs w:val="22"/>
        </w:rPr>
        <w:t>Ú</w:t>
      </w:r>
      <w:r w:rsidRPr="00200A9A">
        <w:rPr>
          <w:rFonts w:ascii="Times New Roman" w:hAnsi="Times New Roman"/>
          <w:bCs/>
          <w:color w:val="000000" w:themeColor="text1"/>
          <w:szCs w:val="22"/>
        </w:rPr>
        <w:t>C</w:t>
      </w:r>
      <w:r w:rsidRPr="00200A9A">
        <w:rPr>
          <w:rFonts w:ascii="Times New Roman" w:hAnsi="Times New Roman"/>
          <w:color w:val="000000" w:themeColor="text1"/>
          <w:szCs w:val="22"/>
        </w:rPr>
        <w:t xml:space="preserve"> </w:t>
      </w:r>
      <w:r w:rsidR="00D155A5" w:rsidRPr="0085799C">
        <w:rPr>
          <w:rFonts w:ascii="Times New Roman" w:hAnsi="Times New Roman"/>
          <w:bCs/>
          <w:color w:val="000000" w:themeColor="text1"/>
          <w:szCs w:val="22"/>
        </w:rPr>
        <w:t>978</w:t>
      </w:r>
      <w:r w:rsidR="00FE0916" w:rsidRPr="00200A9A">
        <w:rPr>
          <w:rFonts w:ascii="Times New Roman" w:hAnsi="Times New Roman"/>
          <w:bCs/>
          <w:color w:val="000000" w:themeColor="text1"/>
          <w:szCs w:val="22"/>
        </w:rPr>
        <w:t> </w:t>
      </w:r>
      <w:r w:rsidR="00D155A5" w:rsidRPr="0085799C">
        <w:rPr>
          <w:rFonts w:ascii="Times New Roman" w:hAnsi="Times New Roman"/>
          <w:bCs/>
          <w:color w:val="000000" w:themeColor="text1"/>
          <w:szCs w:val="22"/>
        </w:rPr>
        <w:t>877</w:t>
      </w:r>
      <w:r w:rsidRPr="00200A9A">
        <w:rPr>
          <w:rFonts w:ascii="Times New Roman" w:hAnsi="Times New Roman"/>
          <w:color w:val="000000" w:themeColor="text1"/>
          <w:szCs w:val="22"/>
        </w:rPr>
        <w:t> tis. eur). Ostatné subjekty verejnej správy vykázali mzdové náklady vo výške</w:t>
      </w:r>
      <w:r w:rsidRPr="00200A9A">
        <w:rPr>
          <w:rFonts w:ascii="Times New Roman" w:hAnsi="Times New Roman"/>
          <w:color w:val="FF0000"/>
          <w:szCs w:val="22"/>
        </w:rPr>
        <w:t xml:space="preserve"> </w:t>
      </w:r>
      <w:r w:rsidR="00D155A5" w:rsidRPr="0085799C">
        <w:rPr>
          <w:rFonts w:ascii="Times New Roman" w:hAnsi="Times New Roman"/>
          <w:bCs/>
          <w:color w:val="000000" w:themeColor="text1"/>
          <w:szCs w:val="22"/>
        </w:rPr>
        <w:t>780</w:t>
      </w:r>
      <w:r w:rsidR="00FE0916" w:rsidRPr="00200A9A">
        <w:rPr>
          <w:rFonts w:ascii="Times New Roman" w:hAnsi="Times New Roman"/>
          <w:bCs/>
          <w:color w:val="000000" w:themeColor="text1"/>
          <w:szCs w:val="22"/>
        </w:rPr>
        <w:t> </w:t>
      </w:r>
      <w:r w:rsidR="00D155A5" w:rsidRPr="0085799C">
        <w:rPr>
          <w:rFonts w:ascii="Times New Roman" w:hAnsi="Times New Roman"/>
          <w:bCs/>
          <w:color w:val="000000" w:themeColor="text1"/>
          <w:szCs w:val="22"/>
        </w:rPr>
        <w:t>082</w:t>
      </w:r>
      <w:r w:rsidRPr="00200A9A">
        <w:rPr>
          <w:rFonts w:ascii="Times New Roman" w:hAnsi="Times New Roman"/>
          <w:color w:val="000000" w:themeColor="text1"/>
          <w:szCs w:val="22"/>
        </w:rPr>
        <w:t xml:space="preserve"> tis. eur. </w:t>
      </w:r>
      <w:r w:rsidR="009341E3" w:rsidRPr="00200A9A">
        <w:rPr>
          <w:rFonts w:ascii="Times New Roman" w:hAnsi="Times New Roman"/>
          <w:color w:val="000000" w:themeColor="text1"/>
          <w:szCs w:val="22"/>
          <w:lang w:eastAsia="sk-SK"/>
        </w:rPr>
        <w:t xml:space="preserve">Najvyššie hodnoty vykázala </w:t>
      </w:r>
      <w:r w:rsidR="009341E3" w:rsidRPr="0085799C">
        <w:rPr>
          <w:rFonts w:ascii="Times New Roman" w:hAnsi="Times New Roman"/>
          <w:u w:val="single"/>
        </w:rPr>
        <w:t>kapitola Ministerstva zdravotníctva SR</w:t>
      </w:r>
      <w:r w:rsidR="009341E3" w:rsidRPr="00200A9A">
        <w:rPr>
          <w:rFonts w:ascii="Times New Roman" w:hAnsi="Times New Roman"/>
          <w:color w:val="000000" w:themeColor="text1"/>
          <w:szCs w:val="22"/>
          <w:lang w:eastAsia="sk-SK"/>
        </w:rPr>
        <w:t xml:space="preserve"> vo výške 1</w:t>
      </w:r>
      <w:r w:rsidR="00FE0916" w:rsidRPr="00200A9A">
        <w:rPr>
          <w:rFonts w:ascii="Times New Roman" w:hAnsi="Times New Roman"/>
          <w:bCs/>
          <w:color w:val="000000" w:themeColor="text1"/>
          <w:szCs w:val="22"/>
        </w:rPr>
        <w:t> </w:t>
      </w:r>
      <w:r w:rsidR="009341E3" w:rsidRPr="00200A9A">
        <w:rPr>
          <w:rFonts w:ascii="Times New Roman" w:hAnsi="Times New Roman"/>
          <w:color w:val="000000" w:themeColor="text1"/>
          <w:szCs w:val="22"/>
          <w:lang w:eastAsia="sk-SK"/>
        </w:rPr>
        <w:t xml:space="preserve">237 976 tis. eur, </w:t>
      </w:r>
      <w:r w:rsidR="009341E3" w:rsidRPr="0085799C">
        <w:rPr>
          <w:rFonts w:ascii="Times New Roman" w:hAnsi="Times New Roman"/>
          <w:u w:val="single"/>
        </w:rPr>
        <w:t>Ministerstva vnútra SR</w:t>
      </w:r>
      <w:r w:rsidR="009341E3" w:rsidRPr="00200A9A">
        <w:rPr>
          <w:rFonts w:ascii="Times New Roman" w:hAnsi="Times New Roman"/>
          <w:color w:val="000000" w:themeColor="text1"/>
          <w:szCs w:val="22"/>
          <w:lang w:eastAsia="sk-SK"/>
        </w:rPr>
        <w:t xml:space="preserve"> vo výške 936 578 tis. eur, </w:t>
      </w:r>
      <w:r w:rsidR="009341E3" w:rsidRPr="0085799C">
        <w:rPr>
          <w:rFonts w:ascii="Times New Roman" w:hAnsi="Times New Roman"/>
          <w:u w:val="single"/>
        </w:rPr>
        <w:t>Ministerstva dopravy SR</w:t>
      </w:r>
      <w:r w:rsidR="009341E3" w:rsidRPr="00200A9A">
        <w:rPr>
          <w:rFonts w:ascii="Times New Roman" w:hAnsi="Times New Roman"/>
          <w:color w:val="000000" w:themeColor="text1"/>
          <w:szCs w:val="22"/>
          <w:lang w:eastAsia="sk-SK"/>
        </w:rPr>
        <w:t xml:space="preserve"> vo výške 750 405</w:t>
      </w:r>
      <w:r w:rsidR="00FE0916" w:rsidRPr="00200A9A">
        <w:rPr>
          <w:rFonts w:ascii="Times New Roman" w:hAnsi="Times New Roman"/>
          <w:bCs/>
          <w:color w:val="000000" w:themeColor="text1"/>
          <w:szCs w:val="22"/>
        </w:rPr>
        <w:t> </w:t>
      </w:r>
      <w:r w:rsidR="009341E3" w:rsidRPr="00200A9A">
        <w:rPr>
          <w:rFonts w:ascii="Times New Roman" w:hAnsi="Times New Roman"/>
          <w:color w:val="000000" w:themeColor="text1"/>
          <w:szCs w:val="22"/>
          <w:lang w:eastAsia="sk-SK"/>
        </w:rPr>
        <w:t xml:space="preserve">tis. eur a </w:t>
      </w:r>
      <w:r w:rsidR="009341E3" w:rsidRPr="0085799C">
        <w:rPr>
          <w:rFonts w:ascii="Times New Roman" w:hAnsi="Times New Roman"/>
          <w:u w:val="single"/>
        </w:rPr>
        <w:t xml:space="preserve">Ministerstva obrany SR </w:t>
      </w:r>
      <w:r w:rsidR="009341E3" w:rsidRPr="00200A9A">
        <w:rPr>
          <w:rFonts w:ascii="Times New Roman" w:hAnsi="Times New Roman"/>
          <w:color w:val="000000" w:themeColor="text1"/>
          <w:szCs w:val="22"/>
          <w:lang w:eastAsia="sk-SK"/>
        </w:rPr>
        <w:t>vo výške 719 706</w:t>
      </w:r>
      <w:r w:rsidR="00FE0916" w:rsidRPr="00200A9A">
        <w:rPr>
          <w:rFonts w:ascii="Times New Roman" w:hAnsi="Times New Roman"/>
          <w:bCs/>
          <w:color w:val="000000" w:themeColor="text1"/>
          <w:szCs w:val="22"/>
        </w:rPr>
        <w:t> </w:t>
      </w:r>
      <w:r w:rsidR="009341E3" w:rsidRPr="00200A9A">
        <w:rPr>
          <w:rFonts w:ascii="Times New Roman" w:hAnsi="Times New Roman"/>
          <w:color w:val="000000" w:themeColor="text1"/>
          <w:szCs w:val="22"/>
          <w:lang w:eastAsia="sk-SK"/>
        </w:rPr>
        <w:t xml:space="preserve">tis. eur. </w:t>
      </w:r>
    </w:p>
    <w:p w14:paraId="4D9192E2" w14:textId="3BD5CB7C" w:rsidR="009341E3" w:rsidRPr="00200A9A" w:rsidRDefault="009341E3" w:rsidP="00200A9A">
      <w:pPr>
        <w:spacing w:after="120" w:line="240" w:lineRule="auto"/>
        <w:jc w:val="both"/>
        <w:rPr>
          <w:rFonts w:ascii="Times New Roman" w:hAnsi="Times New Roman"/>
          <w:color w:val="000000" w:themeColor="text1"/>
          <w:szCs w:val="22"/>
          <w:lang w:eastAsia="sk-SK"/>
        </w:rPr>
      </w:pPr>
      <w:r w:rsidRPr="00200A9A">
        <w:rPr>
          <w:rFonts w:ascii="Times New Roman" w:hAnsi="Times New Roman"/>
          <w:color w:val="000000" w:themeColor="text1"/>
          <w:szCs w:val="22"/>
          <w:lang w:eastAsia="sk-SK"/>
        </w:rPr>
        <w:t>Výšku nákladov ovplyvňuje aj počet zamestnancov v organizáciách, pričom uvedené kapitoly patria ku kapitolám s najvyšším počtom zamestnancov. Najvyšší medziročný prírastok mzdových nákladov v sume 140 653 </w:t>
      </w:r>
      <w:r w:rsidR="008B572B" w:rsidRPr="00200A9A">
        <w:rPr>
          <w:rFonts w:ascii="Times New Roman" w:hAnsi="Times New Roman"/>
          <w:color w:val="000000" w:themeColor="text1"/>
          <w:szCs w:val="22"/>
          <w:lang w:eastAsia="sk-SK"/>
        </w:rPr>
        <w:t>tis.</w:t>
      </w:r>
      <w:r w:rsidRPr="00200A9A">
        <w:rPr>
          <w:rFonts w:ascii="Times New Roman" w:hAnsi="Times New Roman"/>
          <w:color w:val="000000" w:themeColor="text1"/>
          <w:szCs w:val="22"/>
          <w:lang w:eastAsia="sk-SK"/>
        </w:rPr>
        <w:t xml:space="preserve"> eur zaznamenala </w:t>
      </w:r>
      <w:r w:rsidRPr="0085799C">
        <w:rPr>
          <w:rFonts w:ascii="Times New Roman" w:hAnsi="Times New Roman"/>
          <w:u w:val="single"/>
        </w:rPr>
        <w:t>kapitola Ministerstva obrany SR,</w:t>
      </w:r>
      <w:r w:rsidRPr="00200A9A">
        <w:rPr>
          <w:rFonts w:ascii="Times New Roman" w:hAnsi="Times New Roman"/>
          <w:color w:val="000000" w:themeColor="text1"/>
          <w:szCs w:val="22"/>
          <w:lang w:eastAsia="sk-SK"/>
        </w:rPr>
        <w:t xml:space="preserve"> ktorý bol ovplyvnený najmä presunom Fakultnej nemocnice s poliklinikou J. A. </w:t>
      </w:r>
      <w:proofErr w:type="spellStart"/>
      <w:r w:rsidRPr="00200A9A">
        <w:rPr>
          <w:rFonts w:ascii="Times New Roman" w:hAnsi="Times New Roman"/>
          <w:color w:val="000000" w:themeColor="text1"/>
          <w:szCs w:val="22"/>
          <w:lang w:eastAsia="sk-SK"/>
        </w:rPr>
        <w:t>Reimana</w:t>
      </w:r>
      <w:proofErr w:type="spellEnd"/>
      <w:r w:rsidRPr="00200A9A">
        <w:rPr>
          <w:rFonts w:ascii="Times New Roman" w:hAnsi="Times New Roman"/>
          <w:color w:val="000000" w:themeColor="text1"/>
          <w:szCs w:val="22"/>
          <w:lang w:eastAsia="sk-SK"/>
        </w:rPr>
        <w:t xml:space="preserve"> Prešov z kapitoly Ministerstva zdravotníctva SR na kapitolu Ministerstvo obrany SR</w:t>
      </w:r>
      <w:r w:rsidR="00C21220">
        <w:rPr>
          <w:rFonts w:ascii="Times New Roman" w:hAnsi="Times New Roman"/>
          <w:color w:val="000000" w:themeColor="text1"/>
          <w:szCs w:val="22"/>
          <w:lang w:eastAsia="sk-SK"/>
        </w:rPr>
        <w:t>, ako aj z dôvodu plnenia úlohových listov ministra obrany</w:t>
      </w:r>
      <w:r w:rsidRPr="00200A9A">
        <w:rPr>
          <w:rFonts w:ascii="Times New Roman" w:hAnsi="Times New Roman"/>
          <w:color w:val="000000" w:themeColor="text1"/>
          <w:szCs w:val="22"/>
          <w:lang w:eastAsia="sk-SK"/>
        </w:rPr>
        <w:t>.</w:t>
      </w:r>
    </w:p>
    <w:p w14:paraId="64BCCA1B" w14:textId="271329F2" w:rsidR="009341E3" w:rsidRPr="00200A9A" w:rsidRDefault="009341E3" w:rsidP="00200A9A">
      <w:pPr>
        <w:spacing w:after="120" w:line="240" w:lineRule="auto"/>
        <w:jc w:val="both"/>
        <w:rPr>
          <w:rFonts w:ascii="Times New Roman" w:hAnsi="Times New Roman"/>
          <w:color w:val="000000" w:themeColor="text1"/>
          <w:szCs w:val="22"/>
          <w:lang w:eastAsia="sk-SK"/>
        </w:rPr>
      </w:pPr>
      <w:r w:rsidRPr="00200A9A">
        <w:rPr>
          <w:rFonts w:ascii="Times New Roman" w:hAnsi="Times New Roman"/>
          <w:color w:val="000000" w:themeColor="text1"/>
          <w:szCs w:val="22"/>
          <w:lang w:eastAsia="sk-SK"/>
        </w:rPr>
        <w:t xml:space="preserve">Najvyššie celkové mzdové náklady zaznamenala </w:t>
      </w:r>
      <w:r w:rsidRPr="0085799C">
        <w:rPr>
          <w:rFonts w:ascii="Times New Roman" w:hAnsi="Times New Roman"/>
          <w:u w:val="single"/>
        </w:rPr>
        <w:t>kapitola Ministerstva zdravotníctva SR</w:t>
      </w:r>
      <w:r w:rsidRPr="00200A9A">
        <w:rPr>
          <w:rFonts w:ascii="Times New Roman" w:hAnsi="Times New Roman"/>
          <w:b/>
          <w:i/>
          <w:color w:val="000000" w:themeColor="text1"/>
          <w:szCs w:val="22"/>
          <w:lang w:eastAsia="sk-SK"/>
        </w:rPr>
        <w:t xml:space="preserve"> </w:t>
      </w:r>
      <w:r w:rsidRPr="00200A9A">
        <w:rPr>
          <w:rFonts w:ascii="Times New Roman" w:hAnsi="Times New Roman"/>
          <w:color w:val="000000" w:themeColor="text1"/>
          <w:szCs w:val="22"/>
          <w:lang w:eastAsia="sk-SK"/>
        </w:rPr>
        <w:t>(1 237 976 </w:t>
      </w:r>
      <w:r w:rsidR="008B572B" w:rsidRPr="00200A9A">
        <w:rPr>
          <w:rFonts w:ascii="Times New Roman" w:hAnsi="Times New Roman"/>
          <w:color w:val="000000" w:themeColor="text1"/>
          <w:szCs w:val="22"/>
          <w:lang w:eastAsia="sk-SK"/>
        </w:rPr>
        <w:t>tis.</w:t>
      </w:r>
      <w:r w:rsidRPr="00200A9A">
        <w:rPr>
          <w:rFonts w:ascii="Times New Roman" w:hAnsi="Times New Roman"/>
          <w:color w:val="000000" w:themeColor="text1"/>
          <w:szCs w:val="22"/>
          <w:lang w:eastAsia="sk-SK"/>
        </w:rPr>
        <w:t> eur) s medziročným prírastkom 46</w:t>
      </w:r>
      <w:r w:rsidR="008B572B" w:rsidRPr="00200A9A">
        <w:rPr>
          <w:rFonts w:ascii="Times New Roman" w:hAnsi="Times New Roman"/>
          <w:color w:val="000000" w:themeColor="text1"/>
          <w:szCs w:val="22"/>
          <w:lang w:eastAsia="sk-SK"/>
        </w:rPr>
        <w:t> </w:t>
      </w:r>
      <w:r w:rsidRPr="00200A9A">
        <w:rPr>
          <w:rFonts w:ascii="Times New Roman" w:hAnsi="Times New Roman"/>
          <w:color w:val="000000" w:themeColor="text1"/>
          <w:szCs w:val="22"/>
          <w:lang w:eastAsia="sk-SK"/>
        </w:rPr>
        <w:t>5</w:t>
      </w:r>
      <w:r w:rsidR="008B572B" w:rsidRPr="00200A9A">
        <w:rPr>
          <w:rFonts w:ascii="Times New Roman" w:hAnsi="Times New Roman"/>
          <w:color w:val="000000" w:themeColor="text1"/>
          <w:szCs w:val="22"/>
          <w:lang w:eastAsia="sk-SK"/>
        </w:rPr>
        <w:t>70</w:t>
      </w:r>
      <w:r w:rsidR="00FE0916" w:rsidRPr="00200A9A">
        <w:rPr>
          <w:rFonts w:ascii="Times New Roman" w:hAnsi="Times New Roman"/>
          <w:bCs/>
          <w:color w:val="000000" w:themeColor="text1"/>
          <w:szCs w:val="22"/>
        </w:rPr>
        <w:t> </w:t>
      </w:r>
      <w:r w:rsidR="008B572B" w:rsidRPr="00200A9A">
        <w:rPr>
          <w:rFonts w:ascii="Times New Roman" w:hAnsi="Times New Roman"/>
          <w:color w:val="000000" w:themeColor="text1"/>
          <w:szCs w:val="22"/>
          <w:lang w:eastAsia="sk-SK"/>
        </w:rPr>
        <w:t>tis.</w:t>
      </w:r>
      <w:r w:rsidR="00FE0916" w:rsidRPr="00200A9A">
        <w:rPr>
          <w:rFonts w:ascii="Times New Roman" w:hAnsi="Times New Roman"/>
          <w:bCs/>
          <w:color w:val="000000" w:themeColor="text1"/>
          <w:szCs w:val="22"/>
        </w:rPr>
        <w:t> </w:t>
      </w:r>
      <w:r w:rsidRPr="00200A9A">
        <w:rPr>
          <w:rFonts w:ascii="Times New Roman" w:hAnsi="Times New Roman"/>
          <w:color w:val="000000" w:themeColor="text1"/>
          <w:szCs w:val="22"/>
          <w:lang w:eastAsia="sk-SK"/>
        </w:rPr>
        <w:t>eur. Najvyšší (nominálny aj percentuálny) nárast mzdových nákladov bol v </w:t>
      </w:r>
      <w:r w:rsidRPr="00200A9A">
        <w:rPr>
          <w:rFonts w:ascii="Times New Roman" w:hAnsi="Times New Roman"/>
          <w:bCs/>
          <w:color w:val="000000" w:themeColor="text1"/>
          <w:szCs w:val="22"/>
          <w:lang w:eastAsia="sk-SK"/>
        </w:rPr>
        <w:t>kategórii lekár</w:t>
      </w:r>
      <w:r w:rsidRPr="00200A9A">
        <w:rPr>
          <w:rFonts w:ascii="Times New Roman" w:hAnsi="Times New Roman"/>
          <w:color w:val="000000" w:themeColor="text1"/>
          <w:szCs w:val="22"/>
          <w:lang w:eastAsia="sk-SK"/>
        </w:rPr>
        <w:t>. Naopak, mierny pokles bol v kategórii ošetrovateľský personál (najmä praktické sestry, zdravotnícki asistenti) a ostatný zdravotnícky personál. Nárast miezd bol ovplyvnený najmä valorizáciou miezd a zvýšením počtu pracovníkov.</w:t>
      </w:r>
    </w:p>
    <w:p w14:paraId="2C37E1BA" w14:textId="06DC9E3A" w:rsidR="00D23B71" w:rsidRPr="00200A9A" w:rsidRDefault="00D23B71" w:rsidP="00200A9A">
      <w:pPr>
        <w:spacing w:after="120" w:line="240" w:lineRule="auto"/>
        <w:jc w:val="both"/>
        <w:rPr>
          <w:rFonts w:ascii="Times New Roman" w:hAnsi="Times New Roman"/>
          <w:color w:val="000000" w:themeColor="text1"/>
          <w:szCs w:val="22"/>
          <w:lang w:eastAsia="sk-SK"/>
        </w:rPr>
      </w:pPr>
      <w:r w:rsidRPr="0085799C">
        <w:rPr>
          <w:rFonts w:ascii="Times New Roman" w:hAnsi="Times New Roman"/>
          <w:u w:val="single"/>
        </w:rPr>
        <w:t>Kapitola Ministerstva vnútra SR</w:t>
      </w:r>
      <w:r w:rsidRPr="00200A9A">
        <w:rPr>
          <w:rFonts w:ascii="Times New Roman" w:hAnsi="Times New Roman"/>
          <w:b/>
          <w:i/>
          <w:color w:val="000000" w:themeColor="text1"/>
          <w:szCs w:val="22"/>
          <w:lang w:eastAsia="sk-SK"/>
        </w:rPr>
        <w:t xml:space="preserve"> </w:t>
      </w:r>
      <w:r w:rsidRPr="00200A9A">
        <w:rPr>
          <w:rFonts w:ascii="Times New Roman" w:hAnsi="Times New Roman"/>
          <w:color w:val="000000" w:themeColor="text1"/>
          <w:szCs w:val="22"/>
          <w:lang w:eastAsia="sk-SK"/>
        </w:rPr>
        <w:t xml:space="preserve">vykázala mzdové náklady v sume 933 256 tis. eur s medziročným zvýšením o 27 600 tis. eur. Dôvodom bola tá skutočnosť, že </w:t>
      </w:r>
      <w:r w:rsidRPr="00200A9A">
        <w:rPr>
          <w:rFonts w:ascii="Times New Roman" w:hAnsi="Times New Roman"/>
          <w:color w:val="000000" w:themeColor="text1"/>
          <w:szCs w:val="22"/>
        </w:rPr>
        <w:t>v roku 2023 bol prvých 8 mesiacov vyplácaný tarifný plat/funkčný plat v nižšej nominálnej hodnote ako za obdobie od 1.</w:t>
      </w:r>
      <w:r w:rsidR="00867606">
        <w:rPr>
          <w:rFonts w:ascii="Times New Roman" w:hAnsi="Times New Roman"/>
          <w:color w:val="000000" w:themeColor="text1"/>
          <w:szCs w:val="22"/>
        </w:rPr>
        <w:t xml:space="preserve"> </w:t>
      </w:r>
      <w:r w:rsidRPr="00200A9A">
        <w:rPr>
          <w:rFonts w:ascii="Times New Roman" w:hAnsi="Times New Roman"/>
          <w:color w:val="000000" w:themeColor="text1"/>
          <w:szCs w:val="22"/>
        </w:rPr>
        <w:t>9.</w:t>
      </w:r>
      <w:r w:rsidR="00867606">
        <w:rPr>
          <w:rFonts w:ascii="Times New Roman" w:hAnsi="Times New Roman"/>
          <w:color w:val="000000" w:themeColor="text1"/>
          <w:szCs w:val="22"/>
        </w:rPr>
        <w:t xml:space="preserve"> </w:t>
      </w:r>
      <w:r w:rsidRPr="00200A9A">
        <w:rPr>
          <w:rFonts w:ascii="Times New Roman" w:hAnsi="Times New Roman"/>
          <w:color w:val="000000" w:themeColor="text1"/>
          <w:szCs w:val="22"/>
        </w:rPr>
        <w:t>2023, kedy bola v zmysle platnej legislatívy valorizácia tarifných/funkčných platov o 10 % a ktoré boli vyplácané počas celého roka 2024.</w:t>
      </w:r>
      <w:r w:rsidRPr="00200A9A">
        <w:rPr>
          <w:rFonts w:ascii="Times New Roman" w:hAnsi="Times New Roman"/>
          <w:color w:val="000000" w:themeColor="text1"/>
          <w:szCs w:val="22"/>
          <w:lang w:eastAsia="sk-SK"/>
        </w:rPr>
        <w:t xml:space="preserve"> </w:t>
      </w:r>
      <w:r w:rsidRPr="00200A9A">
        <w:rPr>
          <w:rFonts w:ascii="Times New Roman" w:hAnsi="Times New Roman"/>
          <w:color w:val="000000" w:themeColor="text1"/>
          <w:szCs w:val="22"/>
        </w:rPr>
        <w:t>S uvedenou úpravou platov súvisel aj nárast ďalších zložiek platu, ktorých výška sa odvíja percentuálnou čiastkou z tarifného/funkčného platu (napr. prídavok za výsluhu rokov, príplatok za riadenie, príplatok za nadčas, príplatok zdravotníckym pracovníkom).</w:t>
      </w:r>
    </w:p>
    <w:p w14:paraId="650E7DDF" w14:textId="601110A8" w:rsidR="00647542" w:rsidRPr="0085799C" w:rsidRDefault="00D23B71" w:rsidP="00200A9A">
      <w:pPr>
        <w:tabs>
          <w:tab w:val="num" w:pos="0"/>
          <w:tab w:val="num" w:pos="426"/>
        </w:tabs>
        <w:spacing w:after="120" w:line="240" w:lineRule="auto"/>
        <w:jc w:val="both"/>
        <w:rPr>
          <w:rFonts w:ascii="Times New Roman" w:hAnsi="Times New Roman"/>
          <w:color w:val="000000" w:themeColor="text1"/>
          <w:highlight w:val="yellow"/>
        </w:rPr>
      </w:pPr>
      <w:bookmarkStart w:id="96" w:name="_Hlk212003798"/>
      <w:r w:rsidRPr="00200A9A">
        <w:rPr>
          <w:rFonts w:ascii="Times New Roman" w:hAnsi="Times New Roman"/>
          <w:color w:val="000000" w:themeColor="text1"/>
          <w:szCs w:val="22"/>
          <w:lang w:eastAsia="sk-SK"/>
        </w:rPr>
        <w:t>Z obchodných spoločností a štátnych podnikov sú najvýznamnejšie mzdové náklady železničných spoločností (455 150 tis. eur), v tom Železnice SR v sume 253 615</w:t>
      </w:r>
      <w:r w:rsidR="00FE0916" w:rsidRPr="00200A9A">
        <w:rPr>
          <w:rFonts w:ascii="Times New Roman" w:hAnsi="Times New Roman"/>
          <w:bCs/>
          <w:color w:val="000000" w:themeColor="text1"/>
          <w:szCs w:val="22"/>
        </w:rPr>
        <w:t> </w:t>
      </w:r>
      <w:r w:rsidRPr="00200A9A">
        <w:rPr>
          <w:rFonts w:ascii="Times New Roman" w:hAnsi="Times New Roman"/>
          <w:color w:val="000000" w:themeColor="text1"/>
          <w:szCs w:val="22"/>
          <w:lang w:eastAsia="sk-SK"/>
        </w:rPr>
        <w:t>tis. eur, Železničná spoločnosť Slovensko, a.s. v sume 127 831</w:t>
      </w:r>
      <w:r w:rsidR="00FE0916" w:rsidRPr="00200A9A">
        <w:rPr>
          <w:rFonts w:ascii="Times New Roman" w:hAnsi="Times New Roman"/>
          <w:bCs/>
          <w:color w:val="000000" w:themeColor="text1"/>
          <w:szCs w:val="22"/>
        </w:rPr>
        <w:t> </w:t>
      </w:r>
      <w:r w:rsidRPr="00200A9A">
        <w:rPr>
          <w:rFonts w:ascii="Times New Roman" w:hAnsi="Times New Roman"/>
          <w:color w:val="000000" w:themeColor="text1"/>
          <w:szCs w:val="22"/>
          <w:lang w:eastAsia="sk-SK"/>
        </w:rPr>
        <w:t>tis. eur a Železničná spoločnosť Cargo Slovakia, a.s v sume 73 705</w:t>
      </w:r>
      <w:r w:rsidR="00FE0916" w:rsidRPr="00200A9A">
        <w:rPr>
          <w:rFonts w:ascii="Times New Roman" w:hAnsi="Times New Roman"/>
          <w:bCs/>
          <w:color w:val="000000" w:themeColor="text1"/>
          <w:szCs w:val="22"/>
        </w:rPr>
        <w:t> </w:t>
      </w:r>
      <w:r w:rsidRPr="00200A9A">
        <w:rPr>
          <w:rFonts w:ascii="Times New Roman" w:hAnsi="Times New Roman"/>
          <w:color w:val="000000" w:themeColor="text1"/>
          <w:szCs w:val="22"/>
          <w:lang w:eastAsia="sk-SK"/>
        </w:rPr>
        <w:t>tis. eur.</w:t>
      </w:r>
      <w:bookmarkEnd w:id="96"/>
    </w:p>
    <w:p w14:paraId="77FFCFCA" w14:textId="37D95388" w:rsidR="00647542" w:rsidRPr="00200A9A" w:rsidRDefault="00647542" w:rsidP="00200A9A">
      <w:pPr>
        <w:spacing w:after="120" w:line="240" w:lineRule="auto"/>
        <w:jc w:val="both"/>
        <w:rPr>
          <w:rFonts w:ascii="Times New Roman" w:hAnsi="Times New Roman"/>
          <w:color w:val="000000" w:themeColor="text1"/>
          <w:szCs w:val="22"/>
        </w:rPr>
      </w:pPr>
      <w:r w:rsidRPr="00200A9A">
        <w:rPr>
          <w:rFonts w:ascii="Times New Roman" w:hAnsi="Times New Roman"/>
          <w:color w:val="000000" w:themeColor="text1"/>
          <w:szCs w:val="22"/>
        </w:rPr>
        <w:t>Zvyšovanie miezd pracovníkov vo verejnej správe sa dotklo aj územnej samosprávy. Obce a ich rozpočtové, príspevkové organizácie a obchodné spoločnosti dosiahli nárast miezd o</w:t>
      </w:r>
      <w:r w:rsidR="00663A03" w:rsidRPr="0085799C">
        <w:rPr>
          <w:rFonts w:ascii="Times New Roman" w:hAnsi="Times New Roman"/>
          <w:bCs/>
          <w:color w:val="000000" w:themeColor="text1"/>
          <w:szCs w:val="22"/>
        </w:rPr>
        <w:t> 256</w:t>
      </w:r>
      <w:r w:rsidR="00FE0916" w:rsidRPr="00200A9A">
        <w:rPr>
          <w:rFonts w:ascii="Times New Roman" w:hAnsi="Times New Roman"/>
          <w:bCs/>
          <w:color w:val="000000" w:themeColor="text1"/>
          <w:szCs w:val="22"/>
        </w:rPr>
        <w:t> </w:t>
      </w:r>
      <w:r w:rsidR="00663A03" w:rsidRPr="0085799C">
        <w:rPr>
          <w:rFonts w:ascii="Times New Roman" w:hAnsi="Times New Roman"/>
          <w:bCs/>
          <w:color w:val="000000" w:themeColor="text1"/>
          <w:szCs w:val="22"/>
        </w:rPr>
        <w:t>339</w:t>
      </w:r>
      <w:r w:rsidRPr="00200A9A">
        <w:rPr>
          <w:rFonts w:ascii="Times New Roman" w:hAnsi="Times New Roman"/>
          <w:color w:val="000000" w:themeColor="text1"/>
          <w:szCs w:val="22"/>
        </w:rPr>
        <w:t> tis. eur a</w:t>
      </w:r>
      <w:r w:rsidR="00FE0916" w:rsidRPr="00200A9A">
        <w:rPr>
          <w:rFonts w:ascii="Times New Roman" w:hAnsi="Times New Roman"/>
          <w:color w:val="000000" w:themeColor="text1"/>
          <w:szCs w:val="22"/>
        </w:rPr>
        <w:t xml:space="preserve"> </w:t>
      </w:r>
      <w:r w:rsidRPr="00200A9A">
        <w:rPr>
          <w:rFonts w:ascii="Times New Roman" w:hAnsi="Times New Roman"/>
          <w:color w:val="000000" w:themeColor="text1"/>
          <w:szCs w:val="22"/>
        </w:rPr>
        <w:t>boli na úrovni 2</w:t>
      </w:r>
      <w:r w:rsidR="00663A03" w:rsidRPr="0085799C">
        <w:rPr>
          <w:rFonts w:ascii="Times New Roman" w:hAnsi="Times New Roman"/>
          <w:bCs/>
          <w:color w:val="000000" w:themeColor="text1"/>
          <w:szCs w:val="22"/>
        </w:rPr>
        <w:t> 973</w:t>
      </w:r>
      <w:r w:rsidR="00FE0916" w:rsidRPr="00200A9A">
        <w:rPr>
          <w:rFonts w:ascii="Times New Roman" w:hAnsi="Times New Roman"/>
          <w:bCs/>
          <w:color w:val="000000" w:themeColor="text1"/>
          <w:szCs w:val="22"/>
        </w:rPr>
        <w:t> </w:t>
      </w:r>
      <w:r w:rsidR="00663A03" w:rsidRPr="0085799C">
        <w:rPr>
          <w:rFonts w:ascii="Times New Roman" w:hAnsi="Times New Roman"/>
          <w:bCs/>
          <w:color w:val="000000" w:themeColor="text1"/>
          <w:szCs w:val="22"/>
        </w:rPr>
        <w:t>296</w:t>
      </w:r>
      <w:r w:rsidRPr="00200A9A">
        <w:rPr>
          <w:rFonts w:ascii="Times New Roman" w:hAnsi="Times New Roman"/>
          <w:color w:val="000000" w:themeColor="text1"/>
          <w:szCs w:val="22"/>
        </w:rPr>
        <w:t> tis. eur.</w:t>
      </w:r>
    </w:p>
    <w:p w14:paraId="0451C0F5" w14:textId="77777777" w:rsidR="000243B3" w:rsidRPr="00200A9A" w:rsidRDefault="000243B3" w:rsidP="00200A9A">
      <w:pPr>
        <w:spacing w:after="120" w:line="240" w:lineRule="auto"/>
        <w:jc w:val="both"/>
        <w:rPr>
          <w:rFonts w:ascii="Times New Roman" w:hAnsi="Times New Roman"/>
          <w:color w:val="000000" w:themeColor="text1"/>
          <w:szCs w:val="22"/>
        </w:rPr>
      </w:pPr>
    </w:p>
    <w:p w14:paraId="26D8FAD0" w14:textId="172A32F2" w:rsidR="000243B3" w:rsidRDefault="00A648BA" w:rsidP="00A648BA">
      <w:pPr>
        <w:pStyle w:val="Nadpis4"/>
        <w:numPr>
          <w:ilvl w:val="0"/>
          <w:numId w:val="54"/>
        </w:numPr>
        <w:ind w:left="426" w:hanging="426"/>
      </w:pPr>
      <w:bookmarkStart w:id="97" w:name="_Zdravotné_a_sociálne"/>
      <w:bookmarkEnd w:id="97"/>
      <w:r>
        <w:t>Zdravotné a sociálne odvody</w:t>
      </w:r>
    </w:p>
    <w:p w14:paraId="6709A6CD" w14:textId="2861CCFA" w:rsidR="00A648BA" w:rsidRPr="00200A9A" w:rsidRDefault="00647542" w:rsidP="00200A9A">
      <w:pPr>
        <w:spacing w:after="120" w:line="240" w:lineRule="auto"/>
        <w:jc w:val="both"/>
        <w:rPr>
          <w:rFonts w:ascii="Times New Roman" w:hAnsi="Times New Roman"/>
          <w:color w:val="000000" w:themeColor="text1"/>
          <w:szCs w:val="22"/>
        </w:rPr>
      </w:pPr>
      <w:r w:rsidRPr="00200A9A">
        <w:rPr>
          <w:rFonts w:ascii="Times New Roman" w:hAnsi="Times New Roman"/>
          <w:color w:val="000000" w:themeColor="text1"/>
          <w:szCs w:val="22"/>
        </w:rPr>
        <w:t>Náklady zamestnávateľa na odvody do Sociálnej poisťovne a zdravotných poisťovní dosiahli 2 </w:t>
      </w:r>
      <w:r w:rsidR="007B5F6B" w:rsidRPr="0085799C">
        <w:rPr>
          <w:rFonts w:ascii="Times New Roman" w:hAnsi="Times New Roman"/>
          <w:bCs/>
          <w:color w:val="000000" w:themeColor="text1"/>
          <w:szCs w:val="22"/>
        </w:rPr>
        <w:t>971</w:t>
      </w:r>
      <w:r w:rsidR="001803F7" w:rsidRPr="00200A9A">
        <w:rPr>
          <w:rFonts w:ascii="Times New Roman" w:hAnsi="Times New Roman"/>
          <w:bCs/>
          <w:color w:val="000000" w:themeColor="text1"/>
          <w:szCs w:val="22"/>
        </w:rPr>
        <w:t> </w:t>
      </w:r>
      <w:r w:rsidR="007B5F6B" w:rsidRPr="0085799C">
        <w:rPr>
          <w:rFonts w:ascii="Times New Roman" w:hAnsi="Times New Roman"/>
          <w:bCs/>
          <w:color w:val="000000" w:themeColor="text1"/>
          <w:szCs w:val="22"/>
        </w:rPr>
        <w:t>918</w:t>
      </w:r>
      <w:r w:rsidR="001803F7" w:rsidRPr="00200A9A">
        <w:rPr>
          <w:rFonts w:ascii="Times New Roman" w:hAnsi="Times New Roman"/>
          <w:bCs/>
          <w:color w:val="000000" w:themeColor="text1"/>
          <w:szCs w:val="22"/>
        </w:rPr>
        <w:t> </w:t>
      </w:r>
      <w:r w:rsidRPr="00200A9A">
        <w:rPr>
          <w:rFonts w:ascii="Times New Roman" w:hAnsi="Times New Roman"/>
          <w:color w:val="000000" w:themeColor="text1"/>
          <w:szCs w:val="22"/>
        </w:rPr>
        <w:t>tis. eur (</w:t>
      </w:r>
      <w:r w:rsidRPr="00200A9A">
        <w:rPr>
          <w:rFonts w:ascii="Times New Roman" w:hAnsi="Times New Roman"/>
          <w:bCs/>
          <w:color w:val="000000" w:themeColor="text1"/>
          <w:szCs w:val="22"/>
        </w:rPr>
        <w:t>202</w:t>
      </w:r>
      <w:r w:rsidR="00517171" w:rsidRPr="0085799C">
        <w:rPr>
          <w:rFonts w:ascii="Times New Roman" w:hAnsi="Times New Roman"/>
          <w:bCs/>
          <w:color w:val="000000" w:themeColor="text1"/>
          <w:szCs w:val="22"/>
        </w:rPr>
        <w:t>3</w:t>
      </w:r>
      <w:r w:rsidRPr="00200A9A">
        <w:rPr>
          <w:rFonts w:ascii="Times New Roman" w:hAnsi="Times New Roman"/>
          <w:bCs/>
          <w:color w:val="000000" w:themeColor="text1"/>
          <w:szCs w:val="22"/>
        </w:rPr>
        <w:t xml:space="preserve">: </w:t>
      </w:r>
      <w:r w:rsidR="00517171" w:rsidRPr="0085799C">
        <w:rPr>
          <w:rFonts w:ascii="Times New Roman" w:hAnsi="Times New Roman"/>
          <w:bCs/>
          <w:color w:val="000000" w:themeColor="text1"/>
          <w:szCs w:val="22"/>
        </w:rPr>
        <w:t>2 700 537 </w:t>
      </w:r>
      <w:r w:rsidRPr="00200A9A">
        <w:rPr>
          <w:rFonts w:ascii="Times New Roman" w:hAnsi="Times New Roman"/>
          <w:color w:val="000000" w:themeColor="text1"/>
          <w:szCs w:val="22"/>
        </w:rPr>
        <w:t xml:space="preserve">tis. eur). Na úrovni súhrnného celku boli eliminované vzájomné náklady na zdravotné poistenie uhrádzané štátnej zdravotnej poisťovni v sume </w:t>
      </w:r>
      <w:r w:rsidRPr="00200A9A">
        <w:rPr>
          <w:rFonts w:ascii="Times New Roman" w:hAnsi="Times New Roman"/>
          <w:bCs/>
          <w:color w:val="000000" w:themeColor="text1"/>
          <w:szCs w:val="22"/>
        </w:rPr>
        <w:t>2</w:t>
      </w:r>
      <w:r w:rsidR="00405D35" w:rsidRPr="0085799C">
        <w:rPr>
          <w:rFonts w:ascii="Times New Roman" w:hAnsi="Times New Roman"/>
          <w:bCs/>
          <w:color w:val="000000" w:themeColor="text1"/>
          <w:szCs w:val="22"/>
        </w:rPr>
        <w:t>86</w:t>
      </w:r>
      <w:r w:rsidR="001803F7" w:rsidRPr="00200A9A">
        <w:rPr>
          <w:rFonts w:ascii="Times New Roman" w:hAnsi="Times New Roman"/>
          <w:bCs/>
          <w:color w:val="000000" w:themeColor="text1"/>
          <w:szCs w:val="22"/>
        </w:rPr>
        <w:t> </w:t>
      </w:r>
      <w:r w:rsidR="00405D35" w:rsidRPr="0085799C">
        <w:rPr>
          <w:rFonts w:ascii="Times New Roman" w:hAnsi="Times New Roman"/>
          <w:bCs/>
          <w:color w:val="000000" w:themeColor="text1"/>
          <w:szCs w:val="22"/>
        </w:rPr>
        <w:t>687</w:t>
      </w:r>
      <w:r w:rsidRPr="00200A9A">
        <w:rPr>
          <w:rFonts w:ascii="Times New Roman" w:hAnsi="Times New Roman"/>
          <w:color w:val="000000" w:themeColor="text1"/>
          <w:szCs w:val="22"/>
        </w:rPr>
        <w:t> tis. eur. Vzhľadom na zložitosť eliminácie vzájomných vzťahov na úrovni súhrnného celku neboli eliminované náklady na sociálne odvody hradené Sociálnej poisťovni. Ústredná správa vykazuje náklady na zákonné sociálne poistenie 1</w:t>
      </w:r>
      <w:r w:rsidR="00505C0F" w:rsidRPr="00200A9A">
        <w:rPr>
          <w:rFonts w:ascii="Times New Roman" w:hAnsi="Times New Roman"/>
          <w:bCs/>
          <w:color w:val="000000" w:themeColor="text1"/>
          <w:szCs w:val="22"/>
        </w:rPr>
        <w:t> </w:t>
      </w:r>
      <w:r w:rsidR="00405D35" w:rsidRPr="0085799C">
        <w:rPr>
          <w:rFonts w:ascii="Times New Roman" w:hAnsi="Times New Roman"/>
          <w:bCs/>
          <w:color w:val="000000" w:themeColor="text1"/>
          <w:szCs w:val="22"/>
        </w:rPr>
        <w:t>579</w:t>
      </w:r>
      <w:r w:rsidR="00505C0F" w:rsidRPr="00200A9A">
        <w:rPr>
          <w:rFonts w:ascii="Times New Roman" w:hAnsi="Times New Roman"/>
          <w:bCs/>
          <w:color w:val="000000" w:themeColor="text1"/>
          <w:szCs w:val="22"/>
        </w:rPr>
        <w:t> </w:t>
      </w:r>
      <w:r w:rsidR="00405D35" w:rsidRPr="0085799C">
        <w:rPr>
          <w:rFonts w:ascii="Times New Roman" w:hAnsi="Times New Roman"/>
          <w:bCs/>
          <w:color w:val="000000" w:themeColor="text1"/>
          <w:szCs w:val="22"/>
        </w:rPr>
        <w:t>176</w:t>
      </w:r>
      <w:r w:rsidRPr="00200A9A">
        <w:rPr>
          <w:rFonts w:ascii="Times New Roman" w:hAnsi="Times New Roman"/>
          <w:bCs/>
          <w:color w:val="000000" w:themeColor="text1"/>
          <w:szCs w:val="22"/>
        </w:rPr>
        <w:t> ti</w:t>
      </w:r>
      <w:r w:rsidR="00405D35" w:rsidRPr="0085799C">
        <w:rPr>
          <w:rFonts w:ascii="Times New Roman" w:hAnsi="Times New Roman"/>
          <w:bCs/>
          <w:color w:val="000000" w:themeColor="text1"/>
          <w:szCs w:val="22"/>
        </w:rPr>
        <w:t xml:space="preserve">s. </w:t>
      </w:r>
      <w:r w:rsidRPr="00200A9A">
        <w:rPr>
          <w:rFonts w:ascii="Times New Roman" w:hAnsi="Times New Roman"/>
          <w:color w:val="000000" w:themeColor="text1"/>
          <w:szCs w:val="22"/>
        </w:rPr>
        <w:t>eur.</w:t>
      </w:r>
    </w:p>
    <w:p w14:paraId="5526E74A" w14:textId="77777777" w:rsidR="00A648BA" w:rsidRPr="00200A9A" w:rsidRDefault="00A648BA" w:rsidP="00200A9A">
      <w:pPr>
        <w:spacing w:after="120" w:line="240" w:lineRule="auto"/>
        <w:jc w:val="both"/>
        <w:rPr>
          <w:rFonts w:ascii="Times New Roman" w:hAnsi="Times New Roman"/>
          <w:color w:val="000000" w:themeColor="text1"/>
          <w:szCs w:val="22"/>
        </w:rPr>
      </w:pPr>
    </w:p>
    <w:p w14:paraId="6EDE8AE0" w14:textId="4408B817" w:rsidR="00A648BA" w:rsidRDefault="00A648BA" w:rsidP="0085799C">
      <w:pPr>
        <w:pStyle w:val="Nadpis4"/>
        <w:numPr>
          <w:ilvl w:val="0"/>
          <w:numId w:val="54"/>
        </w:numPr>
        <w:ind w:left="426" w:hanging="426"/>
      </w:pPr>
      <w:bookmarkStart w:id="98" w:name="_Ostatné_sociálne_náklady"/>
      <w:bookmarkEnd w:id="98"/>
      <w:r>
        <w:t>Ostatné sociálne náklady</w:t>
      </w:r>
    </w:p>
    <w:p w14:paraId="38ED9952" w14:textId="5B5E4CAC" w:rsidR="00A648BA" w:rsidRPr="00200A9A" w:rsidRDefault="00647542" w:rsidP="0085799C">
      <w:pPr>
        <w:spacing w:after="120" w:line="240" w:lineRule="auto"/>
        <w:jc w:val="both"/>
        <w:rPr>
          <w:rFonts w:ascii="Times New Roman" w:hAnsi="Times New Roman"/>
          <w:szCs w:val="22"/>
        </w:rPr>
      </w:pPr>
      <w:r w:rsidRPr="00200A9A">
        <w:rPr>
          <w:rFonts w:ascii="Times New Roman" w:hAnsi="Times New Roman"/>
          <w:bCs/>
          <w:color w:val="000000" w:themeColor="text1"/>
          <w:szCs w:val="22"/>
        </w:rPr>
        <w:t xml:space="preserve">Ostatné sociálne náklady v celkovej sume </w:t>
      </w:r>
      <w:r w:rsidR="00DE51B4" w:rsidRPr="0085799C">
        <w:rPr>
          <w:rFonts w:ascii="Times New Roman" w:hAnsi="Times New Roman"/>
          <w:bCs/>
          <w:color w:val="000000" w:themeColor="text1"/>
          <w:szCs w:val="22"/>
        </w:rPr>
        <w:t>868</w:t>
      </w:r>
      <w:r w:rsidR="00505C0F" w:rsidRPr="00200A9A">
        <w:rPr>
          <w:rFonts w:ascii="Times New Roman" w:hAnsi="Times New Roman"/>
          <w:bCs/>
          <w:color w:val="000000" w:themeColor="text1"/>
          <w:szCs w:val="22"/>
        </w:rPr>
        <w:t> </w:t>
      </w:r>
      <w:r w:rsidR="00DE51B4" w:rsidRPr="0085799C">
        <w:rPr>
          <w:rFonts w:ascii="Times New Roman" w:hAnsi="Times New Roman"/>
          <w:bCs/>
          <w:color w:val="000000" w:themeColor="text1"/>
          <w:szCs w:val="22"/>
        </w:rPr>
        <w:t>822</w:t>
      </w:r>
      <w:r w:rsidRPr="00200A9A">
        <w:rPr>
          <w:rFonts w:ascii="Times New Roman" w:hAnsi="Times New Roman"/>
          <w:bCs/>
          <w:color w:val="000000" w:themeColor="text1"/>
          <w:szCs w:val="22"/>
        </w:rPr>
        <w:t> tis. eur sú tvorené ostatným sociálnym poistením (</w:t>
      </w:r>
      <w:r w:rsidR="008319A5" w:rsidRPr="0085799C">
        <w:rPr>
          <w:rFonts w:ascii="Times New Roman" w:hAnsi="Times New Roman"/>
          <w:bCs/>
          <w:color w:val="000000" w:themeColor="text1"/>
          <w:szCs w:val="22"/>
        </w:rPr>
        <w:t>108 389</w:t>
      </w:r>
      <w:r w:rsidRPr="00200A9A">
        <w:rPr>
          <w:rFonts w:ascii="Times New Roman" w:hAnsi="Times New Roman"/>
          <w:bCs/>
          <w:color w:val="000000" w:themeColor="text1"/>
          <w:szCs w:val="22"/>
        </w:rPr>
        <w:t> tis. eur), zákonnými sociálnymi nákladmi (</w:t>
      </w:r>
      <w:r w:rsidR="008319A5" w:rsidRPr="0085799C">
        <w:rPr>
          <w:rFonts w:ascii="Times New Roman" w:hAnsi="Times New Roman"/>
          <w:bCs/>
          <w:color w:val="000000" w:themeColor="text1"/>
          <w:szCs w:val="22"/>
        </w:rPr>
        <w:t>740</w:t>
      </w:r>
      <w:r w:rsidR="00505C0F" w:rsidRPr="00200A9A">
        <w:rPr>
          <w:rFonts w:ascii="Times New Roman" w:hAnsi="Times New Roman"/>
          <w:bCs/>
          <w:color w:val="000000" w:themeColor="text1"/>
          <w:szCs w:val="22"/>
        </w:rPr>
        <w:t> </w:t>
      </w:r>
      <w:r w:rsidR="008319A5" w:rsidRPr="0085799C">
        <w:rPr>
          <w:rFonts w:ascii="Times New Roman" w:hAnsi="Times New Roman"/>
          <w:bCs/>
          <w:color w:val="000000" w:themeColor="text1"/>
          <w:szCs w:val="22"/>
        </w:rPr>
        <w:t>335</w:t>
      </w:r>
      <w:r w:rsidRPr="00200A9A">
        <w:rPr>
          <w:rFonts w:ascii="Times New Roman" w:hAnsi="Times New Roman"/>
          <w:bCs/>
          <w:color w:val="000000" w:themeColor="text1"/>
          <w:szCs w:val="22"/>
        </w:rPr>
        <w:t> tis. eur) a ostatnými sociálnymi nákladmi (</w:t>
      </w:r>
      <w:r w:rsidR="008319A5" w:rsidRPr="0085799C">
        <w:rPr>
          <w:rFonts w:ascii="Times New Roman" w:hAnsi="Times New Roman"/>
          <w:bCs/>
          <w:color w:val="000000" w:themeColor="text1"/>
          <w:szCs w:val="22"/>
        </w:rPr>
        <w:t>20</w:t>
      </w:r>
      <w:r w:rsidR="00D277DA">
        <w:rPr>
          <w:rFonts w:ascii="Times New Roman" w:hAnsi="Times New Roman"/>
          <w:bCs/>
          <w:color w:val="000000" w:themeColor="text1"/>
          <w:szCs w:val="22"/>
        </w:rPr>
        <w:t> </w:t>
      </w:r>
      <w:r w:rsidR="008319A5" w:rsidRPr="0085799C">
        <w:rPr>
          <w:rFonts w:ascii="Times New Roman" w:hAnsi="Times New Roman"/>
          <w:bCs/>
          <w:color w:val="000000" w:themeColor="text1"/>
          <w:szCs w:val="22"/>
        </w:rPr>
        <w:t>098</w:t>
      </w:r>
      <w:r w:rsidRPr="00200A9A">
        <w:rPr>
          <w:rFonts w:ascii="Times New Roman" w:hAnsi="Times New Roman"/>
          <w:bCs/>
          <w:color w:val="000000" w:themeColor="text1"/>
          <w:szCs w:val="22"/>
        </w:rPr>
        <w:t> tis. eur). Tieto sociálne náklady zaznamenali medziročný nárast o</w:t>
      </w:r>
      <w:r w:rsidR="008319A5" w:rsidRPr="0085799C">
        <w:rPr>
          <w:rFonts w:ascii="Times New Roman" w:hAnsi="Times New Roman"/>
          <w:bCs/>
          <w:color w:val="000000" w:themeColor="text1"/>
          <w:szCs w:val="22"/>
        </w:rPr>
        <w:t> 81</w:t>
      </w:r>
      <w:r w:rsidR="00505C0F" w:rsidRPr="00200A9A">
        <w:rPr>
          <w:rFonts w:ascii="Times New Roman" w:hAnsi="Times New Roman"/>
          <w:bCs/>
          <w:color w:val="000000" w:themeColor="text1"/>
          <w:szCs w:val="22"/>
        </w:rPr>
        <w:t> </w:t>
      </w:r>
      <w:r w:rsidR="00987B96" w:rsidRPr="0085799C">
        <w:rPr>
          <w:rFonts w:ascii="Times New Roman" w:hAnsi="Times New Roman"/>
          <w:bCs/>
          <w:color w:val="000000" w:themeColor="text1"/>
          <w:szCs w:val="22"/>
        </w:rPr>
        <w:t>705</w:t>
      </w:r>
      <w:r w:rsidRPr="00200A9A">
        <w:rPr>
          <w:rFonts w:ascii="Times New Roman" w:hAnsi="Times New Roman"/>
          <w:bCs/>
          <w:color w:val="000000" w:themeColor="text1"/>
          <w:szCs w:val="22"/>
        </w:rPr>
        <w:t> tis. eur.</w:t>
      </w:r>
    </w:p>
    <w:p w14:paraId="1D1C66FD" w14:textId="77777777" w:rsidR="00A648BA" w:rsidRPr="00200A9A" w:rsidRDefault="00A648BA" w:rsidP="00200A9A">
      <w:pPr>
        <w:spacing w:after="120" w:line="240" w:lineRule="auto"/>
        <w:jc w:val="both"/>
        <w:rPr>
          <w:rFonts w:ascii="Times New Roman" w:hAnsi="Times New Roman"/>
          <w:szCs w:val="22"/>
        </w:rPr>
      </w:pPr>
    </w:p>
    <w:p w14:paraId="3D1CBA49" w14:textId="7E8DA4F4" w:rsidR="00A648BA" w:rsidRDefault="00A648BA" w:rsidP="0085799C">
      <w:pPr>
        <w:pStyle w:val="Nadpis3"/>
        <w:numPr>
          <w:ilvl w:val="0"/>
          <w:numId w:val="10"/>
        </w:numPr>
        <w:ind w:left="709"/>
      </w:pPr>
      <w:r>
        <w:lastRenderedPageBreak/>
        <w:t>Odpisy</w:t>
      </w:r>
      <w:r w:rsidR="00647542">
        <w:t>, rezervy a opravné položky</w:t>
      </w:r>
    </w:p>
    <w:p w14:paraId="2297772F" w14:textId="620D0D8D" w:rsidR="00A648BA" w:rsidRPr="00200A9A" w:rsidRDefault="00647542" w:rsidP="00200A9A">
      <w:pPr>
        <w:spacing w:after="120" w:line="240" w:lineRule="auto"/>
        <w:jc w:val="both"/>
        <w:rPr>
          <w:rFonts w:ascii="Times New Roman" w:hAnsi="Times New Roman"/>
          <w:color w:val="000000" w:themeColor="text1"/>
          <w:szCs w:val="22"/>
        </w:rPr>
      </w:pPr>
      <w:r w:rsidRPr="00200A9A">
        <w:rPr>
          <w:rFonts w:ascii="Times New Roman" w:hAnsi="Times New Roman"/>
          <w:color w:val="000000" w:themeColor="text1"/>
          <w:szCs w:val="22"/>
        </w:rPr>
        <w:t>Náklady na odpisy, tvorbu rezerv a opravných položiek dosiahli spolu sumu 4</w:t>
      </w:r>
      <w:r w:rsidR="004E78A5" w:rsidRPr="0085799C">
        <w:rPr>
          <w:rFonts w:ascii="Times New Roman" w:hAnsi="Times New Roman"/>
          <w:bCs/>
          <w:color w:val="000000" w:themeColor="text1"/>
          <w:szCs w:val="22"/>
        </w:rPr>
        <w:t> </w:t>
      </w:r>
      <w:r w:rsidR="009E660C">
        <w:rPr>
          <w:rFonts w:ascii="Times New Roman" w:hAnsi="Times New Roman"/>
          <w:bCs/>
          <w:color w:val="000000" w:themeColor="text1"/>
          <w:szCs w:val="22"/>
        </w:rPr>
        <w:t>650 070 </w:t>
      </w:r>
      <w:r w:rsidRPr="00200A9A">
        <w:rPr>
          <w:rFonts w:ascii="Times New Roman" w:hAnsi="Times New Roman"/>
          <w:color w:val="000000" w:themeColor="text1"/>
          <w:szCs w:val="22"/>
        </w:rPr>
        <w:t xml:space="preserve">tis. eur a medziročne sa </w:t>
      </w:r>
      <w:r w:rsidRPr="009E660C">
        <w:rPr>
          <w:rFonts w:ascii="Times New Roman" w:hAnsi="Times New Roman"/>
          <w:color w:val="000000" w:themeColor="text1"/>
          <w:szCs w:val="22"/>
        </w:rPr>
        <w:t>z</w:t>
      </w:r>
      <w:r w:rsidR="00094A6A" w:rsidRPr="0085799C">
        <w:rPr>
          <w:rFonts w:ascii="Times New Roman" w:hAnsi="Times New Roman"/>
          <w:bCs/>
          <w:color w:val="000000" w:themeColor="text1"/>
          <w:szCs w:val="22"/>
        </w:rPr>
        <w:t xml:space="preserve">nížili </w:t>
      </w:r>
      <w:r w:rsidR="00C27D47" w:rsidRPr="0085799C">
        <w:rPr>
          <w:rFonts w:ascii="Times New Roman" w:hAnsi="Times New Roman"/>
          <w:bCs/>
          <w:color w:val="000000" w:themeColor="text1"/>
          <w:szCs w:val="22"/>
        </w:rPr>
        <w:t>1</w:t>
      </w:r>
      <w:r w:rsidR="009E660C" w:rsidRPr="0085799C">
        <w:rPr>
          <w:rFonts w:ascii="Times New Roman" w:hAnsi="Times New Roman"/>
          <w:bCs/>
          <w:color w:val="000000" w:themeColor="text1"/>
          <w:szCs w:val="22"/>
        </w:rPr>
        <w:t> 925 </w:t>
      </w:r>
      <w:r w:rsidRPr="009E660C">
        <w:rPr>
          <w:rFonts w:ascii="Times New Roman" w:hAnsi="Times New Roman"/>
          <w:color w:val="000000" w:themeColor="text1"/>
          <w:szCs w:val="22"/>
        </w:rPr>
        <w:t>tis.</w:t>
      </w:r>
      <w:r w:rsidR="009E660C" w:rsidRPr="0085799C">
        <w:rPr>
          <w:rFonts w:ascii="Times New Roman" w:hAnsi="Times New Roman"/>
          <w:color w:val="000000" w:themeColor="text1"/>
          <w:szCs w:val="22"/>
        </w:rPr>
        <w:t> </w:t>
      </w:r>
      <w:r w:rsidRPr="009E660C">
        <w:rPr>
          <w:rFonts w:ascii="Times New Roman" w:hAnsi="Times New Roman"/>
          <w:color w:val="000000" w:themeColor="text1"/>
          <w:szCs w:val="22"/>
        </w:rPr>
        <w:t>eur. Toto</w:t>
      </w:r>
      <w:r w:rsidRPr="00200A9A">
        <w:rPr>
          <w:rFonts w:ascii="Times New Roman" w:hAnsi="Times New Roman"/>
          <w:color w:val="000000" w:themeColor="text1"/>
          <w:szCs w:val="22"/>
        </w:rPr>
        <w:t xml:space="preserve"> </w:t>
      </w:r>
      <w:r w:rsidRPr="00200A9A">
        <w:rPr>
          <w:rFonts w:ascii="Times New Roman" w:hAnsi="Times New Roman"/>
          <w:bCs/>
          <w:color w:val="000000" w:themeColor="text1"/>
          <w:szCs w:val="22"/>
        </w:rPr>
        <w:t>z</w:t>
      </w:r>
      <w:r w:rsidR="00BF222F" w:rsidRPr="0085799C">
        <w:rPr>
          <w:rFonts w:ascii="Times New Roman" w:hAnsi="Times New Roman"/>
          <w:bCs/>
          <w:color w:val="000000" w:themeColor="text1"/>
          <w:szCs w:val="22"/>
        </w:rPr>
        <w:t>níž</w:t>
      </w:r>
      <w:r w:rsidRPr="00200A9A">
        <w:rPr>
          <w:rFonts w:ascii="Times New Roman" w:hAnsi="Times New Roman"/>
          <w:bCs/>
          <w:color w:val="000000" w:themeColor="text1"/>
          <w:szCs w:val="22"/>
        </w:rPr>
        <w:t>enie</w:t>
      </w:r>
      <w:r w:rsidRPr="00200A9A">
        <w:rPr>
          <w:rFonts w:ascii="Times New Roman" w:hAnsi="Times New Roman"/>
          <w:color w:val="000000" w:themeColor="text1"/>
          <w:szCs w:val="22"/>
        </w:rPr>
        <w:t xml:space="preserve"> je z dôvodu </w:t>
      </w:r>
      <w:r w:rsidR="00BF222F" w:rsidRPr="0085799C">
        <w:rPr>
          <w:rFonts w:ascii="Times New Roman" w:hAnsi="Times New Roman"/>
          <w:bCs/>
          <w:color w:val="000000" w:themeColor="text1"/>
          <w:szCs w:val="22"/>
        </w:rPr>
        <w:t>niž</w:t>
      </w:r>
      <w:r w:rsidRPr="00200A9A">
        <w:rPr>
          <w:rFonts w:ascii="Times New Roman" w:hAnsi="Times New Roman"/>
          <w:color w:val="000000" w:themeColor="text1"/>
          <w:szCs w:val="22"/>
        </w:rPr>
        <w:t>šej tvorby rezerv</w:t>
      </w:r>
      <w:r w:rsidR="00200A9A">
        <w:rPr>
          <w:rFonts w:ascii="Times New Roman" w:hAnsi="Times New Roman"/>
          <w:color w:val="000000" w:themeColor="text1"/>
          <w:szCs w:val="22"/>
        </w:rPr>
        <w:t xml:space="preserve"> </w:t>
      </w:r>
      <w:r w:rsidRPr="00200A9A">
        <w:rPr>
          <w:rFonts w:ascii="Times New Roman" w:hAnsi="Times New Roman"/>
          <w:color w:val="000000" w:themeColor="text1"/>
          <w:szCs w:val="22"/>
        </w:rPr>
        <w:t>o</w:t>
      </w:r>
      <w:r w:rsidR="00200A9A">
        <w:rPr>
          <w:rFonts w:ascii="Times New Roman" w:hAnsi="Times New Roman"/>
          <w:color w:val="000000" w:themeColor="text1"/>
          <w:szCs w:val="22"/>
        </w:rPr>
        <w:t> </w:t>
      </w:r>
      <w:r w:rsidR="00BF222F" w:rsidRPr="0085799C">
        <w:rPr>
          <w:rFonts w:ascii="Times New Roman" w:hAnsi="Times New Roman"/>
          <w:bCs/>
          <w:color w:val="000000" w:themeColor="text1"/>
          <w:szCs w:val="22"/>
        </w:rPr>
        <w:t>99</w:t>
      </w:r>
      <w:r w:rsidR="00200A9A">
        <w:rPr>
          <w:rFonts w:ascii="Times New Roman" w:hAnsi="Times New Roman"/>
          <w:bCs/>
          <w:color w:val="000000" w:themeColor="text1"/>
          <w:szCs w:val="22"/>
        </w:rPr>
        <w:t> </w:t>
      </w:r>
      <w:r w:rsidR="00BF222F" w:rsidRPr="0085799C">
        <w:rPr>
          <w:rFonts w:ascii="Times New Roman" w:hAnsi="Times New Roman"/>
          <w:bCs/>
          <w:color w:val="000000" w:themeColor="text1"/>
          <w:szCs w:val="22"/>
        </w:rPr>
        <w:t>592</w:t>
      </w:r>
      <w:r w:rsidRPr="00200A9A">
        <w:rPr>
          <w:rFonts w:ascii="Times New Roman" w:hAnsi="Times New Roman"/>
          <w:color w:val="000000" w:themeColor="text1"/>
          <w:szCs w:val="22"/>
        </w:rPr>
        <w:t> tis. eur,</w:t>
      </w:r>
      <w:r w:rsidR="00200A9A">
        <w:rPr>
          <w:rFonts w:ascii="Times New Roman" w:hAnsi="Times New Roman"/>
          <w:color w:val="000000" w:themeColor="text1"/>
          <w:szCs w:val="22"/>
        </w:rPr>
        <w:t xml:space="preserve"> </w:t>
      </w:r>
      <w:r w:rsidR="00F26FAF" w:rsidRPr="0085799C">
        <w:rPr>
          <w:rFonts w:ascii="Times New Roman" w:hAnsi="Times New Roman"/>
          <w:bCs/>
          <w:color w:val="000000" w:themeColor="text1"/>
          <w:szCs w:val="22"/>
        </w:rPr>
        <w:t>ako aj nižšej tvorby opravných položiek o</w:t>
      </w:r>
      <w:r w:rsidR="0003665A" w:rsidRPr="0085799C">
        <w:rPr>
          <w:rFonts w:ascii="Times New Roman" w:hAnsi="Times New Roman"/>
          <w:bCs/>
          <w:color w:val="000000" w:themeColor="text1"/>
          <w:szCs w:val="22"/>
        </w:rPr>
        <w:t> 121 069</w:t>
      </w:r>
      <w:r w:rsidR="00200A9A">
        <w:rPr>
          <w:rFonts w:ascii="Times New Roman" w:hAnsi="Times New Roman"/>
          <w:bCs/>
          <w:color w:val="000000" w:themeColor="text1"/>
          <w:szCs w:val="22"/>
        </w:rPr>
        <w:t> </w:t>
      </w:r>
      <w:r w:rsidR="0003665A" w:rsidRPr="0085799C">
        <w:rPr>
          <w:rFonts w:ascii="Times New Roman" w:hAnsi="Times New Roman"/>
          <w:bCs/>
          <w:color w:val="000000" w:themeColor="text1"/>
          <w:szCs w:val="22"/>
        </w:rPr>
        <w:t>tis.</w:t>
      </w:r>
      <w:r w:rsidR="00200A9A">
        <w:rPr>
          <w:rFonts w:ascii="Times New Roman" w:hAnsi="Times New Roman"/>
          <w:bCs/>
          <w:color w:val="000000" w:themeColor="text1"/>
          <w:szCs w:val="22"/>
        </w:rPr>
        <w:t> </w:t>
      </w:r>
      <w:r w:rsidR="0003665A" w:rsidRPr="0085799C">
        <w:rPr>
          <w:rFonts w:ascii="Times New Roman" w:hAnsi="Times New Roman"/>
          <w:bCs/>
          <w:color w:val="000000" w:themeColor="text1"/>
          <w:szCs w:val="22"/>
        </w:rPr>
        <w:t>eur</w:t>
      </w:r>
      <w:r w:rsidRPr="00200A9A">
        <w:rPr>
          <w:rFonts w:ascii="Times New Roman" w:hAnsi="Times New Roman"/>
          <w:color w:val="000000" w:themeColor="text1"/>
          <w:szCs w:val="22"/>
        </w:rPr>
        <w:t>.</w:t>
      </w:r>
    </w:p>
    <w:p w14:paraId="26E449E5" w14:textId="77777777" w:rsidR="00A648BA" w:rsidRPr="00200A9A" w:rsidRDefault="00A648BA" w:rsidP="00200A9A">
      <w:pPr>
        <w:spacing w:after="120" w:line="240" w:lineRule="auto"/>
        <w:jc w:val="both"/>
        <w:rPr>
          <w:rFonts w:ascii="Times New Roman" w:hAnsi="Times New Roman"/>
          <w:color w:val="000000" w:themeColor="text1"/>
          <w:szCs w:val="22"/>
        </w:rPr>
      </w:pPr>
    </w:p>
    <w:p w14:paraId="0056F266" w14:textId="1DDA2C9E" w:rsidR="00A648BA" w:rsidRDefault="00A648BA" w:rsidP="0085799C">
      <w:pPr>
        <w:pStyle w:val="Nadpis4"/>
        <w:numPr>
          <w:ilvl w:val="0"/>
          <w:numId w:val="54"/>
        </w:numPr>
        <w:ind w:left="426" w:hanging="426"/>
      </w:pPr>
      <w:bookmarkStart w:id="99" w:name="_Odpisy_dlhodobého_majetku"/>
      <w:bookmarkEnd w:id="99"/>
      <w:r>
        <w:t>Odpisy dlhodobého majetku</w:t>
      </w:r>
    </w:p>
    <w:p w14:paraId="1C0A1BD6" w14:textId="5FFFA417" w:rsidR="00647542" w:rsidRPr="00200A9A" w:rsidRDefault="00647542" w:rsidP="00200A9A">
      <w:pPr>
        <w:spacing w:after="120" w:line="240" w:lineRule="auto"/>
        <w:jc w:val="both"/>
        <w:rPr>
          <w:rFonts w:ascii="Times New Roman" w:hAnsi="Times New Roman"/>
          <w:color w:val="000000" w:themeColor="text1"/>
          <w:szCs w:val="22"/>
        </w:rPr>
      </w:pPr>
      <w:r w:rsidRPr="00200A9A">
        <w:rPr>
          <w:rFonts w:ascii="Times New Roman" w:hAnsi="Times New Roman"/>
          <w:color w:val="000000" w:themeColor="text1"/>
          <w:szCs w:val="22"/>
          <w:u w:val="single"/>
        </w:rPr>
        <w:t>Odpisy dlhodobého majetku</w:t>
      </w:r>
      <w:r w:rsidRPr="00200A9A">
        <w:rPr>
          <w:rFonts w:ascii="Times New Roman" w:hAnsi="Times New Roman"/>
          <w:color w:val="000000" w:themeColor="text1"/>
          <w:szCs w:val="22"/>
        </w:rPr>
        <w:t xml:space="preserve"> dosiahli 2</w:t>
      </w:r>
      <w:r w:rsidR="00200A9A">
        <w:rPr>
          <w:rFonts w:ascii="Times New Roman" w:hAnsi="Times New Roman"/>
          <w:bCs/>
          <w:color w:val="000000" w:themeColor="text1"/>
          <w:szCs w:val="22"/>
        </w:rPr>
        <w:t> </w:t>
      </w:r>
      <w:r w:rsidR="0003665A" w:rsidRPr="0085799C">
        <w:rPr>
          <w:rFonts w:ascii="Times New Roman" w:hAnsi="Times New Roman"/>
          <w:bCs/>
          <w:color w:val="000000" w:themeColor="text1"/>
          <w:szCs w:val="22"/>
        </w:rPr>
        <w:t>428</w:t>
      </w:r>
      <w:r w:rsidR="00200A9A">
        <w:rPr>
          <w:rFonts w:ascii="Times New Roman" w:hAnsi="Times New Roman"/>
          <w:bCs/>
          <w:color w:val="000000" w:themeColor="text1"/>
          <w:szCs w:val="22"/>
        </w:rPr>
        <w:t> </w:t>
      </w:r>
      <w:r w:rsidR="0003665A" w:rsidRPr="0085799C">
        <w:rPr>
          <w:rFonts w:ascii="Times New Roman" w:hAnsi="Times New Roman"/>
          <w:bCs/>
          <w:color w:val="000000" w:themeColor="text1"/>
          <w:szCs w:val="22"/>
        </w:rPr>
        <w:t>004</w:t>
      </w:r>
      <w:r w:rsidRPr="00200A9A">
        <w:rPr>
          <w:rFonts w:ascii="Times New Roman" w:hAnsi="Times New Roman"/>
          <w:color w:val="000000" w:themeColor="text1"/>
          <w:szCs w:val="22"/>
        </w:rPr>
        <w:t> tis. eur a medziročne boli vyššie o</w:t>
      </w:r>
      <w:r w:rsidR="00200A9A">
        <w:rPr>
          <w:rFonts w:ascii="Times New Roman" w:hAnsi="Times New Roman"/>
          <w:color w:val="000000" w:themeColor="text1"/>
          <w:szCs w:val="22"/>
        </w:rPr>
        <w:t xml:space="preserve"> </w:t>
      </w:r>
      <w:r w:rsidR="0003665A" w:rsidRPr="0085799C">
        <w:rPr>
          <w:rFonts w:ascii="Times New Roman" w:hAnsi="Times New Roman"/>
          <w:bCs/>
          <w:color w:val="000000" w:themeColor="text1"/>
          <w:szCs w:val="22"/>
        </w:rPr>
        <w:t>222</w:t>
      </w:r>
      <w:r w:rsidR="00200A9A">
        <w:rPr>
          <w:rFonts w:ascii="Times New Roman" w:hAnsi="Times New Roman"/>
          <w:bCs/>
          <w:color w:val="000000" w:themeColor="text1"/>
          <w:szCs w:val="22"/>
        </w:rPr>
        <w:t> </w:t>
      </w:r>
      <w:r w:rsidR="0003665A" w:rsidRPr="0085799C">
        <w:rPr>
          <w:rFonts w:ascii="Times New Roman" w:hAnsi="Times New Roman"/>
          <w:bCs/>
          <w:color w:val="000000" w:themeColor="text1"/>
          <w:szCs w:val="22"/>
        </w:rPr>
        <w:t>224</w:t>
      </w:r>
      <w:r w:rsidRPr="00200A9A">
        <w:rPr>
          <w:rFonts w:ascii="Times New Roman" w:hAnsi="Times New Roman"/>
          <w:color w:val="000000" w:themeColor="text1"/>
          <w:szCs w:val="22"/>
        </w:rPr>
        <w:t> tis. eur. Rozhodujúci podiel na týchto nákladoch má ústredná správa (</w:t>
      </w:r>
      <w:r w:rsidR="0003665A" w:rsidRPr="0085799C">
        <w:rPr>
          <w:rFonts w:ascii="Times New Roman" w:hAnsi="Times New Roman"/>
          <w:bCs/>
          <w:color w:val="000000" w:themeColor="text1"/>
          <w:szCs w:val="22"/>
        </w:rPr>
        <w:t>1</w:t>
      </w:r>
      <w:r w:rsidR="00200A9A">
        <w:rPr>
          <w:rFonts w:ascii="Times New Roman" w:hAnsi="Times New Roman"/>
          <w:bCs/>
          <w:color w:val="000000" w:themeColor="text1"/>
          <w:szCs w:val="22"/>
        </w:rPr>
        <w:t> </w:t>
      </w:r>
      <w:r w:rsidR="0003665A" w:rsidRPr="0085799C">
        <w:rPr>
          <w:rFonts w:ascii="Times New Roman" w:hAnsi="Times New Roman"/>
          <w:bCs/>
          <w:color w:val="000000" w:themeColor="text1"/>
          <w:szCs w:val="22"/>
        </w:rPr>
        <w:t>440</w:t>
      </w:r>
      <w:r w:rsidR="00200A9A">
        <w:rPr>
          <w:rFonts w:ascii="Times New Roman" w:hAnsi="Times New Roman"/>
          <w:bCs/>
          <w:color w:val="000000" w:themeColor="text1"/>
          <w:szCs w:val="22"/>
        </w:rPr>
        <w:t> </w:t>
      </w:r>
      <w:r w:rsidR="0003665A" w:rsidRPr="0085799C">
        <w:rPr>
          <w:rFonts w:ascii="Times New Roman" w:hAnsi="Times New Roman"/>
          <w:bCs/>
          <w:color w:val="000000" w:themeColor="text1"/>
          <w:szCs w:val="22"/>
        </w:rPr>
        <w:t>272</w:t>
      </w:r>
      <w:r w:rsidRPr="00200A9A">
        <w:rPr>
          <w:rFonts w:ascii="Times New Roman" w:hAnsi="Times New Roman"/>
          <w:color w:val="000000" w:themeColor="text1"/>
          <w:szCs w:val="22"/>
        </w:rPr>
        <w:t> tis. eur), obce a ich organizácie (</w:t>
      </w:r>
      <w:r w:rsidR="00145AC1" w:rsidRPr="0085799C">
        <w:rPr>
          <w:rFonts w:ascii="Times New Roman" w:hAnsi="Times New Roman"/>
          <w:bCs/>
          <w:color w:val="000000" w:themeColor="text1"/>
          <w:szCs w:val="22"/>
        </w:rPr>
        <w:t>758</w:t>
      </w:r>
      <w:r w:rsidR="00200A9A">
        <w:rPr>
          <w:rFonts w:ascii="Times New Roman" w:hAnsi="Times New Roman"/>
          <w:bCs/>
          <w:color w:val="000000" w:themeColor="text1"/>
          <w:szCs w:val="22"/>
        </w:rPr>
        <w:t> </w:t>
      </w:r>
      <w:r w:rsidR="00145AC1" w:rsidRPr="0085799C">
        <w:rPr>
          <w:rFonts w:ascii="Times New Roman" w:hAnsi="Times New Roman"/>
          <w:bCs/>
          <w:color w:val="000000" w:themeColor="text1"/>
          <w:szCs w:val="22"/>
        </w:rPr>
        <w:t>459</w:t>
      </w:r>
      <w:r w:rsidRPr="00200A9A">
        <w:rPr>
          <w:rFonts w:ascii="Times New Roman" w:hAnsi="Times New Roman"/>
          <w:color w:val="000000" w:themeColor="text1"/>
          <w:szCs w:val="22"/>
        </w:rPr>
        <w:t> tis. eur), vyššie územné celky (</w:t>
      </w:r>
      <w:r w:rsidR="00145AC1" w:rsidRPr="0085799C">
        <w:rPr>
          <w:rFonts w:ascii="Times New Roman" w:hAnsi="Times New Roman"/>
          <w:bCs/>
          <w:color w:val="000000" w:themeColor="text1"/>
          <w:szCs w:val="22"/>
        </w:rPr>
        <w:t>142</w:t>
      </w:r>
      <w:r w:rsidR="00200A9A">
        <w:rPr>
          <w:rFonts w:ascii="Times New Roman" w:hAnsi="Times New Roman"/>
          <w:bCs/>
          <w:color w:val="000000" w:themeColor="text1"/>
          <w:szCs w:val="22"/>
        </w:rPr>
        <w:t> </w:t>
      </w:r>
      <w:r w:rsidR="00145AC1" w:rsidRPr="0085799C">
        <w:rPr>
          <w:rFonts w:ascii="Times New Roman" w:hAnsi="Times New Roman"/>
          <w:bCs/>
          <w:color w:val="000000" w:themeColor="text1"/>
          <w:szCs w:val="22"/>
        </w:rPr>
        <w:t>706</w:t>
      </w:r>
      <w:r w:rsidRPr="00200A9A">
        <w:rPr>
          <w:rFonts w:ascii="Times New Roman" w:hAnsi="Times New Roman"/>
          <w:color w:val="000000" w:themeColor="text1"/>
          <w:szCs w:val="22"/>
        </w:rPr>
        <w:t> tis. eur) a ostatné subjekty verejnej správy (</w:t>
      </w:r>
      <w:r w:rsidR="00145AC1" w:rsidRPr="0085799C">
        <w:rPr>
          <w:rFonts w:ascii="Times New Roman" w:hAnsi="Times New Roman"/>
          <w:bCs/>
          <w:color w:val="000000" w:themeColor="text1"/>
          <w:szCs w:val="22"/>
        </w:rPr>
        <w:t>86</w:t>
      </w:r>
      <w:r w:rsidR="00200A9A">
        <w:rPr>
          <w:rFonts w:ascii="Times New Roman" w:hAnsi="Times New Roman"/>
          <w:bCs/>
          <w:color w:val="000000" w:themeColor="text1"/>
          <w:szCs w:val="22"/>
        </w:rPr>
        <w:t> </w:t>
      </w:r>
      <w:r w:rsidR="00145AC1" w:rsidRPr="0085799C">
        <w:rPr>
          <w:rFonts w:ascii="Times New Roman" w:hAnsi="Times New Roman"/>
          <w:bCs/>
          <w:color w:val="000000" w:themeColor="text1"/>
          <w:szCs w:val="22"/>
        </w:rPr>
        <w:t>568</w:t>
      </w:r>
      <w:r w:rsidRPr="00200A9A">
        <w:rPr>
          <w:rFonts w:ascii="Times New Roman" w:hAnsi="Times New Roman"/>
          <w:color w:val="000000" w:themeColor="text1"/>
          <w:szCs w:val="22"/>
        </w:rPr>
        <w:t> tis. eur).</w:t>
      </w:r>
    </w:p>
    <w:p w14:paraId="5963B7F4" w14:textId="77777777" w:rsidR="00A648BA" w:rsidRPr="00200A9A" w:rsidRDefault="00A648BA" w:rsidP="00200A9A">
      <w:pPr>
        <w:spacing w:after="120" w:line="240" w:lineRule="auto"/>
        <w:jc w:val="both"/>
        <w:rPr>
          <w:rFonts w:ascii="Times New Roman" w:hAnsi="Times New Roman"/>
          <w:color w:val="000000" w:themeColor="text1"/>
          <w:szCs w:val="22"/>
        </w:rPr>
      </w:pPr>
    </w:p>
    <w:p w14:paraId="290A9FF7" w14:textId="4F5CA42E" w:rsidR="00A648BA" w:rsidRDefault="00A648BA" w:rsidP="0085799C">
      <w:pPr>
        <w:pStyle w:val="Nadpis4"/>
        <w:numPr>
          <w:ilvl w:val="0"/>
          <w:numId w:val="54"/>
        </w:numPr>
        <w:ind w:left="426" w:hanging="426"/>
      </w:pPr>
      <w:bookmarkStart w:id="100" w:name="_Rezervy_1"/>
      <w:bookmarkEnd w:id="100"/>
      <w:r>
        <w:t>Rezervy</w:t>
      </w:r>
    </w:p>
    <w:p w14:paraId="425A6D24" w14:textId="4F21E77F" w:rsidR="00647542" w:rsidRPr="00200A9A" w:rsidRDefault="00647542" w:rsidP="0085799C">
      <w:pPr>
        <w:pStyle w:val="Pismenka"/>
        <w:tabs>
          <w:tab w:val="clear" w:pos="426"/>
        </w:tabs>
        <w:spacing w:after="120"/>
        <w:ind w:left="0" w:firstLine="0"/>
        <w:rPr>
          <w:b w:val="0"/>
          <w:color w:val="000000" w:themeColor="text1"/>
          <w:sz w:val="22"/>
          <w:szCs w:val="22"/>
          <w:u w:val="single"/>
        </w:rPr>
      </w:pPr>
      <w:bookmarkStart w:id="101" w:name="_Ref86186633"/>
      <w:r w:rsidRPr="00200A9A">
        <w:rPr>
          <w:b w:val="0"/>
          <w:color w:val="000000" w:themeColor="text1"/>
          <w:sz w:val="22"/>
          <w:szCs w:val="22"/>
        </w:rPr>
        <w:t xml:space="preserve">Náklady na rezervy z prevádzkovej činnosti boli vykázané v celkovej sume </w:t>
      </w:r>
      <w:r w:rsidR="003B411E" w:rsidRPr="0085799C">
        <w:rPr>
          <w:b w:val="0"/>
          <w:color w:val="000000" w:themeColor="text1"/>
          <w:sz w:val="22"/>
          <w:szCs w:val="22"/>
        </w:rPr>
        <w:t>1</w:t>
      </w:r>
      <w:r w:rsidR="00200A9A" w:rsidRPr="00200A9A">
        <w:rPr>
          <w:b w:val="0"/>
          <w:color w:val="000000" w:themeColor="text1"/>
          <w:sz w:val="22"/>
          <w:szCs w:val="22"/>
        </w:rPr>
        <w:t> </w:t>
      </w:r>
      <w:r w:rsidR="003B411E" w:rsidRPr="0085799C">
        <w:rPr>
          <w:b w:val="0"/>
          <w:color w:val="000000" w:themeColor="text1"/>
          <w:sz w:val="22"/>
          <w:szCs w:val="22"/>
        </w:rPr>
        <w:t>031</w:t>
      </w:r>
      <w:r w:rsidR="00200A9A" w:rsidRPr="00200A9A">
        <w:rPr>
          <w:b w:val="0"/>
          <w:color w:val="000000" w:themeColor="text1"/>
          <w:sz w:val="22"/>
          <w:szCs w:val="22"/>
        </w:rPr>
        <w:t> </w:t>
      </w:r>
      <w:r w:rsidR="003B411E" w:rsidRPr="0085799C">
        <w:rPr>
          <w:b w:val="0"/>
          <w:color w:val="000000" w:themeColor="text1"/>
          <w:sz w:val="22"/>
          <w:szCs w:val="22"/>
        </w:rPr>
        <w:t>292</w:t>
      </w:r>
      <w:r w:rsidRPr="00200A9A">
        <w:rPr>
          <w:b w:val="0"/>
          <w:color w:val="000000" w:themeColor="text1"/>
          <w:sz w:val="22"/>
          <w:szCs w:val="22"/>
        </w:rPr>
        <w:t xml:space="preserve"> tis. eur, z toho zákonné rezervy </w:t>
      </w:r>
      <w:r w:rsidR="003B411E" w:rsidRPr="0085799C">
        <w:rPr>
          <w:b w:val="0"/>
          <w:color w:val="000000" w:themeColor="text1"/>
          <w:sz w:val="22"/>
          <w:szCs w:val="22"/>
        </w:rPr>
        <w:t>367 079</w:t>
      </w:r>
      <w:r w:rsidRPr="00200A9A">
        <w:rPr>
          <w:b w:val="0"/>
          <w:color w:val="000000" w:themeColor="text1"/>
          <w:sz w:val="22"/>
          <w:szCs w:val="22"/>
        </w:rPr>
        <w:t xml:space="preserve"> tis. eur a ostatné rezervy </w:t>
      </w:r>
      <w:r w:rsidR="003B411E" w:rsidRPr="0085799C">
        <w:rPr>
          <w:b w:val="0"/>
          <w:color w:val="000000" w:themeColor="text1"/>
          <w:sz w:val="22"/>
          <w:szCs w:val="22"/>
        </w:rPr>
        <w:t>664</w:t>
      </w:r>
      <w:r w:rsidR="00200A9A" w:rsidRPr="00200A9A">
        <w:rPr>
          <w:b w:val="0"/>
          <w:color w:val="000000" w:themeColor="text1"/>
          <w:sz w:val="22"/>
          <w:szCs w:val="22"/>
        </w:rPr>
        <w:t> </w:t>
      </w:r>
      <w:r w:rsidR="003B411E" w:rsidRPr="0085799C">
        <w:rPr>
          <w:b w:val="0"/>
          <w:color w:val="000000" w:themeColor="text1"/>
          <w:sz w:val="22"/>
          <w:szCs w:val="22"/>
        </w:rPr>
        <w:t>212</w:t>
      </w:r>
      <w:r w:rsidRPr="00200A9A">
        <w:rPr>
          <w:b w:val="0"/>
          <w:color w:val="000000" w:themeColor="text1"/>
          <w:sz w:val="22"/>
          <w:szCs w:val="22"/>
        </w:rPr>
        <w:t xml:space="preserve"> tis. eur pri medziročnom </w:t>
      </w:r>
      <w:r w:rsidR="001468D2" w:rsidRPr="0085799C">
        <w:rPr>
          <w:b w:val="0"/>
          <w:color w:val="000000" w:themeColor="text1"/>
          <w:sz w:val="22"/>
          <w:szCs w:val="22"/>
        </w:rPr>
        <w:t>poklese o 85</w:t>
      </w:r>
      <w:r w:rsidR="00200A9A" w:rsidRPr="00200A9A">
        <w:rPr>
          <w:b w:val="0"/>
          <w:color w:val="000000" w:themeColor="text1"/>
          <w:sz w:val="22"/>
          <w:szCs w:val="22"/>
        </w:rPr>
        <w:t> </w:t>
      </w:r>
      <w:r w:rsidR="001468D2" w:rsidRPr="0085799C">
        <w:rPr>
          <w:b w:val="0"/>
          <w:color w:val="000000" w:themeColor="text1"/>
          <w:sz w:val="22"/>
          <w:szCs w:val="22"/>
        </w:rPr>
        <w:t>314</w:t>
      </w:r>
      <w:r w:rsidRPr="00200A9A">
        <w:rPr>
          <w:b w:val="0"/>
          <w:color w:val="000000" w:themeColor="text1"/>
          <w:sz w:val="22"/>
          <w:szCs w:val="22"/>
        </w:rPr>
        <w:t> tis.</w:t>
      </w:r>
      <w:r w:rsidR="00200A9A" w:rsidRPr="00200A9A">
        <w:rPr>
          <w:b w:val="0"/>
          <w:color w:val="000000" w:themeColor="text1"/>
          <w:sz w:val="22"/>
          <w:szCs w:val="22"/>
        </w:rPr>
        <w:t xml:space="preserve">  </w:t>
      </w:r>
      <w:r w:rsidRPr="00200A9A">
        <w:rPr>
          <w:b w:val="0"/>
          <w:color w:val="000000" w:themeColor="text1"/>
          <w:sz w:val="22"/>
          <w:szCs w:val="22"/>
        </w:rPr>
        <w:t xml:space="preserve">eur. Ústredná správa z celkovej sumy rezerv tvorila čiastku </w:t>
      </w:r>
      <w:r w:rsidR="001468D2" w:rsidRPr="0085799C">
        <w:rPr>
          <w:b w:val="0"/>
          <w:color w:val="000000" w:themeColor="text1"/>
          <w:sz w:val="22"/>
          <w:szCs w:val="22"/>
        </w:rPr>
        <w:t>910</w:t>
      </w:r>
      <w:r w:rsidR="00200A9A" w:rsidRPr="00200A9A">
        <w:rPr>
          <w:b w:val="0"/>
          <w:color w:val="000000" w:themeColor="text1"/>
          <w:sz w:val="22"/>
          <w:szCs w:val="22"/>
        </w:rPr>
        <w:t> </w:t>
      </w:r>
      <w:r w:rsidR="001468D2" w:rsidRPr="0085799C">
        <w:rPr>
          <w:b w:val="0"/>
          <w:color w:val="000000" w:themeColor="text1"/>
          <w:sz w:val="22"/>
          <w:szCs w:val="22"/>
        </w:rPr>
        <w:t>765</w:t>
      </w:r>
      <w:r w:rsidRPr="00200A9A">
        <w:rPr>
          <w:b w:val="0"/>
          <w:color w:val="000000" w:themeColor="text1"/>
          <w:sz w:val="22"/>
          <w:szCs w:val="22"/>
        </w:rPr>
        <w:t> tis. eur (8</w:t>
      </w:r>
      <w:r w:rsidR="00B14B58" w:rsidRPr="0085799C">
        <w:rPr>
          <w:b w:val="0"/>
          <w:color w:val="000000" w:themeColor="text1"/>
          <w:sz w:val="22"/>
          <w:szCs w:val="22"/>
        </w:rPr>
        <w:t>8,3</w:t>
      </w:r>
      <w:r w:rsidRPr="00200A9A">
        <w:rPr>
          <w:b w:val="0"/>
          <w:color w:val="000000" w:themeColor="text1"/>
          <w:sz w:val="22"/>
          <w:szCs w:val="22"/>
        </w:rPr>
        <w:t xml:space="preserve"> %).</w:t>
      </w:r>
    </w:p>
    <w:p w14:paraId="5747BE57" w14:textId="5CD66BDE" w:rsidR="00E020C2" w:rsidRPr="005A4598" w:rsidRDefault="00E020C2" w:rsidP="00200A9A">
      <w:pPr>
        <w:spacing w:after="120" w:line="240" w:lineRule="auto"/>
        <w:jc w:val="both"/>
        <w:rPr>
          <w:rFonts w:ascii="Times New Roman" w:hAnsi="Times New Roman"/>
          <w:color w:val="000000" w:themeColor="text1"/>
          <w:lang w:eastAsia="sk-SK"/>
        </w:rPr>
      </w:pPr>
      <w:r>
        <w:rPr>
          <w:rFonts w:ascii="Times New Roman" w:hAnsi="Times New Roman"/>
          <w:color w:val="000000" w:themeColor="text1"/>
          <w:lang w:eastAsia="sk-SK"/>
        </w:rPr>
        <w:t>N</w:t>
      </w:r>
      <w:r w:rsidRPr="005A4598">
        <w:rPr>
          <w:rFonts w:ascii="Times New Roman" w:hAnsi="Times New Roman"/>
          <w:color w:val="000000" w:themeColor="text1"/>
          <w:lang w:eastAsia="sk-SK"/>
        </w:rPr>
        <w:t xml:space="preserve">ajvyššiu čiastku </w:t>
      </w:r>
      <w:r>
        <w:rPr>
          <w:rFonts w:ascii="Times New Roman" w:hAnsi="Times New Roman"/>
          <w:color w:val="000000" w:themeColor="text1"/>
          <w:lang w:eastAsia="sk-SK"/>
        </w:rPr>
        <w:t xml:space="preserve">v súvislosti s nákladmi na tvorbu zákonných rezerv z prevádzkovej činnosti </w:t>
      </w:r>
      <w:r w:rsidRPr="005A4598">
        <w:rPr>
          <w:rFonts w:ascii="Times New Roman" w:hAnsi="Times New Roman"/>
          <w:color w:val="000000" w:themeColor="text1"/>
          <w:lang w:eastAsia="sk-SK"/>
        </w:rPr>
        <w:t xml:space="preserve">vykázala </w:t>
      </w:r>
      <w:r w:rsidRPr="0085799C">
        <w:rPr>
          <w:rFonts w:ascii="Times New Roman" w:hAnsi="Times New Roman"/>
          <w:u w:val="single"/>
        </w:rPr>
        <w:t>Všeobecná zdravotná poisťovňa, a.s.</w:t>
      </w:r>
      <w:r w:rsidRPr="005A4598">
        <w:rPr>
          <w:rFonts w:ascii="Times New Roman" w:hAnsi="Times New Roman"/>
          <w:color w:val="000000" w:themeColor="text1"/>
          <w:lang w:eastAsia="sk-SK"/>
        </w:rPr>
        <w:t xml:space="preserve"> vo výške 285</w:t>
      </w:r>
      <w:r w:rsidR="00200A9A" w:rsidRPr="00200A9A">
        <w:rPr>
          <w:rFonts w:ascii="Times New Roman" w:hAnsi="Times New Roman"/>
          <w:bCs/>
          <w:color w:val="000000" w:themeColor="text1"/>
          <w:szCs w:val="22"/>
          <w:lang w:eastAsia="sk-SK"/>
        </w:rPr>
        <w:t> </w:t>
      </w:r>
      <w:r w:rsidRPr="005A4598">
        <w:rPr>
          <w:rFonts w:ascii="Times New Roman" w:hAnsi="Times New Roman"/>
          <w:color w:val="000000" w:themeColor="text1"/>
          <w:lang w:eastAsia="sk-SK"/>
        </w:rPr>
        <w:t>85</w:t>
      </w:r>
      <w:r>
        <w:rPr>
          <w:rFonts w:ascii="Times New Roman" w:hAnsi="Times New Roman"/>
          <w:color w:val="000000" w:themeColor="text1"/>
          <w:lang w:eastAsia="sk-SK"/>
        </w:rPr>
        <w:t>4</w:t>
      </w:r>
      <w:r w:rsidR="00200A9A" w:rsidRPr="0085799C">
        <w:rPr>
          <w:rFonts w:ascii="Times New Roman" w:hAnsi="Times New Roman"/>
          <w:b/>
          <w:color w:val="000000" w:themeColor="text1"/>
          <w:szCs w:val="22"/>
        </w:rPr>
        <w:t> </w:t>
      </w:r>
      <w:r>
        <w:rPr>
          <w:rFonts w:ascii="Times New Roman" w:hAnsi="Times New Roman"/>
          <w:color w:val="000000" w:themeColor="text1"/>
          <w:lang w:eastAsia="sk-SK"/>
        </w:rPr>
        <w:t>tis.</w:t>
      </w:r>
      <w:r w:rsidRPr="005A4598">
        <w:rPr>
          <w:rFonts w:ascii="Times New Roman" w:hAnsi="Times New Roman"/>
          <w:color w:val="000000" w:themeColor="text1"/>
          <w:lang w:eastAsia="sk-SK"/>
        </w:rPr>
        <w:t> eur.</w:t>
      </w:r>
      <w:r w:rsidRPr="005A4598">
        <w:rPr>
          <w:rFonts w:ascii="Times New Roman" w:hAnsi="Times New Roman"/>
          <w:color w:val="FF0000"/>
          <w:lang w:eastAsia="sk-SK"/>
        </w:rPr>
        <w:t xml:space="preserve"> </w:t>
      </w:r>
      <w:r w:rsidRPr="005A4598">
        <w:rPr>
          <w:rFonts w:ascii="Times New Roman" w:hAnsi="Times New Roman"/>
          <w:color w:val="000000" w:themeColor="text1"/>
          <w:lang w:eastAsia="sk-SK"/>
        </w:rPr>
        <w:t xml:space="preserve">Ide o technické rezervy na neuhradenú zdravotnú starostlivosť, technické rezervy na nedoručené doklady za poskytnutú zdravotnú starostlivosť a krátkodobé rezervy na mzdy a odvody za nevyčerpané dovolenky. </w:t>
      </w:r>
      <w:r w:rsidRPr="0085799C">
        <w:rPr>
          <w:rFonts w:ascii="Times New Roman" w:hAnsi="Times New Roman"/>
          <w:u w:val="single"/>
        </w:rPr>
        <w:t>L</w:t>
      </w:r>
      <w:r w:rsidR="00175C8F">
        <w:rPr>
          <w:rFonts w:ascii="Times New Roman" w:hAnsi="Times New Roman"/>
          <w:u w:val="single"/>
        </w:rPr>
        <w:t>ESY</w:t>
      </w:r>
      <w:r w:rsidRPr="0085799C">
        <w:rPr>
          <w:rFonts w:ascii="Times New Roman" w:hAnsi="Times New Roman"/>
          <w:u w:val="single"/>
        </w:rPr>
        <w:t xml:space="preserve"> Slovenskej republiky,</w:t>
      </w:r>
      <w:r w:rsidR="004026E9">
        <w:rPr>
          <w:rFonts w:ascii="Times New Roman" w:hAnsi="Times New Roman"/>
          <w:u w:val="single"/>
        </w:rPr>
        <w:t xml:space="preserve"> </w:t>
      </w:r>
      <w:r w:rsidRPr="0085799C">
        <w:rPr>
          <w:rFonts w:ascii="Times New Roman" w:hAnsi="Times New Roman"/>
          <w:u w:val="single"/>
        </w:rPr>
        <w:t>š</w:t>
      </w:r>
      <w:r w:rsidR="004026E9">
        <w:rPr>
          <w:rFonts w:ascii="Times New Roman" w:hAnsi="Times New Roman"/>
          <w:u w:val="single"/>
        </w:rPr>
        <w:t>tátny podnik</w:t>
      </w:r>
      <w:r w:rsidRPr="005A4598">
        <w:rPr>
          <w:rFonts w:ascii="Times New Roman" w:hAnsi="Times New Roman"/>
          <w:b/>
          <w:i/>
          <w:color w:val="000000" w:themeColor="text1"/>
          <w:lang w:eastAsia="sk-SK"/>
        </w:rPr>
        <w:t xml:space="preserve"> </w:t>
      </w:r>
      <w:r w:rsidRPr="005A4598">
        <w:rPr>
          <w:rFonts w:ascii="Times New Roman" w:hAnsi="Times New Roman"/>
          <w:color w:val="000000" w:themeColor="text1"/>
          <w:lang w:eastAsia="sk-SK"/>
        </w:rPr>
        <w:t>vykázali sumu 30 833 </w:t>
      </w:r>
      <w:r>
        <w:rPr>
          <w:rFonts w:ascii="Times New Roman" w:hAnsi="Times New Roman"/>
          <w:color w:val="000000" w:themeColor="text1"/>
          <w:lang w:eastAsia="sk-SK"/>
        </w:rPr>
        <w:t>tis.</w:t>
      </w:r>
      <w:r w:rsidRPr="005A4598">
        <w:rPr>
          <w:rFonts w:ascii="Times New Roman" w:hAnsi="Times New Roman"/>
          <w:color w:val="000000" w:themeColor="text1"/>
          <w:lang w:eastAsia="sk-SK"/>
        </w:rPr>
        <w:t> eur s medziročným nárastom o 10 222 </w:t>
      </w:r>
      <w:r>
        <w:rPr>
          <w:rFonts w:ascii="Times New Roman" w:hAnsi="Times New Roman"/>
          <w:color w:val="000000" w:themeColor="text1"/>
          <w:lang w:eastAsia="sk-SK"/>
        </w:rPr>
        <w:t>tis.</w:t>
      </w:r>
      <w:r w:rsidRPr="005A4598">
        <w:rPr>
          <w:rFonts w:ascii="Times New Roman" w:hAnsi="Times New Roman"/>
          <w:color w:val="000000" w:themeColor="text1"/>
          <w:lang w:eastAsia="sk-SK"/>
        </w:rPr>
        <w:t> eur,</w:t>
      </w:r>
      <w:r w:rsidRPr="005A4598">
        <w:rPr>
          <w:rFonts w:ascii="Times New Roman" w:hAnsi="Times New Roman"/>
          <w:color w:val="FF0000"/>
          <w:lang w:eastAsia="sk-SK"/>
        </w:rPr>
        <w:t xml:space="preserve"> </w:t>
      </w:r>
      <w:r w:rsidRPr="005A4598">
        <w:rPr>
          <w:rFonts w:ascii="Times New Roman" w:hAnsi="Times New Roman"/>
          <w:color w:val="000000" w:themeColor="text1"/>
          <w:lang w:eastAsia="sk-SK"/>
        </w:rPr>
        <w:t xml:space="preserve">z toho rezervy na </w:t>
      </w:r>
      <w:proofErr w:type="spellStart"/>
      <w:r w:rsidRPr="005A4598">
        <w:rPr>
          <w:rFonts w:ascii="Times New Roman" w:hAnsi="Times New Roman"/>
          <w:color w:val="000000" w:themeColor="text1"/>
          <w:lang w:eastAsia="sk-SK"/>
        </w:rPr>
        <w:t>pestovnú</w:t>
      </w:r>
      <w:proofErr w:type="spellEnd"/>
      <w:r w:rsidRPr="005A4598">
        <w:rPr>
          <w:rFonts w:ascii="Times New Roman" w:hAnsi="Times New Roman"/>
          <w:color w:val="000000" w:themeColor="text1"/>
          <w:lang w:eastAsia="sk-SK"/>
        </w:rPr>
        <w:t xml:space="preserve"> činnosť 27 044 </w:t>
      </w:r>
      <w:r>
        <w:rPr>
          <w:rFonts w:ascii="Times New Roman" w:hAnsi="Times New Roman"/>
          <w:color w:val="000000" w:themeColor="text1"/>
          <w:lang w:eastAsia="sk-SK"/>
        </w:rPr>
        <w:t>tis.</w:t>
      </w:r>
      <w:r w:rsidRPr="005A4598">
        <w:rPr>
          <w:rFonts w:ascii="Times New Roman" w:hAnsi="Times New Roman"/>
          <w:color w:val="000000" w:themeColor="text1"/>
          <w:lang w:eastAsia="sk-SK"/>
        </w:rPr>
        <w:t> eur a rezervy na nevyčerpané dovolenky 3 789 </w:t>
      </w:r>
      <w:r>
        <w:rPr>
          <w:rFonts w:ascii="Times New Roman" w:hAnsi="Times New Roman"/>
          <w:color w:val="000000" w:themeColor="text1"/>
          <w:lang w:eastAsia="sk-SK"/>
        </w:rPr>
        <w:t>tis.</w:t>
      </w:r>
      <w:r w:rsidRPr="005A4598">
        <w:rPr>
          <w:rFonts w:ascii="Times New Roman" w:hAnsi="Times New Roman"/>
          <w:color w:val="000000" w:themeColor="text1"/>
          <w:lang w:eastAsia="sk-SK"/>
        </w:rPr>
        <w:t xml:space="preserve"> eur. </w:t>
      </w:r>
      <w:r w:rsidRPr="005A4598">
        <w:rPr>
          <w:rFonts w:ascii="Times New Roman" w:hAnsi="Times New Roman"/>
        </w:rPr>
        <w:t xml:space="preserve">Nárast tvorby zákonných rezerv bol ovplyvnený nárastom rezervy na </w:t>
      </w:r>
      <w:proofErr w:type="spellStart"/>
      <w:r w:rsidRPr="005A4598">
        <w:rPr>
          <w:rFonts w:ascii="Times New Roman" w:hAnsi="Times New Roman"/>
        </w:rPr>
        <w:t>pestovnú</w:t>
      </w:r>
      <w:proofErr w:type="spellEnd"/>
      <w:r w:rsidRPr="005A4598">
        <w:rPr>
          <w:rFonts w:ascii="Times New Roman" w:hAnsi="Times New Roman"/>
        </w:rPr>
        <w:t xml:space="preserve"> činnosť </w:t>
      </w:r>
      <w:r w:rsidRPr="005A4598">
        <w:rPr>
          <w:rFonts w:ascii="Times New Roman" w:hAnsi="Times New Roman"/>
          <w:lang w:eastAsia="sk-SK"/>
        </w:rPr>
        <w:t xml:space="preserve">z dôvodu vysokého podielu kalamitných ťažieb na celkovej ťažbe a z dôvodu prekročeného plánovaného objemu ťažieb v roku 2024. V dôsledku kalamitných ťažieb sa predpokladajú zvýšené náklady na </w:t>
      </w:r>
      <w:proofErr w:type="spellStart"/>
      <w:r w:rsidRPr="005A4598">
        <w:rPr>
          <w:rFonts w:ascii="Times New Roman" w:hAnsi="Times New Roman"/>
          <w:lang w:eastAsia="sk-SK"/>
        </w:rPr>
        <w:t>pestovnú</w:t>
      </w:r>
      <w:proofErr w:type="spellEnd"/>
      <w:r w:rsidRPr="005A4598">
        <w:rPr>
          <w:rFonts w:ascii="Times New Roman" w:hAnsi="Times New Roman"/>
          <w:lang w:eastAsia="sk-SK"/>
        </w:rPr>
        <w:t xml:space="preserve"> činnosť aj v nasledujúcich  2 - 3 rokoch.</w:t>
      </w:r>
    </w:p>
    <w:p w14:paraId="13FEAFA5" w14:textId="46CD6470" w:rsidR="008C0C33" w:rsidRPr="005A4598" w:rsidRDefault="008C0C33" w:rsidP="00200A9A">
      <w:pPr>
        <w:spacing w:after="120" w:line="240" w:lineRule="auto"/>
        <w:jc w:val="both"/>
        <w:rPr>
          <w:rFonts w:ascii="Times New Roman" w:hAnsi="Times New Roman"/>
          <w:lang w:eastAsia="sk-SK"/>
        </w:rPr>
      </w:pPr>
      <w:r w:rsidRPr="005A4598">
        <w:rPr>
          <w:rFonts w:ascii="Times New Roman" w:hAnsi="Times New Roman"/>
          <w:color w:val="000000" w:themeColor="text1"/>
          <w:u w:val="single"/>
          <w:lang w:eastAsia="sk-SK"/>
        </w:rPr>
        <w:t>Tvorba ostatných rezerv z prevádzkovej činnosti</w:t>
      </w:r>
      <w:r w:rsidRPr="005A4598">
        <w:rPr>
          <w:rFonts w:ascii="Times New Roman" w:hAnsi="Times New Roman"/>
          <w:color w:val="000000" w:themeColor="text1"/>
          <w:lang w:eastAsia="sk-SK"/>
        </w:rPr>
        <w:t xml:space="preserve"> vykázala sumu 554</w:t>
      </w:r>
      <w:r w:rsidR="00200A9A">
        <w:rPr>
          <w:rFonts w:ascii="Times New Roman" w:hAnsi="Times New Roman"/>
          <w:bCs/>
          <w:color w:val="000000" w:themeColor="text1"/>
          <w:szCs w:val="22"/>
          <w:lang w:eastAsia="sk-SK"/>
        </w:rPr>
        <w:t> </w:t>
      </w:r>
      <w:r w:rsidRPr="005A4598">
        <w:rPr>
          <w:rFonts w:ascii="Times New Roman" w:hAnsi="Times New Roman"/>
          <w:color w:val="000000" w:themeColor="text1"/>
          <w:lang w:eastAsia="sk-SK"/>
        </w:rPr>
        <w:t>84</w:t>
      </w:r>
      <w:r>
        <w:rPr>
          <w:rFonts w:ascii="Times New Roman" w:hAnsi="Times New Roman"/>
          <w:color w:val="000000" w:themeColor="text1"/>
          <w:lang w:eastAsia="sk-SK"/>
        </w:rPr>
        <w:t>8</w:t>
      </w:r>
      <w:r w:rsidR="00200A9A" w:rsidRPr="00CB4D8B">
        <w:rPr>
          <w:rFonts w:ascii="Times New Roman" w:hAnsi="Times New Roman"/>
          <w:bCs/>
          <w:color w:val="000000" w:themeColor="text1"/>
          <w:szCs w:val="22"/>
          <w:lang w:eastAsia="sk-SK"/>
        </w:rPr>
        <w:t> </w:t>
      </w:r>
      <w:r>
        <w:rPr>
          <w:rFonts w:ascii="Times New Roman" w:hAnsi="Times New Roman"/>
          <w:color w:val="000000" w:themeColor="text1"/>
          <w:lang w:eastAsia="sk-SK"/>
        </w:rPr>
        <w:t>tis.</w:t>
      </w:r>
      <w:r w:rsidRPr="005A4598">
        <w:rPr>
          <w:rFonts w:ascii="Times New Roman" w:hAnsi="Times New Roman"/>
          <w:color w:val="000000" w:themeColor="text1"/>
          <w:lang w:eastAsia="sk-SK"/>
        </w:rPr>
        <w:t> eur, z toho najvýznamnejšiu hodnotu vykazovala </w:t>
      </w:r>
      <w:r w:rsidRPr="0085799C">
        <w:rPr>
          <w:rFonts w:ascii="Times New Roman" w:hAnsi="Times New Roman"/>
          <w:u w:val="single"/>
        </w:rPr>
        <w:t>kapitola Ministerstva dopravy SR</w:t>
      </w:r>
      <w:r w:rsidRPr="005A4598">
        <w:rPr>
          <w:rFonts w:ascii="Times New Roman" w:hAnsi="Times New Roman"/>
          <w:color w:val="000000" w:themeColor="text1"/>
          <w:lang w:eastAsia="sk-SK"/>
        </w:rPr>
        <w:t xml:space="preserve"> (169</w:t>
      </w:r>
      <w:r w:rsidR="00200A9A">
        <w:rPr>
          <w:rFonts w:ascii="Times New Roman" w:hAnsi="Times New Roman"/>
          <w:bCs/>
          <w:color w:val="000000" w:themeColor="text1"/>
          <w:szCs w:val="22"/>
          <w:lang w:eastAsia="sk-SK"/>
        </w:rPr>
        <w:t> </w:t>
      </w:r>
      <w:r w:rsidRPr="005A4598">
        <w:rPr>
          <w:rFonts w:ascii="Times New Roman" w:hAnsi="Times New Roman"/>
          <w:color w:val="000000" w:themeColor="text1"/>
          <w:lang w:eastAsia="sk-SK"/>
        </w:rPr>
        <w:t>2</w:t>
      </w:r>
      <w:r>
        <w:rPr>
          <w:rFonts w:ascii="Times New Roman" w:hAnsi="Times New Roman"/>
          <w:color w:val="000000" w:themeColor="text1"/>
          <w:lang w:eastAsia="sk-SK"/>
        </w:rPr>
        <w:t>20</w:t>
      </w:r>
      <w:r w:rsidR="00200A9A" w:rsidRPr="00CB4D8B">
        <w:rPr>
          <w:rFonts w:ascii="Times New Roman" w:hAnsi="Times New Roman"/>
          <w:bCs/>
          <w:color w:val="000000" w:themeColor="text1"/>
          <w:szCs w:val="22"/>
          <w:lang w:eastAsia="sk-SK"/>
        </w:rPr>
        <w:t> </w:t>
      </w:r>
      <w:r>
        <w:rPr>
          <w:rFonts w:ascii="Times New Roman" w:hAnsi="Times New Roman"/>
          <w:color w:val="000000" w:themeColor="text1"/>
          <w:lang w:eastAsia="sk-SK"/>
        </w:rPr>
        <w:t>tis.</w:t>
      </w:r>
      <w:r w:rsidRPr="005A4598">
        <w:rPr>
          <w:rFonts w:ascii="Times New Roman" w:hAnsi="Times New Roman"/>
          <w:color w:val="000000" w:themeColor="text1"/>
          <w:lang w:eastAsia="sk-SK"/>
        </w:rPr>
        <w:t xml:space="preserve"> eur). </w:t>
      </w:r>
      <w:r w:rsidRPr="0085799C">
        <w:rPr>
          <w:rFonts w:ascii="Times New Roman" w:hAnsi="Times New Roman"/>
          <w:u w:val="single"/>
        </w:rPr>
        <w:t>Ministerstvo dopravy SR</w:t>
      </w:r>
      <w:r w:rsidRPr="005A4598">
        <w:rPr>
          <w:rFonts w:ascii="Times New Roman" w:hAnsi="Times New Roman"/>
          <w:color w:val="000000" w:themeColor="text1"/>
          <w:lang w:eastAsia="sk-SK"/>
        </w:rPr>
        <w:t xml:space="preserve"> vytvorilo rezervu v sume 70</w:t>
      </w:r>
      <w:r w:rsidR="00200A9A">
        <w:rPr>
          <w:rFonts w:ascii="Times New Roman" w:hAnsi="Times New Roman"/>
          <w:bCs/>
          <w:color w:val="000000" w:themeColor="text1"/>
          <w:szCs w:val="22"/>
          <w:lang w:eastAsia="sk-SK"/>
        </w:rPr>
        <w:t> </w:t>
      </w:r>
      <w:r w:rsidRPr="005A4598">
        <w:rPr>
          <w:rFonts w:ascii="Times New Roman" w:hAnsi="Times New Roman"/>
          <w:color w:val="000000" w:themeColor="text1"/>
          <w:lang w:eastAsia="sk-SK"/>
        </w:rPr>
        <w:t>365</w:t>
      </w:r>
      <w:r w:rsidR="00200A9A" w:rsidRPr="00CB4D8B">
        <w:rPr>
          <w:rFonts w:ascii="Times New Roman" w:hAnsi="Times New Roman"/>
          <w:bCs/>
          <w:color w:val="000000" w:themeColor="text1"/>
          <w:szCs w:val="22"/>
          <w:lang w:eastAsia="sk-SK"/>
        </w:rPr>
        <w:t> </w:t>
      </w:r>
      <w:r>
        <w:rPr>
          <w:rFonts w:ascii="Times New Roman" w:hAnsi="Times New Roman"/>
          <w:color w:val="000000" w:themeColor="text1"/>
          <w:lang w:eastAsia="sk-SK"/>
        </w:rPr>
        <w:t xml:space="preserve">tis. </w:t>
      </w:r>
      <w:r w:rsidRPr="005A4598">
        <w:rPr>
          <w:rFonts w:ascii="Times New Roman" w:hAnsi="Times New Roman"/>
          <w:color w:val="000000" w:themeColor="text1"/>
          <w:lang w:eastAsia="sk-SK"/>
        </w:rPr>
        <w:t>eur s medziročným prírastkom 68 268 </w:t>
      </w:r>
      <w:r>
        <w:rPr>
          <w:rFonts w:ascii="Times New Roman" w:hAnsi="Times New Roman"/>
          <w:color w:val="000000" w:themeColor="text1"/>
          <w:lang w:eastAsia="sk-SK"/>
        </w:rPr>
        <w:t>tis.</w:t>
      </w:r>
      <w:r w:rsidR="00200A9A">
        <w:rPr>
          <w:rFonts w:ascii="Times New Roman" w:hAnsi="Times New Roman"/>
          <w:color w:val="000000" w:themeColor="text1"/>
          <w:lang w:eastAsia="sk-SK"/>
        </w:rPr>
        <w:t xml:space="preserve"> </w:t>
      </w:r>
      <w:r w:rsidR="00200A9A" w:rsidRPr="00CB4D8B">
        <w:rPr>
          <w:rFonts w:ascii="Times New Roman" w:hAnsi="Times New Roman"/>
          <w:bCs/>
          <w:color w:val="000000" w:themeColor="text1"/>
          <w:szCs w:val="22"/>
          <w:lang w:eastAsia="sk-SK"/>
        </w:rPr>
        <w:t> </w:t>
      </w:r>
      <w:r w:rsidRPr="005A4598">
        <w:rPr>
          <w:rFonts w:ascii="Times New Roman" w:hAnsi="Times New Roman"/>
          <w:color w:val="000000" w:themeColor="text1"/>
          <w:lang w:eastAsia="sk-SK"/>
        </w:rPr>
        <w:t xml:space="preserve">eur. </w:t>
      </w:r>
      <w:r w:rsidRPr="005A4598">
        <w:rPr>
          <w:rFonts w:ascii="Times New Roman" w:hAnsi="Times New Roman"/>
          <w:lang w:eastAsia="sk-SK"/>
        </w:rPr>
        <w:t>Najvýznamnejšiu sumu tvorila tvorba rezervy na arbitráže k uplatňovaným nárokom koncesionára PPP projektu D4/R7 v sume 69 000 </w:t>
      </w:r>
      <w:r>
        <w:rPr>
          <w:rFonts w:ascii="Times New Roman" w:hAnsi="Times New Roman"/>
          <w:lang w:eastAsia="sk-SK"/>
        </w:rPr>
        <w:t>tis.</w:t>
      </w:r>
      <w:r w:rsidRPr="005A4598">
        <w:rPr>
          <w:rFonts w:ascii="Times New Roman" w:hAnsi="Times New Roman"/>
          <w:lang w:eastAsia="sk-SK"/>
        </w:rPr>
        <w:t> eur.</w:t>
      </w:r>
    </w:p>
    <w:p w14:paraId="2CA4F794" w14:textId="0FAE4E9C" w:rsidR="008C0C33" w:rsidRPr="005A4598" w:rsidRDefault="008C0C33" w:rsidP="0085799C">
      <w:pPr>
        <w:spacing w:after="120" w:line="240" w:lineRule="auto"/>
        <w:jc w:val="both"/>
        <w:rPr>
          <w:rFonts w:ascii="Times New Roman" w:hAnsi="Times New Roman"/>
          <w:lang w:eastAsia="sk-SK"/>
        </w:rPr>
      </w:pPr>
      <w:r w:rsidRPr="0085799C">
        <w:rPr>
          <w:rFonts w:ascii="Times New Roman" w:hAnsi="Times New Roman"/>
          <w:u w:val="single"/>
        </w:rPr>
        <w:t>Slovenská pošta, a. s.</w:t>
      </w:r>
      <w:r w:rsidRPr="005A4598">
        <w:rPr>
          <w:rFonts w:ascii="Times New Roman" w:hAnsi="Times New Roman"/>
          <w:lang w:eastAsia="sk-SK"/>
        </w:rPr>
        <w:t xml:space="preserve"> vykazovala hodnotu pri položke tvorba rezerv vo výške 26 552 </w:t>
      </w:r>
      <w:r>
        <w:rPr>
          <w:rFonts w:ascii="Times New Roman" w:hAnsi="Times New Roman"/>
          <w:lang w:eastAsia="sk-SK"/>
        </w:rPr>
        <w:t>tis.</w:t>
      </w:r>
      <w:r w:rsidRPr="005A4598">
        <w:rPr>
          <w:rFonts w:ascii="Times New Roman" w:hAnsi="Times New Roman"/>
          <w:lang w:eastAsia="sk-SK"/>
        </w:rPr>
        <w:t> eur, ktorá zahŕňa tvorbu rezervy na terminálne poplatky vo výške 20 846 </w:t>
      </w:r>
      <w:r>
        <w:rPr>
          <w:rFonts w:ascii="Times New Roman" w:hAnsi="Times New Roman"/>
          <w:lang w:eastAsia="sk-SK"/>
        </w:rPr>
        <w:t>tis.</w:t>
      </w:r>
      <w:r w:rsidRPr="005A4598">
        <w:rPr>
          <w:rFonts w:ascii="Times New Roman" w:hAnsi="Times New Roman"/>
          <w:lang w:eastAsia="sk-SK"/>
        </w:rPr>
        <w:t> eur,  na prepravu a tranzit vo výške 1 494 </w:t>
      </w:r>
      <w:r w:rsidR="007C4FE9">
        <w:rPr>
          <w:rFonts w:ascii="Times New Roman" w:hAnsi="Times New Roman"/>
          <w:lang w:eastAsia="sk-SK"/>
        </w:rPr>
        <w:t>tis.</w:t>
      </w:r>
      <w:r w:rsidRPr="005A4598">
        <w:rPr>
          <w:rFonts w:ascii="Times New Roman" w:hAnsi="Times New Roman"/>
          <w:lang w:eastAsia="sk-SK"/>
        </w:rPr>
        <w:t> eur a na nevyplatené odmeny vo výške 1 512 </w:t>
      </w:r>
      <w:r w:rsidR="007C4FE9">
        <w:rPr>
          <w:rFonts w:ascii="Times New Roman" w:hAnsi="Times New Roman"/>
          <w:lang w:eastAsia="sk-SK"/>
        </w:rPr>
        <w:t>tis.</w:t>
      </w:r>
      <w:r w:rsidRPr="005A4598">
        <w:rPr>
          <w:rFonts w:ascii="Times New Roman" w:hAnsi="Times New Roman"/>
          <w:lang w:eastAsia="sk-SK"/>
        </w:rPr>
        <w:t xml:space="preserve"> eur. </w:t>
      </w:r>
    </w:p>
    <w:p w14:paraId="74BDDDC3" w14:textId="28F50D60" w:rsidR="008C0C33" w:rsidRPr="005A4598" w:rsidRDefault="008C0C33" w:rsidP="0085799C">
      <w:pPr>
        <w:spacing w:after="120" w:line="240" w:lineRule="auto"/>
        <w:jc w:val="both"/>
        <w:rPr>
          <w:rFonts w:ascii="Times New Roman" w:hAnsi="Times New Roman"/>
          <w:color w:val="FF0000"/>
          <w:lang w:eastAsia="sk-SK"/>
        </w:rPr>
      </w:pPr>
      <w:r w:rsidRPr="0085799C">
        <w:rPr>
          <w:rFonts w:ascii="Times New Roman" w:hAnsi="Times New Roman"/>
          <w:u w:val="single"/>
        </w:rPr>
        <w:t xml:space="preserve">Kapitola Ministerstva zdravotníctva SR </w:t>
      </w:r>
      <w:r w:rsidRPr="005A4598">
        <w:rPr>
          <w:rFonts w:ascii="Times New Roman" w:hAnsi="Times New Roman"/>
          <w:lang w:eastAsia="sk-SK"/>
        </w:rPr>
        <w:t>vykázala tvorbu rezervy v sume 120 004 </w:t>
      </w:r>
      <w:r w:rsidR="007C4FE9">
        <w:rPr>
          <w:rFonts w:ascii="Times New Roman" w:hAnsi="Times New Roman"/>
          <w:lang w:eastAsia="sk-SK"/>
        </w:rPr>
        <w:t>tis.</w:t>
      </w:r>
      <w:r w:rsidRPr="005A4598">
        <w:rPr>
          <w:rFonts w:ascii="Times New Roman" w:hAnsi="Times New Roman"/>
          <w:lang w:eastAsia="sk-SK"/>
        </w:rPr>
        <w:t> eur s medziročným prírastkom 28 075 </w:t>
      </w:r>
      <w:r w:rsidR="007C4FE9">
        <w:rPr>
          <w:rFonts w:ascii="Times New Roman" w:hAnsi="Times New Roman"/>
          <w:lang w:eastAsia="sk-SK"/>
        </w:rPr>
        <w:t>tis.</w:t>
      </w:r>
      <w:r w:rsidR="00200A9A" w:rsidRPr="00200A9A">
        <w:rPr>
          <w:rFonts w:ascii="Times New Roman" w:hAnsi="Times New Roman"/>
          <w:bCs/>
          <w:color w:val="000000" w:themeColor="text1"/>
          <w:szCs w:val="22"/>
          <w:lang w:eastAsia="sk-SK"/>
        </w:rPr>
        <w:t xml:space="preserve"> </w:t>
      </w:r>
      <w:r w:rsidR="00200A9A" w:rsidRPr="00CB4D8B">
        <w:rPr>
          <w:rFonts w:ascii="Times New Roman" w:hAnsi="Times New Roman"/>
          <w:bCs/>
          <w:color w:val="000000" w:themeColor="text1"/>
          <w:szCs w:val="22"/>
          <w:lang w:eastAsia="sk-SK"/>
        </w:rPr>
        <w:t> </w:t>
      </w:r>
      <w:r w:rsidR="007C4FE9">
        <w:rPr>
          <w:rFonts w:ascii="Times New Roman" w:hAnsi="Times New Roman"/>
          <w:lang w:eastAsia="sk-SK"/>
        </w:rPr>
        <w:t>e</w:t>
      </w:r>
      <w:r w:rsidRPr="005A4598">
        <w:rPr>
          <w:rFonts w:ascii="Times New Roman" w:hAnsi="Times New Roman"/>
          <w:lang w:eastAsia="sk-SK"/>
        </w:rPr>
        <w:t xml:space="preserve">ur, z toho najviac </w:t>
      </w:r>
      <w:r w:rsidRPr="0085799C">
        <w:rPr>
          <w:rFonts w:ascii="Times New Roman" w:hAnsi="Times New Roman"/>
          <w:color w:val="000000" w:themeColor="text1"/>
          <w:u w:val="single"/>
          <w:lang w:eastAsia="sk-SK"/>
        </w:rPr>
        <w:t>Univerzitná nemocnica Bratislava</w:t>
      </w:r>
      <w:r w:rsidRPr="005A4598">
        <w:rPr>
          <w:rFonts w:ascii="Times New Roman" w:hAnsi="Times New Roman"/>
          <w:b/>
          <w:i/>
          <w:color w:val="000000" w:themeColor="text1"/>
          <w:lang w:eastAsia="sk-SK"/>
        </w:rPr>
        <w:t xml:space="preserve"> </w:t>
      </w:r>
      <w:r w:rsidRPr="005A4598">
        <w:rPr>
          <w:rFonts w:ascii="Times New Roman" w:hAnsi="Times New Roman"/>
          <w:color w:val="000000" w:themeColor="text1"/>
          <w:lang w:eastAsia="sk-SK"/>
        </w:rPr>
        <w:t>v objeme 50 052 </w:t>
      </w:r>
      <w:r w:rsidR="007C4FE9">
        <w:rPr>
          <w:rFonts w:ascii="Times New Roman" w:hAnsi="Times New Roman"/>
          <w:color w:val="000000" w:themeColor="text1"/>
          <w:lang w:eastAsia="sk-SK"/>
        </w:rPr>
        <w:t>tis.</w:t>
      </w:r>
      <w:r w:rsidRPr="005A4598">
        <w:rPr>
          <w:rFonts w:ascii="Times New Roman" w:hAnsi="Times New Roman"/>
          <w:color w:val="000000" w:themeColor="text1"/>
          <w:lang w:eastAsia="sk-SK"/>
        </w:rPr>
        <w:t> eur.</w:t>
      </w:r>
      <w:r w:rsidRPr="005A4598">
        <w:rPr>
          <w:rFonts w:ascii="Times New Roman" w:hAnsi="Times New Roman"/>
          <w:color w:val="FF0000"/>
          <w:lang w:eastAsia="sk-SK"/>
        </w:rPr>
        <w:t xml:space="preserve"> </w:t>
      </w:r>
      <w:r w:rsidRPr="005A4598">
        <w:rPr>
          <w:rFonts w:ascii="Times New Roman" w:hAnsi="Times New Roman"/>
          <w:color w:val="000000" w:themeColor="text1"/>
          <w:lang w:eastAsia="sk-SK"/>
        </w:rPr>
        <w:t xml:space="preserve">Tieto tvorili najmä rezerva na penále a úroky z omeškania z nesplatených záväzkov voči </w:t>
      </w:r>
      <w:r w:rsidR="003A51AE">
        <w:rPr>
          <w:rFonts w:ascii="Times New Roman" w:hAnsi="Times New Roman"/>
          <w:color w:val="000000" w:themeColor="text1"/>
          <w:lang w:eastAsia="sk-SK"/>
        </w:rPr>
        <w:t xml:space="preserve">obchodným spoločnostiam </w:t>
      </w:r>
      <w:r w:rsidRPr="005A4598">
        <w:rPr>
          <w:rFonts w:ascii="Times New Roman" w:hAnsi="Times New Roman"/>
          <w:color w:val="000000" w:themeColor="text1"/>
          <w:lang w:eastAsia="sk-SK"/>
        </w:rPr>
        <w:t>a ostatným veriteľom v sume 40 435 </w:t>
      </w:r>
      <w:r w:rsidR="007C4FE9">
        <w:rPr>
          <w:rFonts w:ascii="Times New Roman" w:hAnsi="Times New Roman"/>
          <w:color w:val="000000" w:themeColor="text1"/>
          <w:lang w:eastAsia="sk-SK"/>
        </w:rPr>
        <w:t>tis.</w:t>
      </w:r>
      <w:r w:rsidRPr="005A4598">
        <w:rPr>
          <w:rFonts w:ascii="Times New Roman" w:hAnsi="Times New Roman"/>
          <w:color w:val="000000" w:themeColor="text1"/>
          <w:lang w:eastAsia="sk-SK"/>
        </w:rPr>
        <w:t> eur.</w:t>
      </w:r>
      <w:r w:rsidRPr="005A4598">
        <w:rPr>
          <w:rFonts w:ascii="Times New Roman" w:hAnsi="Times New Roman"/>
          <w:color w:val="FF0000"/>
          <w:lang w:eastAsia="sk-SK"/>
        </w:rPr>
        <w:t xml:space="preserve"> </w:t>
      </w:r>
      <w:r w:rsidRPr="005A4598">
        <w:rPr>
          <w:rFonts w:ascii="Times New Roman" w:hAnsi="Times New Roman"/>
          <w:color w:val="000000" w:themeColor="text1"/>
          <w:lang w:eastAsia="sk-SK"/>
        </w:rPr>
        <w:t>Ďalšie rezervy boli vytvorené na hroziace súdne spory a zamestnanecké požitky.</w:t>
      </w:r>
      <w:r w:rsidRPr="005A4598">
        <w:rPr>
          <w:rFonts w:ascii="Times New Roman" w:hAnsi="Times New Roman"/>
          <w:color w:val="FF0000"/>
          <w:lang w:eastAsia="sk-SK"/>
        </w:rPr>
        <w:t xml:space="preserve"> </w:t>
      </w:r>
      <w:r w:rsidRPr="0085799C">
        <w:rPr>
          <w:rFonts w:ascii="Times New Roman" w:hAnsi="Times New Roman"/>
          <w:color w:val="000000" w:themeColor="text1"/>
          <w:u w:val="single"/>
          <w:lang w:eastAsia="sk-SK"/>
        </w:rPr>
        <w:t>Ministerstvo zdravotníctva SR</w:t>
      </w:r>
      <w:r w:rsidRPr="005A4598">
        <w:rPr>
          <w:rFonts w:ascii="Times New Roman" w:hAnsi="Times New Roman"/>
          <w:b/>
          <w:i/>
          <w:color w:val="000000" w:themeColor="text1"/>
          <w:lang w:eastAsia="sk-SK"/>
        </w:rPr>
        <w:t xml:space="preserve"> </w:t>
      </w:r>
      <w:r w:rsidRPr="005A4598">
        <w:rPr>
          <w:rFonts w:ascii="Times New Roman" w:hAnsi="Times New Roman"/>
          <w:color w:val="000000" w:themeColor="text1"/>
          <w:lang w:eastAsia="sk-SK"/>
        </w:rPr>
        <w:t>vykázalo sumu 33 435 </w:t>
      </w:r>
      <w:r w:rsidR="007C4FE9">
        <w:rPr>
          <w:rFonts w:ascii="Times New Roman" w:hAnsi="Times New Roman"/>
          <w:color w:val="000000" w:themeColor="text1"/>
          <w:lang w:eastAsia="sk-SK"/>
        </w:rPr>
        <w:t>tis.</w:t>
      </w:r>
      <w:r w:rsidRPr="005A4598">
        <w:rPr>
          <w:rFonts w:ascii="Times New Roman" w:hAnsi="Times New Roman"/>
          <w:color w:val="000000" w:themeColor="text1"/>
          <w:lang w:eastAsia="sk-SK"/>
        </w:rPr>
        <w:t> eur s vysokým medziročným prírastkom 23</w:t>
      </w:r>
      <w:r w:rsidR="00200A9A">
        <w:rPr>
          <w:rFonts w:ascii="Times New Roman" w:hAnsi="Times New Roman"/>
          <w:bCs/>
          <w:color w:val="000000" w:themeColor="text1"/>
          <w:szCs w:val="22"/>
          <w:lang w:eastAsia="sk-SK"/>
        </w:rPr>
        <w:t> </w:t>
      </w:r>
      <w:r w:rsidRPr="005A4598">
        <w:rPr>
          <w:rFonts w:ascii="Times New Roman" w:hAnsi="Times New Roman"/>
          <w:color w:val="000000" w:themeColor="text1"/>
          <w:lang w:eastAsia="sk-SK"/>
        </w:rPr>
        <w:t>81</w:t>
      </w:r>
      <w:r w:rsidR="007C4FE9">
        <w:rPr>
          <w:rFonts w:ascii="Times New Roman" w:hAnsi="Times New Roman"/>
          <w:color w:val="000000" w:themeColor="text1"/>
          <w:lang w:eastAsia="sk-SK"/>
        </w:rPr>
        <w:t>8</w:t>
      </w:r>
      <w:r w:rsidR="00200A9A" w:rsidRPr="00CB4D8B">
        <w:rPr>
          <w:rFonts w:ascii="Times New Roman" w:hAnsi="Times New Roman"/>
          <w:bCs/>
          <w:color w:val="000000" w:themeColor="text1"/>
          <w:szCs w:val="22"/>
          <w:lang w:eastAsia="sk-SK"/>
        </w:rPr>
        <w:t> </w:t>
      </w:r>
      <w:r w:rsidR="007C4FE9">
        <w:rPr>
          <w:rFonts w:ascii="Times New Roman" w:hAnsi="Times New Roman"/>
          <w:color w:val="000000" w:themeColor="text1"/>
          <w:lang w:eastAsia="sk-SK"/>
        </w:rPr>
        <w:t>tis.</w:t>
      </w:r>
      <w:r w:rsidRPr="005A4598">
        <w:rPr>
          <w:rFonts w:ascii="Times New Roman" w:hAnsi="Times New Roman"/>
          <w:color w:val="000000" w:themeColor="text1"/>
          <w:lang w:eastAsia="sk-SK"/>
        </w:rPr>
        <w:t> eur na prebiehajúce súdne spory. Na medziročný prírastok malo vplyv zaúčtovanie 100 % rezervy k niektorým súdnym sporom.</w:t>
      </w:r>
    </w:p>
    <w:p w14:paraId="32F16D83" w14:textId="40E78DD7" w:rsidR="008C0C33" w:rsidRPr="002F378D" w:rsidRDefault="008C0C33" w:rsidP="00200A9A">
      <w:pPr>
        <w:spacing w:after="120" w:line="240" w:lineRule="auto"/>
        <w:jc w:val="both"/>
        <w:rPr>
          <w:rFonts w:ascii="Times New Roman" w:hAnsi="Times New Roman"/>
        </w:rPr>
      </w:pPr>
      <w:r w:rsidRPr="0085799C">
        <w:rPr>
          <w:rFonts w:ascii="Times New Roman" w:hAnsi="Times New Roman"/>
          <w:u w:val="single"/>
        </w:rPr>
        <w:t xml:space="preserve">Ministerstvo financií SR </w:t>
      </w:r>
      <w:r w:rsidRPr="005A4598">
        <w:rPr>
          <w:rFonts w:ascii="Times New Roman" w:hAnsi="Times New Roman"/>
          <w:color w:val="000000" w:themeColor="text1"/>
          <w:lang w:eastAsia="sk-SK"/>
        </w:rPr>
        <w:t>vykázalo sumu 80</w:t>
      </w:r>
      <w:r w:rsidR="007C4FE9">
        <w:rPr>
          <w:rFonts w:ascii="Times New Roman" w:hAnsi="Times New Roman"/>
          <w:color w:val="000000" w:themeColor="text1"/>
          <w:lang w:eastAsia="sk-SK"/>
        </w:rPr>
        <w:t> </w:t>
      </w:r>
      <w:r w:rsidRPr="005A4598">
        <w:rPr>
          <w:rFonts w:ascii="Times New Roman" w:hAnsi="Times New Roman"/>
          <w:color w:val="000000" w:themeColor="text1"/>
          <w:lang w:eastAsia="sk-SK"/>
        </w:rPr>
        <w:t>99</w:t>
      </w:r>
      <w:r w:rsidR="007C4FE9">
        <w:rPr>
          <w:rFonts w:ascii="Times New Roman" w:hAnsi="Times New Roman"/>
          <w:color w:val="000000" w:themeColor="text1"/>
          <w:lang w:eastAsia="sk-SK"/>
        </w:rPr>
        <w:t>8</w:t>
      </w:r>
      <w:r w:rsidR="00200A9A" w:rsidRPr="00CB4D8B">
        <w:rPr>
          <w:rFonts w:ascii="Times New Roman" w:hAnsi="Times New Roman"/>
          <w:bCs/>
          <w:color w:val="000000" w:themeColor="text1"/>
          <w:szCs w:val="22"/>
          <w:lang w:eastAsia="sk-SK"/>
        </w:rPr>
        <w:t> </w:t>
      </w:r>
      <w:r w:rsidR="007C4FE9">
        <w:rPr>
          <w:rFonts w:ascii="Times New Roman" w:hAnsi="Times New Roman"/>
          <w:color w:val="000000" w:themeColor="text1"/>
          <w:lang w:eastAsia="sk-SK"/>
        </w:rPr>
        <w:t>tis.</w:t>
      </w:r>
      <w:r w:rsidRPr="005A4598">
        <w:rPr>
          <w:rFonts w:ascii="Times New Roman" w:hAnsi="Times New Roman"/>
          <w:color w:val="000000" w:themeColor="text1"/>
          <w:lang w:eastAsia="sk-SK"/>
        </w:rPr>
        <w:t xml:space="preserve"> eur, z toho </w:t>
      </w:r>
      <w:r w:rsidRPr="005A4598">
        <w:rPr>
          <w:rFonts w:ascii="Times New Roman" w:hAnsi="Times New Roman"/>
        </w:rPr>
        <w:t>najväčšiu časť tvorí tvorba rezervy na zamestnanecké požitky v ústrednej správe za rok 2024, ktoré sú účtované na základe expertného odhadu v sume 64 072 </w:t>
      </w:r>
      <w:r w:rsidR="007C4FE9">
        <w:rPr>
          <w:rFonts w:ascii="Times New Roman" w:hAnsi="Times New Roman"/>
        </w:rPr>
        <w:t>tis.</w:t>
      </w:r>
      <w:r w:rsidRPr="005A4598">
        <w:rPr>
          <w:rFonts w:ascii="Times New Roman" w:hAnsi="Times New Roman"/>
        </w:rPr>
        <w:t> eur. Oproti minulému roku bol zaznamenaný nárast tvorby tejto rezervy do nákladov bežného obdobia o 43 009 </w:t>
      </w:r>
      <w:r w:rsidR="007C4FE9">
        <w:rPr>
          <w:rFonts w:ascii="Times New Roman" w:hAnsi="Times New Roman"/>
        </w:rPr>
        <w:t>tis.</w:t>
      </w:r>
      <w:r w:rsidRPr="005A4598">
        <w:rPr>
          <w:rFonts w:ascii="Times New Roman" w:hAnsi="Times New Roman"/>
        </w:rPr>
        <w:t> eur</w:t>
      </w:r>
      <w:r w:rsidRPr="005A4598">
        <w:rPr>
          <w:rFonts w:ascii="Times New Roman" w:hAnsi="Times New Roman"/>
          <w:i/>
        </w:rPr>
        <w:t xml:space="preserve">. </w:t>
      </w:r>
    </w:p>
    <w:p w14:paraId="09D17751" w14:textId="31BFCF4D" w:rsidR="00647542" w:rsidRPr="002F378D" w:rsidRDefault="00647542" w:rsidP="00200A9A">
      <w:pPr>
        <w:spacing w:after="120" w:line="240" w:lineRule="auto"/>
        <w:jc w:val="both"/>
        <w:rPr>
          <w:rFonts w:ascii="Times New Roman" w:hAnsi="Times New Roman"/>
        </w:rPr>
      </w:pPr>
      <w:r w:rsidRPr="002F378D">
        <w:rPr>
          <w:rFonts w:ascii="Times New Roman" w:hAnsi="Times New Roman"/>
        </w:rPr>
        <w:t xml:space="preserve">Územná samospráva vykázala rezervy v celkovej sume </w:t>
      </w:r>
      <w:r w:rsidR="004028F4" w:rsidRPr="0085799C">
        <w:rPr>
          <w:rFonts w:ascii="Times New Roman" w:hAnsi="Times New Roman"/>
        </w:rPr>
        <w:t>105</w:t>
      </w:r>
      <w:r w:rsidR="00200A9A" w:rsidRPr="00CB4D8B">
        <w:rPr>
          <w:rFonts w:ascii="Times New Roman" w:hAnsi="Times New Roman"/>
          <w:bCs/>
          <w:color w:val="000000" w:themeColor="text1"/>
          <w:szCs w:val="22"/>
          <w:lang w:eastAsia="sk-SK"/>
        </w:rPr>
        <w:t> </w:t>
      </w:r>
      <w:r w:rsidR="004028F4" w:rsidRPr="0085799C">
        <w:rPr>
          <w:rFonts w:ascii="Times New Roman" w:hAnsi="Times New Roman"/>
        </w:rPr>
        <w:t>30</w:t>
      </w:r>
      <w:r w:rsidR="00F51493" w:rsidRPr="0085799C">
        <w:rPr>
          <w:rFonts w:ascii="Times New Roman" w:hAnsi="Times New Roman"/>
        </w:rPr>
        <w:t>1</w:t>
      </w:r>
      <w:r w:rsidRPr="002F378D">
        <w:rPr>
          <w:rFonts w:ascii="Times New Roman" w:hAnsi="Times New Roman"/>
        </w:rPr>
        <w:t xml:space="preserve"> tis. eur (v tom obce </w:t>
      </w:r>
      <w:r w:rsidR="00F51493" w:rsidRPr="0085799C">
        <w:rPr>
          <w:rFonts w:ascii="Times New Roman" w:hAnsi="Times New Roman"/>
        </w:rPr>
        <w:t>53</w:t>
      </w:r>
      <w:r w:rsidR="00200A9A" w:rsidRPr="00CB4D8B">
        <w:rPr>
          <w:rFonts w:ascii="Times New Roman" w:hAnsi="Times New Roman"/>
          <w:bCs/>
          <w:color w:val="000000" w:themeColor="text1"/>
          <w:szCs w:val="22"/>
          <w:lang w:eastAsia="sk-SK"/>
        </w:rPr>
        <w:t> </w:t>
      </w:r>
      <w:r w:rsidR="00F51493" w:rsidRPr="0085799C">
        <w:rPr>
          <w:rFonts w:ascii="Times New Roman" w:hAnsi="Times New Roman"/>
        </w:rPr>
        <w:t>069</w:t>
      </w:r>
      <w:r w:rsidRPr="002F378D">
        <w:rPr>
          <w:rFonts w:ascii="Times New Roman" w:hAnsi="Times New Roman"/>
        </w:rPr>
        <w:t xml:space="preserve"> tis. eur a vyššie územné celky </w:t>
      </w:r>
      <w:r w:rsidR="00F51493" w:rsidRPr="0085799C">
        <w:rPr>
          <w:rFonts w:ascii="Times New Roman" w:hAnsi="Times New Roman"/>
        </w:rPr>
        <w:t>52</w:t>
      </w:r>
      <w:r w:rsidR="00200A9A" w:rsidRPr="00CB4D8B">
        <w:rPr>
          <w:rFonts w:ascii="Times New Roman" w:hAnsi="Times New Roman"/>
          <w:bCs/>
          <w:color w:val="000000" w:themeColor="text1"/>
          <w:szCs w:val="22"/>
          <w:lang w:eastAsia="sk-SK"/>
        </w:rPr>
        <w:t> </w:t>
      </w:r>
      <w:r w:rsidR="00F51493" w:rsidRPr="0085799C">
        <w:rPr>
          <w:rFonts w:ascii="Times New Roman" w:hAnsi="Times New Roman"/>
        </w:rPr>
        <w:t>232</w:t>
      </w:r>
      <w:r w:rsidRPr="002F378D">
        <w:rPr>
          <w:rFonts w:ascii="Times New Roman" w:hAnsi="Times New Roman"/>
        </w:rPr>
        <w:t> tis.</w:t>
      </w:r>
      <w:r w:rsidR="00200A9A" w:rsidRPr="00200A9A">
        <w:rPr>
          <w:rFonts w:ascii="Times New Roman" w:hAnsi="Times New Roman"/>
          <w:bCs/>
          <w:color w:val="000000" w:themeColor="text1"/>
          <w:szCs w:val="22"/>
          <w:lang w:eastAsia="sk-SK"/>
        </w:rPr>
        <w:t xml:space="preserve"> </w:t>
      </w:r>
      <w:r w:rsidR="00200A9A" w:rsidRPr="00CB4D8B">
        <w:rPr>
          <w:rFonts w:ascii="Times New Roman" w:hAnsi="Times New Roman"/>
          <w:bCs/>
          <w:color w:val="000000" w:themeColor="text1"/>
          <w:szCs w:val="22"/>
          <w:lang w:eastAsia="sk-SK"/>
        </w:rPr>
        <w:t> </w:t>
      </w:r>
      <w:r w:rsidRPr="002F378D">
        <w:rPr>
          <w:rFonts w:ascii="Times New Roman" w:hAnsi="Times New Roman"/>
        </w:rPr>
        <w:t xml:space="preserve">eur) a ostatné subjekty verejnej správy v sume </w:t>
      </w:r>
      <w:r w:rsidR="002F378D" w:rsidRPr="0085799C">
        <w:rPr>
          <w:rFonts w:ascii="Times New Roman" w:hAnsi="Times New Roman"/>
        </w:rPr>
        <w:t>15</w:t>
      </w:r>
      <w:r w:rsidR="00200A9A" w:rsidRPr="00CB4D8B">
        <w:rPr>
          <w:rFonts w:ascii="Times New Roman" w:hAnsi="Times New Roman"/>
          <w:bCs/>
          <w:color w:val="000000" w:themeColor="text1"/>
          <w:szCs w:val="22"/>
          <w:lang w:eastAsia="sk-SK"/>
        </w:rPr>
        <w:t> </w:t>
      </w:r>
      <w:r w:rsidR="002F378D" w:rsidRPr="0085799C">
        <w:rPr>
          <w:rFonts w:ascii="Times New Roman" w:hAnsi="Times New Roman"/>
        </w:rPr>
        <w:t>283</w:t>
      </w:r>
      <w:r w:rsidRPr="002F378D">
        <w:rPr>
          <w:rFonts w:ascii="Times New Roman" w:hAnsi="Times New Roman"/>
        </w:rPr>
        <w:t> tis. eur.</w:t>
      </w:r>
    </w:p>
    <w:p w14:paraId="7C7F431F" w14:textId="77777777" w:rsidR="00A648BA" w:rsidRDefault="00A648BA" w:rsidP="00200A9A">
      <w:pPr>
        <w:spacing w:after="120" w:line="240" w:lineRule="auto"/>
        <w:jc w:val="both"/>
        <w:rPr>
          <w:rFonts w:ascii="Times New Roman" w:hAnsi="Times New Roman"/>
        </w:rPr>
      </w:pPr>
    </w:p>
    <w:p w14:paraId="3F7C8CFD" w14:textId="1D6E934C" w:rsidR="00A648BA" w:rsidRDefault="00A648BA" w:rsidP="0085799C">
      <w:pPr>
        <w:pStyle w:val="Nadpis4"/>
        <w:numPr>
          <w:ilvl w:val="0"/>
          <w:numId w:val="54"/>
        </w:numPr>
        <w:ind w:left="426" w:hanging="426"/>
      </w:pPr>
      <w:bookmarkStart w:id="102" w:name="_Opravné_položky_1"/>
      <w:bookmarkEnd w:id="102"/>
      <w:r>
        <w:lastRenderedPageBreak/>
        <w:t>Opravné položky</w:t>
      </w:r>
    </w:p>
    <w:bookmarkEnd w:id="101"/>
    <w:p w14:paraId="47AF518D" w14:textId="197D828D" w:rsidR="004C0960" w:rsidRPr="00200A9A" w:rsidRDefault="00647542" w:rsidP="004C0960">
      <w:pPr>
        <w:spacing w:after="120" w:line="240" w:lineRule="auto"/>
        <w:jc w:val="both"/>
        <w:rPr>
          <w:rFonts w:ascii="Times New Roman" w:hAnsi="Times New Roman"/>
          <w:bCs/>
          <w:color w:val="000000" w:themeColor="text1"/>
          <w:szCs w:val="22"/>
        </w:rPr>
      </w:pPr>
      <w:r w:rsidRPr="00200A9A">
        <w:rPr>
          <w:rFonts w:ascii="Times New Roman" w:hAnsi="Times New Roman"/>
          <w:color w:val="000000" w:themeColor="text1"/>
          <w:szCs w:val="22"/>
          <w:u w:val="single"/>
        </w:rPr>
        <w:t>Náklady na tvorbu zákonných a ostatných opravných položiek</w:t>
      </w:r>
      <w:r w:rsidRPr="00200A9A">
        <w:rPr>
          <w:rFonts w:ascii="Times New Roman" w:hAnsi="Times New Roman"/>
          <w:color w:val="000000" w:themeColor="text1"/>
          <w:szCs w:val="22"/>
        </w:rPr>
        <w:t xml:space="preserve"> dosiahli sumu 1</w:t>
      </w:r>
      <w:r w:rsidR="00200A9A" w:rsidRPr="00200A9A">
        <w:rPr>
          <w:rFonts w:ascii="Times New Roman" w:hAnsi="Times New Roman"/>
          <w:bCs/>
          <w:color w:val="000000" w:themeColor="text1"/>
          <w:szCs w:val="22"/>
        </w:rPr>
        <w:t> </w:t>
      </w:r>
      <w:r w:rsidR="00F8243D">
        <w:rPr>
          <w:rFonts w:ascii="Times New Roman" w:hAnsi="Times New Roman"/>
          <w:bCs/>
          <w:color w:val="000000" w:themeColor="text1"/>
          <w:szCs w:val="22"/>
        </w:rPr>
        <w:t>084 878</w:t>
      </w:r>
      <w:r w:rsidRPr="00200A9A">
        <w:rPr>
          <w:rFonts w:ascii="Times New Roman" w:hAnsi="Times New Roman"/>
          <w:color w:val="000000" w:themeColor="text1"/>
          <w:szCs w:val="22"/>
        </w:rPr>
        <w:t> tis. eur s medziročným</w:t>
      </w:r>
      <w:r w:rsidRPr="00200A9A">
        <w:rPr>
          <w:rFonts w:ascii="Times New Roman" w:hAnsi="Times New Roman"/>
          <w:color w:val="FF0000"/>
          <w:szCs w:val="22"/>
        </w:rPr>
        <w:t xml:space="preserve"> </w:t>
      </w:r>
      <w:r w:rsidR="00E67919" w:rsidRPr="0085799C">
        <w:rPr>
          <w:rFonts w:ascii="Times New Roman" w:hAnsi="Times New Roman"/>
          <w:bCs/>
          <w:color w:val="000000" w:themeColor="text1"/>
          <w:szCs w:val="22"/>
        </w:rPr>
        <w:t>poklesom</w:t>
      </w:r>
      <w:r w:rsidR="00E67919" w:rsidRPr="00200A9A">
        <w:rPr>
          <w:rFonts w:ascii="Times New Roman" w:hAnsi="Times New Roman"/>
          <w:bCs/>
          <w:color w:val="000000" w:themeColor="text1"/>
          <w:szCs w:val="22"/>
        </w:rPr>
        <w:t xml:space="preserve"> </w:t>
      </w:r>
      <w:r w:rsidRPr="00200A9A">
        <w:rPr>
          <w:rFonts w:ascii="Times New Roman" w:hAnsi="Times New Roman"/>
          <w:color w:val="000000" w:themeColor="text1"/>
          <w:szCs w:val="22"/>
        </w:rPr>
        <w:t>o</w:t>
      </w:r>
      <w:r w:rsidR="00200A9A">
        <w:rPr>
          <w:rFonts w:ascii="Times New Roman" w:hAnsi="Times New Roman"/>
          <w:bCs/>
          <w:color w:val="000000" w:themeColor="text1"/>
          <w:szCs w:val="22"/>
        </w:rPr>
        <w:t> </w:t>
      </w:r>
      <w:r w:rsidR="00E67919" w:rsidRPr="0085799C">
        <w:rPr>
          <w:rFonts w:ascii="Times New Roman" w:hAnsi="Times New Roman"/>
          <w:bCs/>
          <w:color w:val="000000" w:themeColor="text1"/>
          <w:szCs w:val="22"/>
        </w:rPr>
        <w:t>121</w:t>
      </w:r>
      <w:r w:rsidR="00200A9A">
        <w:rPr>
          <w:rFonts w:ascii="Times New Roman" w:hAnsi="Times New Roman"/>
          <w:bCs/>
          <w:color w:val="000000" w:themeColor="text1"/>
          <w:szCs w:val="22"/>
        </w:rPr>
        <w:t> </w:t>
      </w:r>
      <w:r w:rsidR="00E67919" w:rsidRPr="0085799C">
        <w:rPr>
          <w:rFonts w:ascii="Times New Roman" w:hAnsi="Times New Roman"/>
          <w:bCs/>
          <w:color w:val="000000" w:themeColor="text1"/>
          <w:szCs w:val="22"/>
        </w:rPr>
        <w:t>069</w:t>
      </w:r>
      <w:r w:rsidRPr="00200A9A">
        <w:rPr>
          <w:rFonts w:ascii="Times New Roman" w:hAnsi="Times New Roman"/>
          <w:color w:val="000000" w:themeColor="text1"/>
          <w:szCs w:val="22"/>
        </w:rPr>
        <w:t xml:space="preserve"> tis. eur. </w:t>
      </w:r>
    </w:p>
    <w:p w14:paraId="74348B6E" w14:textId="7F0615D0" w:rsidR="004C0960" w:rsidRPr="005A4598" w:rsidRDefault="004C0960" w:rsidP="004C0960">
      <w:pPr>
        <w:spacing w:after="120" w:line="240" w:lineRule="auto"/>
        <w:jc w:val="both"/>
        <w:rPr>
          <w:rFonts w:ascii="Times New Roman" w:hAnsi="Times New Roman"/>
          <w:color w:val="000000" w:themeColor="text1"/>
          <w:lang w:eastAsia="sk-SK"/>
        </w:rPr>
      </w:pPr>
      <w:r w:rsidRPr="005A4598">
        <w:rPr>
          <w:rFonts w:ascii="Times New Roman" w:hAnsi="Times New Roman"/>
          <w:color w:val="000000" w:themeColor="text1"/>
          <w:lang w:eastAsia="sk-SK"/>
        </w:rPr>
        <w:t>Na tvorbe ostatných opravných položiek sa podieľal</w:t>
      </w:r>
      <w:r>
        <w:rPr>
          <w:rFonts w:ascii="Times New Roman" w:hAnsi="Times New Roman"/>
          <w:color w:val="000000" w:themeColor="text1"/>
          <w:lang w:eastAsia="sk-SK"/>
        </w:rPr>
        <w:t>a najmä ústredná správa, konkrétne</w:t>
      </w:r>
      <w:r w:rsidRPr="005A4598">
        <w:rPr>
          <w:rFonts w:ascii="Times New Roman" w:hAnsi="Times New Roman"/>
          <w:color w:val="000000" w:themeColor="text1"/>
          <w:lang w:eastAsia="sk-SK"/>
        </w:rPr>
        <w:t xml:space="preserve"> </w:t>
      </w:r>
      <w:r w:rsidRPr="0085799C">
        <w:rPr>
          <w:rFonts w:ascii="Times New Roman" w:hAnsi="Times New Roman"/>
          <w:u w:val="single"/>
        </w:rPr>
        <w:t>Ministerstvo financií SR</w:t>
      </w:r>
      <w:r w:rsidRPr="005A4598">
        <w:rPr>
          <w:rFonts w:ascii="Times New Roman" w:hAnsi="Times New Roman"/>
          <w:color w:val="000000" w:themeColor="text1"/>
          <w:lang w:eastAsia="sk-SK"/>
        </w:rPr>
        <w:t>, z dôvodu tvorby opravných položiek k daňovým a colným pohľadávkam, ktoré sú po splatnosti, nedobytné, neefektívne na vymáhanie. Ministerstvo v roku 2024 vykázalo tvorbu ostatných opravných položiek v celkovej sume 649 860 </w:t>
      </w:r>
      <w:r>
        <w:rPr>
          <w:rFonts w:ascii="Times New Roman" w:hAnsi="Times New Roman"/>
          <w:color w:val="000000" w:themeColor="text1"/>
          <w:lang w:eastAsia="sk-SK"/>
        </w:rPr>
        <w:t>tis.</w:t>
      </w:r>
      <w:r w:rsidRPr="005A4598">
        <w:rPr>
          <w:rFonts w:ascii="Times New Roman" w:hAnsi="Times New Roman"/>
          <w:color w:val="000000" w:themeColor="text1"/>
          <w:lang w:eastAsia="sk-SK"/>
        </w:rPr>
        <w:t> eur, čo je medziročný pokles o 10</w:t>
      </w:r>
      <w:r>
        <w:rPr>
          <w:rFonts w:ascii="Times New Roman" w:hAnsi="Times New Roman"/>
          <w:color w:val="000000" w:themeColor="text1"/>
          <w:lang w:eastAsia="sk-SK"/>
        </w:rPr>
        <w:t> </w:t>
      </w:r>
      <w:r w:rsidRPr="005A4598">
        <w:rPr>
          <w:rFonts w:ascii="Times New Roman" w:hAnsi="Times New Roman"/>
          <w:color w:val="000000" w:themeColor="text1"/>
          <w:lang w:eastAsia="sk-SK"/>
        </w:rPr>
        <w:t>27</w:t>
      </w:r>
      <w:r>
        <w:rPr>
          <w:rFonts w:ascii="Times New Roman" w:hAnsi="Times New Roman"/>
          <w:color w:val="000000" w:themeColor="text1"/>
          <w:lang w:eastAsia="sk-SK"/>
        </w:rPr>
        <w:t>6</w:t>
      </w:r>
      <w:r w:rsidR="00200A9A">
        <w:rPr>
          <w:rFonts w:ascii="Times New Roman" w:hAnsi="Times New Roman"/>
          <w:bCs/>
          <w:color w:val="000000" w:themeColor="text1"/>
          <w:szCs w:val="22"/>
        </w:rPr>
        <w:t> </w:t>
      </w:r>
      <w:r>
        <w:rPr>
          <w:rFonts w:ascii="Times New Roman" w:hAnsi="Times New Roman"/>
          <w:color w:val="000000" w:themeColor="text1"/>
          <w:lang w:eastAsia="sk-SK"/>
        </w:rPr>
        <w:t>tis.</w:t>
      </w:r>
      <w:r w:rsidRPr="005A4598">
        <w:rPr>
          <w:rFonts w:ascii="Times New Roman" w:hAnsi="Times New Roman"/>
          <w:color w:val="000000" w:themeColor="text1"/>
          <w:lang w:eastAsia="sk-SK"/>
        </w:rPr>
        <w:t xml:space="preserve"> eur. </w:t>
      </w:r>
    </w:p>
    <w:p w14:paraId="1ED5F9BE" w14:textId="3ABAA4B8" w:rsidR="004C0960" w:rsidRPr="005A4598" w:rsidRDefault="004C0960" w:rsidP="004C0960">
      <w:pPr>
        <w:spacing w:after="120" w:line="240" w:lineRule="auto"/>
        <w:jc w:val="both"/>
        <w:rPr>
          <w:rFonts w:ascii="Times New Roman" w:hAnsi="Times New Roman"/>
          <w:color w:val="000000" w:themeColor="text1"/>
          <w:lang w:eastAsia="sk-SK"/>
        </w:rPr>
      </w:pPr>
      <w:r w:rsidRPr="0085799C">
        <w:rPr>
          <w:rFonts w:ascii="Times New Roman" w:hAnsi="Times New Roman"/>
          <w:u w:val="single"/>
        </w:rPr>
        <w:t>Kapitola Ministerstva zdravotníctva SR</w:t>
      </w:r>
      <w:r w:rsidRPr="005A4598">
        <w:rPr>
          <w:rFonts w:ascii="Times New Roman" w:hAnsi="Times New Roman"/>
          <w:b/>
          <w:i/>
          <w:color w:val="000000" w:themeColor="text1"/>
          <w:lang w:eastAsia="sk-SK"/>
        </w:rPr>
        <w:t xml:space="preserve"> </w:t>
      </w:r>
      <w:r w:rsidRPr="005A4598">
        <w:rPr>
          <w:rFonts w:ascii="Times New Roman" w:hAnsi="Times New Roman"/>
          <w:color w:val="000000" w:themeColor="text1"/>
          <w:lang w:eastAsia="sk-SK"/>
        </w:rPr>
        <w:t>vykázala tvorbu opravných položiek v sume 46</w:t>
      </w:r>
      <w:r>
        <w:rPr>
          <w:rFonts w:ascii="Times New Roman" w:hAnsi="Times New Roman"/>
          <w:color w:val="000000" w:themeColor="text1"/>
          <w:lang w:eastAsia="sk-SK"/>
        </w:rPr>
        <w:t> </w:t>
      </w:r>
      <w:r w:rsidRPr="005A4598">
        <w:rPr>
          <w:rFonts w:ascii="Times New Roman" w:hAnsi="Times New Roman"/>
          <w:color w:val="000000" w:themeColor="text1"/>
          <w:lang w:eastAsia="sk-SK"/>
        </w:rPr>
        <w:t>07</w:t>
      </w:r>
      <w:r>
        <w:rPr>
          <w:rFonts w:ascii="Times New Roman" w:hAnsi="Times New Roman"/>
          <w:color w:val="000000" w:themeColor="text1"/>
          <w:lang w:eastAsia="sk-SK"/>
        </w:rPr>
        <w:t>7</w:t>
      </w:r>
      <w:r w:rsidR="00200A9A">
        <w:rPr>
          <w:rFonts w:ascii="Times New Roman" w:hAnsi="Times New Roman"/>
          <w:bCs/>
          <w:color w:val="000000" w:themeColor="text1"/>
          <w:szCs w:val="22"/>
        </w:rPr>
        <w:t> </w:t>
      </w:r>
      <w:r>
        <w:rPr>
          <w:rFonts w:ascii="Times New Roman" w:hAnsi="Times New Roman"/>
          <w:color w:val="000000" w:themeColor="text1"/>
          <w:lang w:eastAsia="sk-SK"/>
        </w:rPr>
        <w:t>tis.</w:t>
      </w:r>
      <w:r w:rsidRPr="005A4598">
        <w:rPr>
          <w:rFonts w:ascii="Times New Roman" w:hAnsi="Times New Roman"/>
          <w:color w:val="000000" w:themeColor="text1"/>
          <w:lang w:eastAsia="sk-SK"/>
        </w:rPr>
        <w:t xml:space="preserve"> eur, z toho </w:t>
      </w:r>
      <w:r w:rsidRPr="0085799C">
        <w:rPr>
          <w:rFonts w:ascii="Times New Roman" w:hAnsi="Times New Roman"/>
          <w:u w:val="single"/>
        </w:rPr>
        <w:t>Ministerstvo zdravotníctva SR</w:t>
      </w:r>
      <w:r w:rsidRPr="005A4598">
        <w:rPr>
          <w:rFonts w:ascii="Times New Roman" w:hAnsi="Times New Roman"/>
          <w:color w:val="000000" w:themeColor="text1"/>
          <w:lang w:eastAsia="sk-SK"/>
        </w:rPr>
        <w:t xml:space="preserve"> v sume 40 458 </w:t>
      </w:r>
      <w:r>
        <w:rPr>
          <w:rFonts w:ascii="Times New Roman" w:hAnsi="Times New Roman"/>
          <w:color w:val="000000" w:themeColor="text1"/>
          <w:lang w:eastAsia="sk-SK"/>
        </w:rPr>
        <w:t>tis.</w:t>
      </w:r>
      <w:r w:rsidRPr="005A4598">
        <w:rPr>
          <w:rFonts w:ascii="Times New Roman" w:hAnsi="Times New Roman"/>
          <w:color w:val="000000" w:themeColor="text1"/>
          <w:lang w:eastAsia="sk-SK"/>
        </w:rPr>
        <w:t> eur s medziročným zvýšením o 28 303 </w:t>
      </w:r>
      <w:r>
        <w:rPr>
          <w:rFonts w:ascii="Times New Roman" w:hAnsi="Times New Roman"/>
          <w:color w:val="000000" w:themeColor="text1"/>
          <w:lang w:eastAsia="sk-SK"/>
        </w:rPr>
        <w:t>tis.</w:t>
      </w:r>
      <w:r w:rsidRPr="005A4598">
        <w:rPr>
          <w:rFonts w:ascii="Times New Roman" w:hAnsi="Times New Roman"/>
          <w:color w:val="000000" w:themeColor="text1"/>
          <w:lang w:eastAsia="sk-SK"/>
        </w:rPr>
        <w:t> eur a </w:t>
      </w:r>
      <w:r w:rsidRPr="0085799C">
        <w:rPr>
          <w:rFonts w:ascii="Times New Roman" w:hAnsi="Times New Roman"/>
          <w:u w:val="single"/>
        </w:rPr>
        <w:t>Všeobecná zdravotná poisťovňa, a.s.</w:t>
      </w:r>
      <w:r w:rsidRPr="005A4598">
        <w:rPr>
          <w:rFonts w:ascii="Times New Roman" w:hAnsi="Times New Roman"/>
          <w:color w:val="000000" w:themeColor="text1"/>
          <w:lang w:eastAsia="sk-SK"/>
        </w:rPr>
        <w:t xml:space="preserve"> v sume 5 004 </w:t>
      </w:r>
      <w:r>
        <w:rPr>
          <w:rFonts w:ascii="Times New Roman" w:hAnsi="Times New Roman"/>
          <w:color w:val="000000" w:themeColor="text1"/>
          <w:lang w:eastAsia="sk-SK"/>
        </w:rPr>
        <w:t>tis.</w:t>
      </w:r>
      <w:r w:rsidRPr="005A4598">
        <w:rPr>
          <w:rFonts w:ascii="Times New Roman" w:hAnsi="Times New Roman"/>
          <w:color w:val="000000" w:themeColor="text1"/>
          <w:lang w:eastAsia="sk-SK"/>
        </w:rPr>
        <w:t> eur.</w:t>
      </w:r>
    </w:p>
    <w:p w14:paraId="11DAAE64" w14:textId="254DEE07" w:rsidR="004C0960" w:rsidRPr="005A4598" w:rsidRDefault="004C0960" w:rsidP="004C0960">
      <w:pPr>
        <w:spacing w:after="120" w:line="240" w:lineRule="auto"/>
        <w:jc w:val="both"/>
        <w:rPr>
          <w:rFonts w:ascii="Times New Roman" w:hAnsi="Times New Roman"/>
          <w:color w:val="000000" w:themeColor="text1"/>
        </w:rPr>
      </w:pPr>
      <w:r w:rsidRPr="0085799C">
        <w:rPr>
          <w:rFonts w:ascii="Times New Roman" w:hAnsi="Times New Roman"/>
          <w:u w:val="single"/>
        </w:rPr>
        <w:t>Ministerstvo vnútra SR</w:t>
      </w:r>
      <w:r w:rsidRPr="005A4598">
        <w:rPr>
          <w:rFonts w:ascii="Times New Roman" w:hAnsi="Times New Roman"/>
          <w:b/>
          <w:i/>
          <w:color w:val="000000" w:themeColor="text1"/>
          <w:lang w:eastAsia="sk-SK"/>
        </w:rPr>
        <w:t xml:space="preserve"> </w:t>
      </w:r>
      <w:r w:rsidRPr="005A4598">
        <w:rPr>
          <w:rFonts w:ascii="Times New Roman" w:hAnsi="Times New Roman"/>
          <w:color w:val="000000" w:themeColor="text1"/>
          <w:lang w:eastAsia="sk-SK"/>
        </w:rPr>
        <w:t>eviduje tvorbu opravných položiek v sume 32</w:t>
      </w:r>
      <w:r>
        <w:rPr>
          <w:rFonts w:ascii="Times New Roman" w:hAnsi="Times New Roman"/>
          <w:color w:val="000000" w:themeColor="text1"/>
          <w:lang w:eastAsia="sk-SK"/>
        </w:rPr>
        <w:t> </w:t>
      </w:r>
      <w:r w:rsidRPr="005A4598">
        <w:rPr>
          <w:rFonts w:ascii="Times New Roman" w:hAnsi="Times New Roman"/>
          <w:color w:val="000000" w:themeColor="text1"/>
          <w:lang w:eastAsia="sk-SK"/>
        </w:rPr>
        <w:t>77</w:t>
      </w:r>
      <w:r>
        <w:rPr>
          <w:rFonts w:ascii="Times New Roman" w:hAnsi="Times New Roman"/>
          <w:color w:val="000000" w:themeColor="text1"/>
          <w:lang w:eastAsia="sk-SK"/>
        </w:rPr>
        <w:t>3</w:t>
      </w:r>
      <w:r w:rsidR="00200A9A">
        <w:rPr>
          <w:rFonts w:ascii="Times New Roman" w:hAnsi="Times New Roman"/>
          <w:bCs/>
          <w:color w:val="000000" w:themeColor="text1"/>
          <w:szCs w:val="22"/>
        </w:rPr>
        <w:t> </w:t>
      </w:r>
      <w:r>
        <w:rPr>
          <w:rFonts w:ascii="Times New Roman" w:hAnsi="Times New Roman"/>
          <w:color w:val="000000" w:themeColor="text1"/>
          <w:lang w:eastAsia="sk-SK"/>
        </w:rPr>
        <w:t>tis.</w:t>
      </w:r>
      <w:r w:rsidRPr="005A4598">
        <w:rPr>
          <w:rFonts w:ascii="Times New Roman" w:hAnsi="Times New Roman"/>
          <w:color w:val="000000" w:themeColor="text1"/>
          <w:lang w:eastAsia="sk-SK"/>
        </w:rPr>
        <w:t> eur, pričom tieto vzrástli oproti predchádzajúcemu roku o 30 202 </w:t>
      </w:r>
      <w:r>
        <w:rPr>
          <w:rFonts w:ascii="Times New Roman" w:hAnsi="Times New Roman"/>
          <w:color w:val="000000" w:themeColor="text1"/>
          <w:lang w:eastAsia="sk-SK"/>
        </w:rPr>
        <w:t>tis.</w:t>
      </w:r>
      <w:r w:rsidRPr="005A4598">
        <w:rPr>
          <w:rFonts w:ascii="Times New Roman" w:hAnsi="Times New Roman"/>
          <w:color w:val="000000" w:themeColor="text1"/>
          <w:lang w:eastAsia="sk-SK"/>
        </w:rPr>
        <w:t xml:space="preserve"> eur. </w:t>
      </w:r>
      <w:r w:rsidRPr="005A4598">
        <w:rPr>
          <w:rFonts w:ascii="Times New Roman" w:hAnsi="Times New Roman"/>
          <w:color w:val="000000" w:themeColor="text1"/>
        </w:rPr>
        <w:t xml:space="preserve">Z dôvodu dodržania zásady opatrnosti a na základe realizovanej analýzy skutočného splácania pohľadávok vytvorilo Ministerstvo vnútra SR opravné položky prevažne na pohľadávky evidované v centralizovanom systéme správy pokút a pohľadávok PS-CD. Ide o pohľadávky z nedaňových rozpočtových príjmov. </w:t>
      </w:r>
    </w:p>
    <w:p w14:paraId="0D60E6EE" w14:textId="1D17F55C" w:rsidR="004C0960" w:rsidRPr="005A4598" w:rsidRDefault="004C0960" w:rsidP="004C0960">
      <w:pPr>
        <w:spacing w:after="120" w:line="240" w:lineRule="auto"/>
        <w:jc w:val="both"/>
        <w:rPr>
          <w:rFonts w:ascii="Times New Roman" w:hAnsi="Times New Roman"/>
          <w:color w:val="000000" w:themeColor="text1"/>
          <w:lang w:eastAsia="sk-SK"/>
        </w:rPr>
      </w:pPr>
      <w:r w:rsidRPr="005A4598">
        <w:rPr>
          <w:rFonts w:ascii="Times New Roman" w:hAnsi="Times New Roman"/>
          <w:color w:val="000000" w:themeColor="text1"/>
        </w:rPr>
        <w:t>Najvyšší medziročný pokles, a to až o 165</w:t>
      </w:r>
      <w:r>
        <w:rPr>
          <w:rFonts w:ascii="Times New Roman" w:hAnsi="Times New Roman"/>
          <w:color w:val="000000" w:themeColor="text1"/>
        </w:rPr>
        <w:t> </w:t>
      </w:r>
      <w:r w:rsidRPr="005A4598">
        <w:rPr>
          <w:rFonts w:ascii="Times New Roman" w:hAnsi="Times New Roman"/>
          <w:color w:val="000000" w:themeColor="text1"/>
        </w:rPr>
        <w:t>40</w:t>
      </w:r>
      <w:r>
        <w:rPr>
          <w:rFonts w:ascii="Times New Roman" w:hAnsi="Times New Roman"/>
          <w:color w:val="000000" w:themeColor="text1"/>
        </w:rPr>
        <w:t>1</w:t>
      </w:r>
      <w:r w:rsidR="00200A9A">
        <w:rPr>
          <w:rFonts w:ascii="Times New Roman" w:hAnsi="Times New Roman"/>
          <w:color w:val="000000" w:themeColor="text1"/>
          <w:szCs w:val="22"/>
        </w:rPr>
        <w:t> </w:t>
      </w:r>
      <w:r>
        <w:rPr>
          <w:rFonts w:ascii="Times New Roman" w:hAnsi="Times New Roman"/>
          <w:color w:val="000000" w:themeColor="text1"/>
        </w:rPr>
        <w:t>tis.</w:t>
      </w:r>
      <w:r w:rsidRPr="005A4598">
        <w:rPr>
          <w:rFonts w:ascii="Times New Roman" w:hAnsi="Times New Roman"/>
          <w:color w:val="000000" w:themeColor="text1"/>
        </w:rPr>
        <w:t> eur, vykázal</w:t>
      </w:r>
      <w:r w:rsidRPr="005A4598">
        <w:rPr>
          <w:rFonts w:ascii="Times New Roman" w:hAnsi="Times New Roman"/>
          <w:color w:val="000000" w:themeColor="text1"/>
          <w:lang w:eastAsia="sk-SK"/>
        </w:rPr>
        <w:t xml:space="preserve"> </w:t>
      </w:r>
      <w:r w:rsidRPr="0085799C">
        <w:rPr>
          <w:rFonts w:ascii="Times New Roman" w:hAnsi="Times New Roman"/>
          <w:color w:val="000000" w:themeColor="text1"/>
          <w:u w:val="single"/>
          <w:lang w:eastAsia="sk-SK"/>
        </w:rPr>
        <w:t>Slovenský plynárenský priemysel, a.s</w:t>
      </w:r>
      <w:r w:rsidRPr="0085799C">
        <w:rPr>
          <w:rFonts w:ascii="Times New Roman" w:hAnsi="Times New Roman"/>
          <w:i/>
          <w:color w:val="000000" w:themeColor="text1"/>
          <w:lang w:eastAsia="sk-SK"/>
        </w:rPr>
        <w:t>.</w:t>
      </w:r>
      <w:r w:rsidRPr="005A4598">
        <w:rPr>
          <w:rFonts w:ascii="Times New Roman" w:hAnsi="Times New Roman"/>
          <w:b/>
          <w:i/>
          <w:color w:val="000000" w:themeColor="text1"/>
          <w:lang w:eastAsia="sk-SK"/>
        </w:rPr>
        <w:t xml:space="preserve">, </w:t>
      </w:r>
      <w:r w:rsidRPr="005A4598">
        <w:rPr>
          <w:rFonts w:ascii="Times New Roman" w:hAnsi="Times New Roman"/>
          <w:color w:val="000000" w:themeColor="text1"/>
          <w:lang w:eastAsia="sk-SK"/>
        </w:rPr>
        <w:t>ktorý vykázal tvorbu opravných položiek v </w:t>
      </w:r>
      <w:r w:rsidRPr="001A67CA">
        <w:rPr>
          <w:rFonts w:ascii="Times New Roman" w:hAnsi="Times New Roman"/>
          <w:color w:val="000000" w:themeColor="text1"/>
          <w:lang w:eastAsia="sk-SK"/>
        </w:rPr>
        <w:t xml:space="preserve">sume </w:t>
      </w:r>
      <w:r w:rsidRPr="001A67CA">
        <w:rPr>
          <w:rFonts w:ascii="Times New Roman" w:hAnsi="Times New Roman"/>
          <w:color w:val="000000" w:themeColor="text1"/>
          <w:szCs w:val="22"/>
          <w:lang w:eastAsia="sk-SK"/>
        </w:rPr>
        <w:t>8</w:t>
      </w:r>
      <w:r w:rsidR="001A67CA" w:rsidRPr="0085799C">
        <w:rPr>
          <w:rFonts w:ascii="Times New Roman" w:hAnsi="Times New Roman"/>
          <w:color w:val="000000" w:themeColor="text1"/>
          <w:szCs w:val="22"/>
          <w:lang w:eastAsia="sk-SK"/>
        </w:rPr>
        <w:t> </w:t>
      </w:r>
      <w:r w:rsidRPr="001A67CA">
        <w:rPr>
          <w:rFonts w:ascii="Times New Roman" w:hAnsi="Times New Roman"/>
          <w:color w:val="000000" w:themeColor="text1"/>
          <w:szCs w:val="22"/>
          <w:lang w:eastAsia="sk-SK"/>
        </w:rPr>
        <w:t>126</w:t>
      </w:r>
      <w:r w:rsidR="001A67CA" w:rsidRPr="0085799C">
        <w:rPr>
          <w:rFonts w:ascii="Times New Roman" w:hAnsi="Times New Roman"/>
          <w:color w:val="000000" w:themeColor="text1"/>
          <w:szCs w:val="22"/>
          <w:lang w:eastAsia="sk-SK"/>
        </w:rPr>
        <w:t> tis.</w:t>
      </w:r>
      <w:r w:rsidRPr="001A67CA">
        <w:rPr>
          <w:rFonts w:ascii="Times New Roman" w:hAnsi="Times New Roman"/>
          <w:color w:val="000000" w:themeColor="text1"/>
          <w:szCs w:val="22"/>
          <w:lang w:eastAsia="sk-SK"/>
        </w:rPr>
        <w:t> eur</w:t>
      </w:r>
      <w:r w:rsidRPr="001A67CA">
        <w:rPr>
          <w:rFonts w:ascii="Times New Roman" w:hAnsi="Times New Roman"/>
          <w:color w:val="000000" w:themeColor="text1"/>
          <w:lang w:eastAsia="sk-SK"/>
        </w:rPr>
        <w:t>.</w:t>
      </w:r>
      <w:r w:rsidRPr="005A4598">
        <w:rPr>
          <w:rFonts w:ascii="Times New Roman" w:hAnsi="Times New Roman"/>
          <w:color w:val="000000" w:themeColor="text1"/>
          <w:lang w:eastAsia="sk-SK"/>
        </w:rPr>
        <w:t xml:space="preserve"> </w:t>
      </w:r>
      <w:r w:rsidR="00763638">
        <w:rPr>
          <w:rFonts w:ascii="Times New Roman" w:hAnsi="Times New Roman"/>
          <w:color w:val="000000" w:themeColor="text1"/>
          <w:lang w:eastAsia="sk-SK"/>
        </w:rPr>
        <w:t xml:space="preserve">Účtovná jednotka v predchádzajúcom účtovnom období tvorila významné opravné položky k zásobám zemného plynu, ktoré v tomto účtovnom období nebolo potrebné tvoriť. </w:t>
      </w:r>
      <w:r w:rsidRPr="005A4598">
        <w:rPr>
          <w:rFonts w:ascii="Times New Roman" w:hAnsi="Times New Roman"/>
          <w:color w:val="000000" w:themeColor="text1"/>
          <w:lang w:eastAsia="sk-SK"/>
        </w:rPr>
        <w:t>Vysoký medziročný pokles vo výške 36</w:t>
      </w:r>
      <w:r>
        <w:rPr>
          <w:rFonts w:ascii="Times New Roman" w:hAnsi="Times New Roman"/>
          <w:color w:val="000000" w:themeColor="text1"/>
          <w:lang w:eastAsia="sk-SK"/>
        </w:rPr>
        <w:t> </w:t>
      </w:r>
      <w:r w:rsidRPr="005A4598">
        <w:rPr>
          <w:rFonts w:ascii="Times New Roman" w:hAnsi="Times New Roman"/>
          <w:color w:val="000000" w:themeColor="text1"/>
          <w:lang w:eastAsia="sk-SK"/>
        </w:rPr>
        <w:t>78</w:t>
      </w:r>
      <w:r>
        <w:rPr>
          <w:rFonts w:ascii="Times New Roman" w:hAnsi="Times New Roman"/>
          <w:color w:val="000000" w:themeColor="text1"/>
          <w:lang w:eastAsia="sk-SK"/>
        </w:rPr>
        <w:t>9</w:t>
      </w:r>
      <w:r w:rsidR="00200A9A">
        <w:rPr>
          <w:rFonts w:ascii="Times New Roman" w:hAnsi="Times New Roman"/>
          <w:bCs/>
          <w:color w:val="000000" w:themeColor="text1"/>
          <w:szCs w:val="22"/>
        </w:rPr>
        <w:t> </w:t>
      </w:r>
      <w:r>
        <w:rPr>
          <w:rFonts w:ascii="Times New Roman" w:hAnsi="Times New Roman"/>
          <w:color w:val="000000" w:themeColor="text1"/>
          <w:lang w:eastAsia="sk-SK"/>
        </w:rPr>
        <w:t>tis.</w:t>
      </w:r>
      <w:r w:rsidRPr="005A4598">
        <w:rPr>
          <w:rFonts w:ascii="Times New Roman" w:hAnsi="Times New Roman"/>
          <w:color w:val="000000" w:themeColor="text1"/>
          <w:lang w:eastAsia="sk-SK"/>
        </w:rPr>
        <w:t xml:space="preserve"> eur zaznamenal aj </w:t>
      </w:r>
      <w:r w:rsidRPr="0085799C">
        <w:rPr>
          <w:rFonts w:ascii="Times New Roman" w:hAnsi="Times New Roman"/>
          <w:u w:val="single"/>
        </w:rPr>
        <w:t>Transpetrol, a.s.</w:t>
      </w:r>
      <w:r w:rsidRPr="005A4598">
        <w:rPr>
          <w:rFonts w:ascii="Times New Roman" w:hAnsi="Times New Roman"/>
          <w:b/>
          <w:i/>
          <w:color w:val="000000" w:themeColor="text1"/>
          <w:lang w:eastAsia="sk-SK"/>
        </w:rPr>
        <w:t xml:space="preserve"> </w:t>
      </w:r>
      <w:r w:rsidRPr="005A4598">
        <w:rPr>
          <w:rFonts w:ascii="Times New Roman" w:hAnsi="Times New Roman"/>
          <w:color w:val="000000" w:themeColor="text1"/>
          <w:lang w:eastAsia="sk-SK"/>
        </w:rPr>
        <w:t>z dôvodu prehodnotenia ocenenia majetku na základe posúdenia jeho návratnosti a z toho vyplývajúceho zníženia opravnej položky.</w:t>
      </w:r>
    </w:p>
    <w:p w14:paraId="6032332B" w14:textId="77777777" w:rsidR="00C62B68" w:rsidRDefault="00C62B68" w:rsidP="00A648BA">
      <w:pPr>
        <w:spacing w:after="120" w:line="240" w:lineRule="auto"/>
        <w:jc w:val="both"/>
        <w:rPr>
          <w:rFonts w:ascii="Times New Roman" w:hAnsi="Times New Roman"/>
          <w:color w:val="000000" w:themeColor="text1"/>
          <w:lang w:eastAsia="sk-SK"/>
        </w:rPr>
      </w:pPr>
    </w:p>
    <w:p w14:paraId="6535B88B" w14:textId="2EBC37FA" w:rsidR="00A648BA" w:rsidRDefault="00C62B68" w:rsidP="00C62B68">
      <w:pPr>
        <w:pStyle w:val="Nadpis3"/>
        <w:numPr>
          <w:ilvl w:val="0"/>
          <w:numId w:val="10"/>
        </w:numPr>
        <w:ind w:left="709"/>
        <w:rPr>
          <w:lang w:eastAsia="sk-SK"/>
        </w:rPr>
      </w:pPr>
      <w:r>
        <w:rPr>
          <w:lang w:eastAsia="sk-SK"/>
        </w:rPr>
        <w:t>Ostatné náklady na prevádzkovú činnosť</w:t>
      </w:r>
    </w:p>
    <w:p w14:paraId="2012E08A" w14:textId="7C35B294" w:rsidR="00647542" w:rsidRDefault="00647542" w:rsidP="00647542">
      <w:pPr>
        <w:pStyle w:val="Popis"/>
        <w:keepNext/>
        <w:rPr>
          <w:noProof/>
        </w:rPr>
      </w:pPr>
      <w:r w:rsidRPr="00907622">
        <w:t xml:space="preserve">Tabuľka </w:t>
      </w:r>
      <w:r w:rsidRPr="00907622">
        <w:fldChar w:fldCharType="begin"/>
      </w:r>
      <w:r w:rsidRPr="00907622">
        <w:instrText xml:space="preserve"> SEQ Tabuľka \* ARABIC </w:instrText>
      </w:r>
      <w:r w:rsidRPr="00907622">
        <w:fldChar w:fldCharType="separate"/>
      </w:r>
      <w:r w:rsidRPr="00907622">
        <w:rPr>
          <w:noProof/>
        </w:rPr>
        <w:t>24</w:t>
      </w:r>
      <w:r w:rsidRPr="00907622">
        <w:rPr>
          <w:noProof/>
        </w:rPr>
        <w:fldChar w:fldCharType="end"/>
      </w:r>
    </w:p>
    <w:tbl>
      <w:tblPr>
        <w:tblW w:w="5000" w:type="pct"/>
        <w:jc w:val="center"/>
        <w:tblCellMar>
          <w:left w:w="70" w:type="dxa"/>
          <w:right w:w="70" w:type="dxa"/>
        </w:tblCellMar>
        <w:tblLook w:val="04A0" w:firstRow="1" w:lastRow="0" w:firstColumn="1" w:lastColumn="0" w:noHBand="0" w:noVBand="1"/>
      </w:tblPr>
      <w:tblGrid>
        <w:gridCol w:w="5429"/>
        <w:gridCol w:w="1214"/>
        <w:gridCol w:w="1214"/>
        <w:gridCol w:w="1214"/>
      </w:tblGrid>
      <w:tr w:rsidR="00CA57DB" w:rsidRPr="00CA57DB" w14:paraId="420B41FC" w14:textId="77777777" w:rsidTr="0085799C">
        <w:trPr>
          <w:trHeight w:val="227"/>
          <w:jc w:val="center"/>
        </w:trPr>
        <w:tc>
          <w:tcPr>
            <w:tcW w:w="2993" w:type="pct"/>
            <w:tcBorders>
              <w:top w:val="single" w:sz="8" w:space="0" w:color="auto"/>
              <w:left w:val="nil"/>
              <w:bottom w:val="single" w:sz="8" w:space="0" w:color="auto"/>
              <w:right w:val="nil"/>
            </w:tcBorders>
            <w:shd w:val="clear" w:color="000000" w:fill="F4B084"/>
            <w:noWrap/>
            <w:vAlign w:val="center"/>
            <w:hideMark/>
          </w:tcPr>
          <w:p w14:paraId="40105D19" w14:textId="77777777" w:rsidR="00CA57DB" w:rsidRPr="00CA57DB" w:rsidRDefault="00CA57DB" w:rsidP="00CA57DB">
            <w:pPr>
              <w:spacing w:after="0" w:line="240" w:lineRule="auto"/>
              <w:rPr>
                <w:rFonts w:ascii="Times New Roman" w:hAnsi="Times New Roman"/>
                <w:b/>
                <w:bCs/>
                <w:color w:val="000000"/>
                <w:sz w:val="18"/>
                <w:szCs w:val="18"/>
                <w:lang w:eastAsia="sk-SK"/>
              </w:rPr>
            </w:pPr>
            <w:r w:rsidRPr="00CA57DB">
              <w:rPr>
                <w:rFonts w:ascii="Times New Roman" w:hAnsi="Times New Roman"/>
                <w:b/>
                <w:bCs/>
                <w:color w:val="000000"/>
                <w:sz w:val="18"/>
                <w:szCs w:val="18"/>
                <w:lang w:eastAsia="sk-SK"/>
              </w:rPr>
              <w:t>Ostatné náklady na prevádzkovú činnosť podľa druhu</w:t>
            </w:r>
          </w:p>
        </w:tc>
        <w:tc>
          <w:tcPr>
            <w:tcW w:w="669" w:type="pct"/>
            <w:tcBorders>
              <w:top w:val="single" w:sz="8" w:space="0" w:color="auto"/>
              <w:left w:val="nil"/>
              <w:bottom w:val="single" w:sz="8" w:space="0" w:color="auto"/>
              <w:right w:val="nil"/>
            </w:tcBorders>
            <w:shd w:val="clear" w:color="000000" w:fill="F4B084"/>
            <w:noWrap/>
            <w:vAlign w:val="center"/>
            <w:hideMark/>
          </w:tcPr>
          <w:p w14:paraId="4ED066A4" w14:textId="77777777" w:rsidR="00CA57DB" w:rsidRPr="00CA57DB" w:rsidRDefault="00CA57DB" w:rsidP="00CA57DB">
            <w:pPr>
              <w:spacing w:after="0" w:line="240" w:lineRule="auto"/>
              <w:jc w:val="center"/>
              <w:rPr>
                <w:rFonts w:ascii="Times New Roman" w:hAnsi="Times New Roman"/>
                <w:b/>
                <w:bCs/>
                <w:color w:val="000000"/>
                <w:sz w:val="18"/>
                <w:szCs w:val="18"/>
                <w:lang w:eastAsia="sk-SK"/>
              </w:rPr>
            </w:pPr>
            <w:r w:rsidRPr="00CA57DB">
              <w:rPr>
                <w:rFonts w:ascii="Times New Roman" w:hAnsi="Times New Roman"/>
                <w:b/>
                <w:bCs/>
                <w:color w:val="000000"/>
                <w:sz w:val="18"/>
                <w:szCs w:val="18"/>
                <w:lang w:eastAsia="sk-SK"/>
              </w:rPr>
              <w:t> </w:t>
            </w:r>
          </w:p>
        </w:tc>
        <w:tc>
          <w:tcPr>
            <w:tcW w:w="669" w:type="pct"/>
            <w:tcBorders>
              <w:top w:val="single" w:sz="8" w:space="0" w:color="auto"/>
              <w:left w:val="nil"/>
              <w:bottom w:val="single" w:sz="8" w:space="0" w:color="auto"/>
              <w:right w:val="nil"/>
            </w:tcBorders>
            <w:shd w:val="clear" w:color="000000" w:fill="F4B084"/>
            <w:noWrap/>
            <w:vAlign w:val="center"/>
            <w:hideMark/>
          </w:tcPr>
          <w:p w14:paraId="2BFE8443" w14:textId="77777777" w:rsidR="00CA57DB" w:rsidRPr="00CA57DB" w:rsidRDefault="00CA57DB" w:rsidP="00CA57DB">
            <w:pPr>
              <w:spacing w:after="0" w:line="240" w:lineRule="auto"/>
              <w:jc w:val="center"/>
              <w:rPr>
                <w:rFonts w:ascii="Times New Roman" w:hAnsi="Times New Roman"/>
                <w:b/>
                <w:bCs/>
                <w:color w:val="000000"/>
                <w:sz w:val="18"/>
                <w:szCs w:val="18"/>
                <w:lang w:eastAsia="sk-SK"/>
              </w:rPr>
            </w:pPr>
            <w:r w:rsidRPr="00CA57DB">
              <w:rPr>
                <w:rFonts w:ascii="Times New Roman" w:hAnsi="Times New Roman"/>
                <w:b/>
                <w:bCs/>
                <w:color w:val="000000"/>
                <w:sz w:val="18"/>
                <w:szCs w:val="18"/>
                <w:lang w:eastAsia="sk-SK"/>
              </w:rPr>
              <w:t>(v tis. eur)</w:t>
            </w:r>
          </w:p>
        </w:tc>
        <w:tc>
          <w:tcPr>
            <w:tcW w:w="669" w:type="pct"/>
            <w:tcBorders>
              <w:top w:val="single" w:sz="8" w:space="0" w:color="auto"/>
              <w:left w:val="nil"/>
              <w:bottom w:val="single" w:sz="8" w:space="0" w:color="auto"/>
              <w:right w:val="nil"/>
            </w:tcBorders>
            <w:shd w:val="clear" w:color="000000" w:fill="F4B084"/>
            <w:noWrap/>
            <w:vAlign w:val="center"/>
            <w:hideMark/>
          </w:tcPr>
          <w:p w14:paraId="5E24BA48" w14:textId="77777777" w:rsidR="00CA57DB" w:rsidRPr="00CA57DB" w:rsidRDefault="00CA57DB" w:rsidP="00CA57DB">
            <w:pPr>
              <w:spacing w:after="0" w:line="240" w:lineRule="auto"/>
              <w:jc w:val="center"/>
              <w:rPr>
                <w:rFonts w:ascii="Times New Roman" w:hAnsi="Times New Roman"/>
                <w:b/>
                <w:bCs/>
                <w:color w:val="000000"/>
                <w:sz w:val="18"/>
                <w:szCs w:val="18"/>
                <w:lang w:eastAsia="sk-SK"/>
              </w:rPr>
            </w:pPr>
            <w:r w:rsidRPr="00CA57DB">
              <w:rPr>
                <w:rFonts w:ascii="Times New Roman" w:hAnsi="Times New Roman"/>
                <w:b/>
                <w:bCs/>
                <w:color w:val="000000"/>
                <w:sz w:val="18"/>
                <w:szCs w:val="18"/>
                <w:lang w:eastAsia="sk-SK"/>
              </w:rPr>
              <w:t> </w:t>
            </w:r>
          </w:p>
        </w:tc>
      </w:tr>
      <w:tr w:rsidR="00CA57DB" w:rsidRPr="00CA57DB" w14:paraId="6FA0071B" w14:textId="77777777" w:rsidTr="0085799C">
        <w:trPr>
          <w:trHeight w:val="227"/>
          <w:jc w:val="center"/>
        </w:trPr>
        <w:tc>
          <w:tcPr>
            <w:tcW w:w="2993" w:type="pct"/>
            <w:tcBorders>
              <w:top w:val="nil"/>
              <w:left w:val="nil"/>
              <w:bottom w:val="single" w:sz="8" w:space="0" w:color="auto"/>
              <w:right w:val="nil"/>
            </w:tcBorders>
            <w:shd w:val="clear" w:color="000000" w:fill="BDD7EE"/>
            <w:noWrap/>
            <w:vAlign w:val="center"/>
            <w:hideMark/>
          </w:tcPr>
          <w:p w14:paraId="44EF349E" w14:textId="77777777" w:rsidR="00CA57DB" w:rsidRPr="00CA57DB" w:rsidRDefault="00CA57DB" w:rsidP="00CA57DB">
            <w:pPr>
              <w:spacing w:after="0" w:line="240" w:lineRule="auto"/>
              <w:rPr>
                <w:rFonts w:ascii="Times New Roman" w:hAnsi="Times New Roman"/>
                <w:b/>
                <w:bCs/>
                <w:color w:val="000000"/>
                <w:sz w:val="18"/>
                <w:szCs w:val="18"/>
                <w:lang w:eastAsia="sk-SK"/>
              </w:rPr>
            </w:pPr>
            <w:r w:rsidRPr="00CA57DB">
              <w:rPr>
                <w:rFonts w:ascii="Times New Roman" w:hAnsi="Times New Roman"/>
                <w:b/>
                <w:bCs/>
                <w:color w:val="000000"/>
                <w:sz w:val="18"/>
                <w:szCs w:val="18"/>
                <w:lang w:eastAsia="sk-SK"/>
              </w:rPr>
              <w:t> </w:t>
            </w:r>
          </w:p>
        </w:tc>
        <w:tc>
          <w:tcPr>
            <w:tcW w:w="669" w:type="pct"/>
            <w:tcBorders>
              <w:top w:val="nil"/>
              <w:left w:val="nil"/>
              <w:bottom w:val="single" w:sz="8" w:space="0" w:color="auto"/>
              <w:right w:val="nil"/>
            </w:tcBorders>
            <w:shd w:val="clear" w:color="000000" w:fill="BDD7EE"/>
            <w:noWrap/>
            <w:vAlign w:val="center"/>
            <w:hideMark/>
          </w:tcPr>
          <w:p w14:paraId="27C26399" w14:textId="77777777" w:rsidR="00CA57DB" w:rsidRPr="00CA57DB" w:rsidRDefault="00CA57DB" w:rsidP="00CA57DB">
            <w:pPr>
              <w:spacing w:after="0" w:line="240" w:lineRule="auto"/>
              <w:jc w:val="center"/>
              <w:rPr>
                <w:rFonts w:ascii="Times New Roman" w:hAnsi="Times New Roman"/>
                <w:b/>
                <w:bCs/>
                <w:color w:val="000000"/>
                <w:sz w:val="18"/>
                <w:szCs w:val="18"/>
                <w:lang w:eastAsia="sk-SK"/>
              </w:rPr>
            </w:pPr>
            <w:r w:rsidRPr="00CA57DB">
              <w:rPr>
                <w:rFonts w:ascii="Times New Roman" w:hAnsi="Times New Roman"/>
                <w:b/>
                <w:bCs/>
                <w:color w:val="000000"/>
                <w:sz w:val="18"/>
                <w:szCs w:val="18"/>
                <w:lang w:eastAsia="sk-SK"/>
              </w:rPr>
              <w:t>2024</w:t>
            </w:r>
          </w:p>
        </w:tc>
        <w:tc>
          <w:tcPr>
            <w:tcW w:w="669" w:type="pct"/>
            <w:tcBorders>
              <w:top w:val="nil"/>
              <w:left w:val="nil"/>
              <w:bottom w:val="single" w:sz="8" w:space="0" w:color="auto"/>
              <w:right w:val="nil"/>
            </w:tcBorders>
            <w:shd w:val="clear" w:color="000000" w:fill="BDD7EE"/>
            <w:noWrap/>
            <w:vAlign w:val="center"/>
            <w:hideMark/>
          </w:tcPr>
          <w:p w14:paraId="6773A205" w14:textId="77777777" w:rsidR="00CA57DB" w:rsidRPr="00CA57DB" w:rsidRDefault="00CA57DB" w:rsidP="00CA57DB">
            <w:pPr>
              <w:spacing w:after="0" w:line="240" w:lineRule="auto"/>
              <w:jc w:val="center"/>
              <w:rPr>
                <w:rFonts w:ascii="Times New Roman" w:hAnsi="Times New Roman"/>
                <w:b/>
                <w:bCs/>
                <w:color w:val="000000"/>
                <w:sz w:val="18"/>
                <w:szCs w:val="18"/>
                <w:lang w:eastAsia="sk-SK"/>
              </w:rPr>
            </w:pPr>
            <w:r w:rsidRPr="00CA57DB">
              <w:rPr>
                <w:rFonts w:ascii="Times New Roman" w:hAnsi="Times New Roman"/>
                <w:b/>
                <w:bCs/>
                <w:color w:val="000000"/>
                <w:sz w:val="18"/>
                <w:szCs w:val="18"/>
                <w:lang w:eastAsia="sk-SK"/>
              </w:rPr>
              <w:t>2023</w:t>
            </w:r>
          </w:p>
        </w:tc>
        <w:tc>
          <w:tcPr>
            <w:tcW w:w="669" w:type="pct"/>
            <w:tcBorders>
              <w:top w:val="nil"/>
              <w:left w:val="nil"/>
              <w:bottom w:val="single" w:sz="8" w:space="0" w:color="auto"/>
              <w:right w:val="nil"/>
            </w:tcBorders>
            <w:shd w:val="clear" w:color="000000" w:fill="BDD7EE"/>
            <w:vAlign w:val="center"/>
            <w:hideMark/>
          </w:tcPr>
          <w:p w14:paraId="5A1B97EB" w14:textId="77777777" w:rsidR="00CA57DB" w:rsidRPr="00CA57DB" w:rsidRDefault="00CA57DB" w:rsidP="00CA57DB">
            <w:pPr>
              <w:spacing w:after="0" w:line="240" w:lineRule="auto"/>
              <w:jc w:val="center"/>
              <w:rPr>
                <w:rFonts w:ascii="Times New Roman" w:hAnsi="Times New Roman"/>
                <w:b/>
                <w:bCs/>
                <w:color w:val="000000"/>
                <w:sz w:val="18"/>
                <w:szCs w:val="18"/>
                <w:lang w:eastAsia="sk-SK"/>
              </w:rPr>
            </w:pPr>
            <w:r w:rsidRPr="00CA57DB">
              <w:rPr>
                <w:rFonts w:ascii="Times New Roman" w:hAnsi="Times New Roman"/>
                <w:b/>
                <w:bCs/>
                <w:color w:val="000000"/>
                <w:sz w:val="18"/>
                <w:szCs w:val="18"/>
                <w:lang w:eastAsia="sk-SK"/>
              </w:rPr>
              <w:t>Δ 2024-2023</w:t>
            </w:r>
          </w:p>
        </w:tc>
      </w:tr>
      <w:tr w:rsidR="00CA57DB" w:rsidRPr="00CA57DB" w14:paraId="73496E9C" w14:textId="77777777" w:rsidTr="0085799C">
        <w:trPr>
          <w:trHeight w:val="227"/>
          <w:jc w:val="center"/>
        </w:trPr>
        <w:tc>
          <w:tcPr>
            <w:tcW w:w="2993" w:type="pct"/>
            <w:tcBorders>
              <w:top w:val="nil"/>
              <w:left w:val="nil"/>
              <w:bottom w:val="nil"/>
              <w:right w:val="nil"/>
            </w:tcBorders>
            <w:vAlign w:val="center"/>
            <w:hideMark/>
          </w:tcPr>
          <w:p w14:paraId="693D96DC" w14:textId="2AFDB97F" w:rsidR="00CA57DB" w:rsidRPr="00CA57DB" w:rsidRDefault="00CA57DB" w:rsidP="00CA57DB">
            <w:pPr>
              <w:spacing w:after="0" w:line="240" w:lineRule="auto"/>
              <w:rPr>
                <w:rFonts w:ascii="Times New Roman" w:hAnsi="Times New Roman"/>
                <w:color w:val="000000"/>
                <w:sz w:val="18"/>
                <w:szCs w:val="18"/>
                <w:lang w:eastAsia="sk-SK"/>
              </w:rPr>
            </w:pPr>
            <w:r w:rsidRPr="00CA57DB">
              <w:rPr>
                <w:rFonts w:ascii="Times New Roman" w:hAnsi="Times New Roman"/>
                <w:color w:val="000000"/>
                <w:sz w:val="18"/>
                <w:szCs w:val="18"/>
                <w:lang w:eastAsia="sk-SK"/>
              </w:rPr>
              <w:t>Náklady na dávky soc</w:t>
            </w:r>
            <w:r w:rsidR="00BB0D4F">
              <w:rPr>
                <w:rFonts w:ascii="Times New Roman" w:hAnsi="Times New Roman"/>
                <w:color w:val="000000"/>
                <w:sz w:val="18"/>
                <w:szCs w:val="18"/>
                <w:lang w:eastAsia="sk-SK"/>
              </w:rPr>
              <w:t>i</w:t>
            </w:r>
            <w:r w:rsidRPr="00CA57DB">
              <w:rPr>
                <w:rFonts w:ascii="Times New Roman" w:hAnsi="Times New Roman"/>
                <w:color w:val="000000"/>
                <w:sz w:val="18"/>
                <w:szCs w:val="18"/>
                <w:lang w:eastAsia="sk-SK"/>
              </w:rPr>
              <w:t>álnej pomoci a štátne sociálne dávky</w:t>
            </w:r>
          </w:p>
        </w:tc>
        <w:tc>
          <w:tcPr>
            <w:tcW w:w="669" w:type="pct"/>
            <w:tcBorders>
              <w:top w:val="nil"/>
              <w:left w:val="nil"/>
              <w:bottom w:val="nil"/>
              <w:right w:val="nil"/>
            </w:tcBorders>
            <w:vAlign w:val="center"/>
            <w:hideMark/>
          </w:tcPr>
          <w:p w14:paraId="7AD16018"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2 529 805</w:t>
            </w:r>
          </w:p>
        </w:tc>
        <w:tc>
          <w:tcPr>
            <w:tcW w:w="669" w:type="pct"/>
            <w:tcBorders>
              <w:top w:val="nil"/>
              <w:left w:val="nil"/>
              <w:bottom w:val="nil"/>
              <w:right w:val="nil"/>
            </w:tcBorders>
            <w:vAlign w:val="center"/>
            <w:hideMark/>
          </w:tcPr>
          <w:p w14:paraId="4D606151"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2 282 821</w:t>
            </w:r>
          </w:p>
        </w:tc>
        <w:tc>
          <w:tcPr>
            <w:tcW w:w="669" w:type="pct"/>
            <w:tcBorders>
              <w:top w:val="nil"/>
              <w:left w:val="nil"/>
              <w:bottom w:val="nil"/>
              <w:right w:val="nil"/>
            </w:tcBorders>
            <w:vAlign w:val="center"/>
            <w:hideMark/>
          </w:tcPr>
          <w:p w14:paraId="05825026"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246 984</w:t>
            </w:r>
          </w:p>
        </w:tc>
      </w:tr>
      <w:tr w:rsidR="00CA57DB" w:rsidRPr="00CA57DB" w14:paraId="612D7630" w14:textId="77777777" w:rsidTr="0085799C">
        <w:trPr>
          <w:trHeight w:val="227"/>
          <w:jc w:val="center"/>
        </w:trPr>
        <w:tc>
          <w:tcPr>
            <w:tcW w:w="2993" w:type="pct"/>
            <w:tcBorders>
              <w:top w:val="nil"/>
              <w:left w:val="nil"/>
              <w:bottom w:val="nil"/>
              <w:right w:val="nil"/>
            </w:tcBorders>
            <w:vAlign w:val="center"/>
            <w:hideMark/>
          </w:tcPr>
          <w:p w14:paraId="63254856" w14:textId="77777777" w:rsidR="00CA57DB" w:rsidRPr="00CA57DB" w:rsidRDefault="00CA57DB" w:rsidP="00CA57DB">
            <w:pPr>
              <w:spacing w:after="0" w:line="240" w:lineRule="auto"/>
              <w:rPr>
                <w:rFonts w:ascii="Times New Roman" w:hAnsi="Times New Roman"/>
                <w:color w:val="000000"/>
                <w:sz w:val="18"/>
                <w:szCs w:val="18"/>
                <w:lang w:eastAsia="sk-SK"/>
              </w:rPr>
            </w:pPr>
            <w:r w:rsidRPr="00CA57DB">
              <w:rPr>
                <w:rFonts w:ascii="Times New Roman" w:hAnsi="Times New Roman"/>
                <w:color w:val="000000"/>
                <w:sz w:val="18"/>
                <w:szCs w:val="18"/>
                <w:lang w:eastAsia="sk-SK"/>
              </w:rPr>
              <w:t>Odpis ostatných pohľadávok</w:t>
            </w:r>
          </w:p>
        </w:tc>
        <w:tc>
          <w:tcPr>
            <w:tcW w:w="669" w:type="pct"/>
            <w:tcBorders>
              <w:top w:val="nil"/>
              <w:left w:val="nil"/>
              <w:bottom w:val="nil"/>
              <w:right w:val="nil"/>
            </w:tcBorders>
            <w:vAlign w:val="center"/>
            <w:hideMark/>
          </w:tcPr>
          <w:p w14:paraId="2854FA36"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661 048</w:t>
            </w:r>
          </w:p>
        </w:tc>
        <w:tc>
          <w:tcPr>
            <w:tcW w:w="669" w:type="pct"/>
            <w:tcBorders>
              <w:top w:val="nil"/>
              <w:left w:val="nil"/>
              <w:bottom w:val="nil"/>
              <w:right w:val="nil"/>
            </w:tcBorders>
            <w:vAlign w:val="center"/>
            <w:hideMark/>
          </w:tcPr>
          <w:p w14:paraId="5F0FC3D4"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408 256</w:t>
            </w:r>
          </w:p>
        </w:tc>
        <w:tc>
          <w:tcPr>
            <w:tcW w:w="669" w:type="pct"/>
            <w:tcBorders>
              <w:top w:val="nil"/>
              <w:left w:val="nil"/>
              <w:bottom w:val="nil"/>
              <w:right w:val="nil"/>
            </w:tcBorders>
            <w:vAlign w:val="center"/>
            <w:hideMark/>
          </w:tcPr>
          <w:p w14:paraId="7AD89087"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252 792</w:t>
            </w:r>
          </w:p>
        </w:tc>
      </w:tr>
      <w:tr w:rsidR="00CA57DB" w:rsidRPr="00CA57DB" w14:paraId="7F9C605A" w14:textId="77777777" w:rsidTr="0085799C">
        <w:trPr>
          <w:trHeight w:val="227"/>
          <w:jc w:val="center"/>
        </w:trPr>
        <w:tc>
          <w:tcPr>
            <w:tcW w:w="2993" w:type="pct"/>
            <w:tcBorders>
              <w:top w:val="nil"/>
              <w:left w:val="nil"/>
              <w:bottom w:val="nil"/>
              <w:right w:val="nil"/>
            </w:tcBorders>
            <w:vAlign w:val="center"/>
            <w:hideMark/>
          </w:tcPr>
          <w:p w14:paraId="281C060D" w14:textId="77777777" w:rsidR="00CA57DB" w:rsidRPr="00CA57DB" w:rsidRDefault="00CA57DB" w:rsidP="00CA57DB">
            <w:pPr>
              <w:spacing w:after="0" w:line="240" w:lineRule="auto"/>
              <w:rPr>
                <w:rFonts w:ascii="Times New Roman" w:hAnsi="Times New Roman"/>
                <w:color w:val="000000"/>
                <w:sz w:val="18"/>
                <w:szCs w:val="18"/>
                <w:lang w:eastAsia="sk-SK"/>
              </w:rPr>
            </w:pPr>
            <w:r w:rsidRPr="00CA57DB">
              <w:rPr>
                <w:rFonts w:ascii="Times New Roman" w:hAnsi="Times New Roman"/>
                <w:color w:val="000000"/>
                <w:sz w:val="18"/>
                <w:szCs w:val="18"/>
                <w:lang w:eastAsia="sk-SK"/>
              </w:rPr>
              <w:t>Náklady</w:t>
            </w:r>
            <w:r w:rsidRPr="00CA57DB">
              <w:rPr>
                <w:rFonts w:ascii="Times New Roman" w:hAnsi="Times New Roman"/>
                <w:color w:val="000000"/>
                <w:sz w:val="16"/>
                <w:szCs w:val="16"/>
                <w:lang w:eastAsia="sk-SK"/>
              </w:rPr>
              <w:t> </w:t>
            </w:r>
            <w:r w:rsidRPr="00CA57DB">
              <w:rPr>
                <w:rFonts w:ascii="Times New Roman" w:hAnsi="Times New Roman"/>
                <w:color w:val="000000"/>
                <w:sz w:val="18"/>
                <w:szCs w:val="18"/>
                <w:lang w:eastAsia="sk-SK"/>
              </w:rPr>
              <w:t xml:space="preserve"> SEPS, a.s. na výkup elektriny</w:t>
            </w:r>
          </w:p>
        </w:tc>
        <w:tc>
          <w:tcPr>
            <w:tcW w:w="669" w:type="pct"/>
            <w:tcBorders>
              <w:top w:val="nil"/>
              <w:left w:val="nil"/>
              <w:bottom w:val="nil"/>
              <w:right w:val="nil"/>
            </w:tcBorders>
            <w:vAlign w:val="center"/>
            <w:hideMark/>
          </w:tcPr>
          <w:p w14:paraId="5620E8CD"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272 211</w:t>
            </w:r>
          </w:p>
        </w:tc>
        <w:tc>
          <w:tcPr>
            <w:tcW w:w="669" w:type="pct"/>
            <w:tcBorders>
              <w:top w:val="nil"/>
              <w:left w:val="nil"/>
              <w:bottom w:val="nil"/>
              <w:right w:val="nil"/>
            </w:tcBorders>
            <w:vAlign w:val="center"/>
            <w:hideMark/>
          </w:tcPr>
          <w:p w14:paraId="478FF6A2"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108 952</w:t>
            </w:r>
          </w:p>
        </w:tc>
        <w:tc>
          <w:tcPr>
            <w:tcW w:w="669" w:type="pct"/>
            <w:tcBorders>
              <w:top w:val="nil"/>
              <w:left w:val="nil"/>
              <w:bottom w:val="nil"/>
              <w:right w:val="nil"/>
            </w:tcBorders>
            <w:vAlign w:val="center"/>
            <w:hideMark/>
          </w:tcPr>
          <w:p w14:paraId="78F58FD9"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163 259</w:t>
            </w:r>
          </w:p>
        </w:tc>
      </w:tr>
      <w:tr w:rsidR="00CA57DB" w:rsidRPr="00CA57DB" w14:paraId="742E4278" w14:textId="77777777" w:rsidTr="0085799C">
        <w:trPr>
          <w:trHeight w:val="227"/>
          <w:jc w:val="center"/>
        </w:trPr>
        <w:tc>
          <w:tcPr>
            <w:tcW w:w="2993" w:type="pct"/>
            <w:tcBorders>
              <w:top w:val="nil"/>
              <w:left w:val="nil"/>
              <w:bottom w:val="nil"/>
              <w:right w:val="nil"/>
            </w:tcBorders>
            <w:vAlign w:val="center"/>
            <w:hideMark/>
          </w:tcPr>
          <w:p w14:paraId="2D296BE2" w14:textId="77777777" w:rsidR="00CA57DB" w:rsidRPr="00CA57DB" w:rsidRDefault="00CA57DB" w:rsidP="00CA57DB">
            <w:pPr>
              <w:spacing w:after="0" w:line="240" w:lineRule="auto"/>
              <w:rPr>
                <w:rFonts w:ascii="Times New Roman" w:hAnsi="Times New Roman"/>
                <w:color w:val="000000"/>
                <w:sz w:val="18"/>
                <w:szCs w:val="18"/>
                <w:lang w:eastAsia="sk-SK"/>
              </w:rPr>
            </w:pPr>
            <w:r w:rsidRPr="00CA57DB">
              <w:rPr>
                <w:rFonts w:ascii="Times New Roman" w:hAnsi="Times New Roman"/>
                <w:color w:val="000000"/>
                <w:sz w:val="18"/>
                <w:szCs w:val="18"/>
                <w:lang w:eastAsia="sk-SK"/>
              </w:rPr>
              <w:t>Náklady</w:t>
            </w:r>
            <w:r w:rsidRPr="00CA57DB">
              <w:rPr>
                <w:rFonts w:ascii="Times New Roman" w:hAnsi="Times New Roman"/>
                <w:color w:val="000000"/>
                <w:sz w:val="16"/>
                <w:szCs w:val="16"/>
                <w:lang w:eastAsia="sk-SK"/>
              </w:rPr>
              <w:t> </w:t>
            </w:r>
            <w:r w:rsidRPr="00CA57DB">
              <w:rPr>
                <w:rFonts w:ascii="Times New Roman" w:hAnsi="Times New Roman"/>
                <w:color w:val="000000"/>
                <w:sz w:val="18"/>
                <w:szCs w:val="18"/>
                <w:lang w:eastAsia="sk-SK"/>
              </w:rPr>
              <w:t xml:space="preserve"> na výhry TIPOS, a.s.</w:t>
            </w:r>
          </w:p>
        </w:tc>
        <w:tc>
          <w:tcPr>
            <w:tcW w:w="669" w:type="pct"/>
            <w:tcBorders>
              <w:top w:val="nil"/>
              <w:left w:val="nil"/>
              <w:bottom w:val="nil"/>
              <w:right w:val="nil"/>
            </w:tcBorders>
            <w:vAlign w:val="center"/>
            <w:hideMark/>
          </w:tcPr>
          <w:p w14:paraId="291C9B70"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205 717</w:t>
            </w:r>
          </w:p>
        </w:tc>
        <w:tc>
          <w:tcPr>
            <w:tcW w:w="669" w:type="pct"/>
            <w:tcBorders>
              <w:top w:val="nil"/>
              <w:left w:val="nil"/>
              <w:bottom w:val="nil"/>
              <w:right w:val="nil"/>
            </w:tcBorders>
            <w:vAlign w:val="center"/>
            <w:hideMark/>
          </w:tcPr>
          <w:p w14:paraId="4983E576"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1 199 012</w:t>
            </w:r>
          </w:p>
        </w:tc>
        <w:tc>
          <w:tcPr>
            <w:tcW w:w="669" w:type="pct"/>
            <w:tcBorders>
              <w:top w:val="nil"/>
              <w:left w:val="nil"/>
              <w:bottom w:val="nil"/>
              <w:right w:val="nil"/>
            </w:tcBorders>
            <w:vAlign w:val="center"/>
            <w:hideMark/>
          </w:tcPr>
          <w:p w14:paraId="6406CE89"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-993 295</w:t>
            </w:r>
          </w:p>
        </w:tc>
      </w:tr>
      <w:tr w:rsidR="00CA57DB" w:rsidRPr="00CA57DB" w14:paraId="4A3C3610" w14:textId="77777777" w:rsidTr="0085799C">
        <w:trPr>
          <w:trHeight w:val="227"/>
          <w:jc w:val="center"/>
        </w:trPr>
        <w:tc>
          <w:tcPr>
            <w:tcW w:w="2993" w:type="pct"/>
            <w:tcBorders>
              <w:top w:val="nil"/>
              <w:left w:val="nil"/>
              <w:bottom w:val="nil"/>
              <w:right w:val="nil"/>
            </w:tcBorders>
            <w:vAlign w:val="center"/>
            <w:hideMark/>
          </w:tcPr>
          <w:p w14:paraId="2DB8FA98" w14:textId="77777777" w:rsidR="00CA57DB" w:rsidRPr="00CA57DB" w:rsidRDefault="00CA57DB" w:rsidP="00CA57DB">
            <w:pPr>
              <w:spacing w:after="0" w:line="240" w:lineRule="auto"/>
              <w:rPr>
                <w:rFonts w:ascii="Times New Roman" w:hAnsi="Times New Roman"/>
                <w:color w:val="000000"/>
                <w:sz w:val="18"/>
                <w:szCs w:val="18"/>
                <w:lang w:eastAsia="sk-SK"/>
              </w:rPr>
            </w:pPr>
            <w:r w:rsidRPr="00CA57DB">
              <w:rPr>
                <w:rFonts w:ascii="Times New Roman" w:hAnsi="Times New Roman"/>
                <w:color w:val="000000"/>
                <w:sz w:val="18"/>
                <w:szCs w:val="18"/>
                <w:lang w:eastAsia="sk-SK"/>
              </w:rPr>
              <w:t xml:space="preserve">Špecifické </w:t>
            </w:r>
            <w:r w:rsidRPr="00CA57DB">
              <w:rPr>
                <w:rFonts w:ascii="Times New Roman" w:hAnsi="Times New Roman"/>
                <w:color w:val="000000"/>
                <w:sz w:val="16"/>
                <w:szCs w:val="16"/>
                <w:lang w:eastAsia="sk-SK"/>
              </w:rPr>
              <w:t> </w:t>
            </w:r>
            <w:r w:rsidRPr="00CA57DB">
              <w:rPr>
                <w:rFonts w:ascii="Times New Roman" w:hAnsi="Times New Roman"/>
                <w:color w:val="000000"/>
                <w:sz w:val="18"/>
                <w:szCs w:val="18"/>
                <w:lang w:eastAsia="sk-SK"/>
              </w:rPr>
              <w:t>náklady MF SR</w:t>
            </w:r>
          </w:p>
        </w:tc>
        <w:tc>
          <w:tcPr>
            <w:tcW w:w="669" w:type="pct"/>
            <w:tcBorders>
              <w:top w:val="nil"/>
              <w:left w:val="nil"/>
              <w:bottom w:val="nil"/>
              <w:right w:val="nil"/>
            </w:tcBorders>
            <w:vAlign w:val="center"/>
            <w:hideMark/>
          </w:tcPr>
          <w:p w14:paraId="2C725C95"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150 073</w:t>
            </w:r>
          </w:p>
        </w:tc>
        <w:tc>
          <w:tcPr>
            <w:tcW w:w="669" w:type="pct"/>
            <w:tcBorders>
              <w:top w:val="nil"/>
              <w:left w:val="nil"/>
              <w:bottom w:val="nil"/>
              <w:right w:val="nil"/>
            </w:tcBorders>
            <w:vAlign w:val="center"/>
            <w:hideMark/>
          </w:tcPr>
          <w:p w14:paraId="3A567EEB"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117 937</w:t>
            </w:r>
          </w:p>
        </w:tc>
        <w:tc>
          <w:tcPr>
            <w:tcW w:w="669" w:type="pct"/>
            <w:tcBorders>
              <w:top w:val="nil"/>
              <w:left w:val="nil"/>
              <w:bottom w:val="nil"/>
              <w:right w:val="nil"/>
            </w:tcBorders>
            <w:vAlign w:val="center"/>
            <w:hideMark/>
          </w:tcPr>
          <w:p w14:paraId="234FDF74"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32 136</w:t>
            </w:r>
          </w:p>
        </w:tc>
      </w:tr>
      <w:tr w:rsidR="00CA57DB" w:rsidRPr="00CA57DB" w14:paraId="3AE5F5E2" w14:textId="77777777" w:rsidTr="0085799C">
        <w:trPr>
          <w:trHeight w:val="227"/>
          <w:jc w:val="center"/>
        </w:trPr>
        <w:tc>
          <w:tcPr>
            <w:tcW w:w="2993" w:type="pct"/>
            <w:tcBorders>
              <w:top w:val="nil"/>
              <w:left w:val="nil"/>
              <w:bottom w:val="nil"/>
              <w:right w:val="nil"/>
            </w:tcBorders>
            <w:vAlign w:val="center"/>
            <w:hideMark/>
          </w:tcPr>
          <w:p w14:paraId="02F2E440" w14:textId="77777777" w:rsidR="00CA57DB" w:rsidRPr="00CA57DB" w:rsidRDefault="00CA57DB" w:rsidP="00CA57DB">
            <w:pPr>
              <w:spacing w:after="0" w:line="240" w:lineRule="auto"/>
              <w:rPr>
                <w:rFonts w:ascii="Times New Roman" w:hAnsi="Times New Roman"/>
                <w:color w:val="000000"/>
                <w:sz w:val="18"/>
                <w:szCs w:val="18"/>
                <w:lang w:eastAsia="sk-SK"/>
              </w:rPr>
            </w:pPr>
            <w:r w:rsidRPr="00CA57DB">
              <w:rPr>
                <w:rFonts w:ascii="Times New Roman" w:hAnsi="Times New Roman"/>
                <w:color w:val="000000"/>
                <w:sz w:val="18"/>
                <w:szCs w:val="18"/>
                <w:lang w:eastAsia="sk-SK"/>
              </w:rPr>
              <w:t>Zostatková cena predaného dlhodobého majetku</w:t>
            </w:r>
          </w:p>
        </w:tc>
        <w:tc>
          <w:tcPr>
            <w:tcW w:w="669" w:type="pct"/>
            <w:tcBorders>
              <w:top w:val="nil"/>
              <w:left w:val="nil"/>
              <w:bottom w:val="nil"/>
              <w:right w:val="nil"/>
            </w:tcBorders>
            <w:vAlign w:val="center"/>
            <w:hideMark/>
          </w:tcPr>
          <w:p w14:paraId="3B2B15F6"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122 748</w:t>
            </w:r>
          </w:p>
        </w:tc>
        <w:tc>
          <w:tcPr>
            <w:tcW w:w="669" w:type="pct"/>
            <w:tcBorders>
              <w:top w:val="nil"/>
              <w:left w:val="nil"/>
              <w:bottom w:val="nil"/>
              <w:right w:val="nil"/>
            </w:tcBorders>
            <w:vAlign w:val="center"/>
            <w:hideMark/>
          </w:tcPr>
          <w:p w14:paraId="7EF6465F"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94 498</w:t>
            </w:r>
          </w:p>
        </w:tc>
        <w:tc>
          <w:tcPr>
            <w:tcW w:w="669" w:type="pct"/>
            <w:tcBorders>
              <w:top w:val="nil"/>
              <w:left w:val="nil"/>
              <w:bottom w:val="nil"/>
              <w:right w:val="nil"/>
            </w:tcBorders>
            <w:vAlign w:val="center"/>
            <w:hideMark/>
          </w:tcPr>
          <w:p w14:paraId="48F6B0B5"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28 250</w:t>
            </w:r>
          </w:p>
        </w:tc>
      </w:tr>
      <w:tr w:rsidR="00CA57DB" w:rsidRPr="00CA57DB" w14:paraId="7A93B360" w14:textId="77777777" w:rsidTr="0085799C">
        <w:trPr>
          <w:trHeight w:val="227"/>
          <w:jc w:val="center"/>
        </w:trPr>
        <w:tc>
          <w:tcPr>
            <w:tcW w:w="2993" w:type="pct"/>
            <w:tcBorders>
              <w:top w:val="nil"/>
              <w:left w:val="nil"/>
              <w:bottom w:val="nil"/>
              <w:right w:val="nil"/>
            </w:tcBorders>
            <w:vAlign w:val="center"/>
            <w:hideMark/>
          </w:tcPr>
          <w:p w14:paraId="2316A8AF" w14:textId="77777777" w:rsidR="00CA57DB" w:rsidRPr="00CA57DB" w:rsidRDefault="00CA57DB" w:rsidP="00CA57DB">
            <w:pPr>
              <w:spacing w:after="0" w:line="240" w:lineRule="auto"/>
              <w:rPr>
                <w:rFonts w:ascii="Times New Roman" w:hAnsi="Times New Roman"/>
                <w:color w:val="000000"/>
                <w:sz w:val="18"/>
                <w:szCs w:val="18"/>
                <w:lang w:eastAsia="sk-SK"/>
              </w:rPr>
            </w:pPr>
            <w:r w:rsidRPr="00CA57DB">
              <w:rPr>
                <w:rFonts w:ascii="Times New Roman" w:hAnsi="Times New Roman"/>
                <w:color w:val="000000"/>
                <w:sz w:val="18"/>
                <w:szCs w:val="18"/>
                <w:lang w:eastAsia="sk-SK"/>
              </w:rPr>
              <w:t>Pokuty, penále a úroky z omeškania</w:t>
            </w:r>
          </w:p>
        </w:tc>
        <w:tc>
          <w:tcPr>
            <w:tcW w:w="669" w:type="pct"/>
            <w:tcBorders>
              <w:top w:val="nil"/>
              <w:left w:val="nil"/>
              <w:bottom w:val="nil"/>
              <w:right w:val="nil"/>
            </w:tcBorders>
            <w:vAlign w:val="center"/>
            <w:hideMark/>
          </w:tcPr>
          <w:p w14:paraId="3752034A"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47 114</w:t>
            </w:r>
          </w:p>
        </w:tc>
        <w:tc>
          <w:tcPr>
            <w:tcW w:w="669" w:type="pct"/>
            <w:tcBorders>
              <w:top w:val="nil"/>
              <w:left w:val="nil"/>
              <w:bottom w:val="nil"/>
              <w:right w:val="nil"/>
            </w:tcBorders>
            <w:vAlign w:val="center"/>
            <w:hideMark/>
          </w:tcPr>
          <w:p w14:paraId="6054ECD2"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45 691</w:t>
            </w:r>
          </w:p>
        </w:tc>
        <w:tc>
          <w:tcPr>
            <w:tcW w:w="669" w:type="pct"/>
            <w:tcBorders>
              <w:top w:val="nil"/>
              <w:left w:val="nil"/>
              <w:bottom w:val="nil"/>
              <w:right w:val="nil"/>
            </w:tcBorders>
            <w:vAlign w:val="center"/>
            <w:hideMark/>
          </w:tcPr>
          <w:p w14:paraId="350E244F"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1 423</w:t>
            </w:r>
          </w:p>
        </w:tc>
      </w:tr>
      <w:tr w:rsidR="00CA57DB" w:rsidRPr="00CA57DB" w14:paraId="3C1CB764" w14:textId="77777777" w:rsidTr="0085799C">
        <w:trPr>
          <w:trHeight w:val="227"/>
          <w:jc w:val="center"/>
        </w:trPr>
        <w:tc>
          <w:tcPr>
            <w:tcW w:w="2993" w:type="pct"/>
            <w:tcBorders>
              <w:top w:val="nil"/>
              <w:left w:val="nil"/>
              <w:bottom w:val="nil"/>
              <w:right w:val="nil"/>
            </w:tcBorders>
            <w:vAlign w:val="center"/>
            <w:hideMark/>
          </w:tcPr>
          <w:p w14:paraId="0F55716C" w14:textId="77777777" w:rsidR="00CA57DB" w:rsidRPr="00CA57DB" w:rsidRDefault="00CA57DB" w:rsidP="00CA57DB">
            <w:pPr>
              <w:spacing w:after="0" w:line="240" w:lineRule="auto"/>
              <w:rPr>
                <w:rFonts w:ascii="Times New Roman" w:hAnsi="Times New Roman"/>
                <w:color w:val="000000"/>
                <w:sz w:val="18"/>
                <w:szCs w:val="18"/>
                <w:lang w:eastAsia="sk-SK"/>
              </w:rPr>
            </w:pPr>
            <w:r w:rsidRPr="00CA57DB">
              <w:rPr>
                <w:rFonts w:ascii="Times New Roman" w:hAnsi="Times New Roman"/>
                <w:color w:val="000000"/>
                <w:sz w:val="18"/>
                <w:szCs w:val="18"/>
                <w:lang w:eastAsia="sk-SK"/>
              </w:rPr>
              <w:t>Predaný materiál</w:t>
            </w:r>
          </w:p>
        </w:tc>
        <w:tc>
          <w:tcPr>
            <w:tcW w:w="669" w:type="pct"/>
            <w:tcBorders>
              <w:top w:val="nil"/>
              <w:left w:val="nil"/>
              <w:bottom w:val="nil"/>
              <w:right w:val="nil"/>
            </w:tcBorders>
            <w:vAlign w:val="center"/>
            <w:hideMark/>
          </w:tcPr>
          <w:p w14:paraId="5BED0656"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14 844</w:t>
            </w:r>
          </w:p>
        </w:tc>
        <w:tc>
          <w:tcPr>
            <w:tcW w:w="669" w:type="pct"/>
            <w:tcBorders>
              <w:top w:val="nil"/>
              <w:left w:val="nil"/>
              <w:bottom w:val="nil"/>
              <w:right w:val="nil"/>
            </w:tcBorders>
            <w:vAlign w:val="center"/>
            <w:hideMark/>
          </w:tcPr>
          <w:p w14:paraId="2F1903BC"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23 246</w:t>
            </w:r>
          </w:p>
        </w:tc>
        <w:tc>
          <w:tcPr>
            <w:tcW w:w="669" w:type="pct"/>
            <w:tcBorders>
              <w:top w:val="nil"/>
              <w:left w:val="nil"/>
              <w:bottom w:val="nil"/>
              <w:right w:val="nil"/>
            </w:tcBorders>
            <w:vAlign w:val="center"/>
            <w:hideMark/>
          </w:tcPr>
          <w:p w14:paraId="6DB10BC0"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-8 402</w:t>
            </w:r>
          </w:p>
        </w:tc>
      </w:tr>
      <w:tr w:rsidR="00CA57DB" w:rsidRPr="00CA57DB" w14:paraId="536DDB91" w14:textId="77777777" w:rsidTr="0085799C">
        <w:trPr>
          <w:trHeight w:val="227"/>
          <w:jc w:val="center"/>
        </w:trPr>
        <w:tc>
          <w:tcPr>
            <w:tcW w:w="2993" w:type="pct"/>
            <w:tcBorders>
              <w:top w:val="nil"/>
              <w:left w:val="nil"/>
              <w:bottom w:val="single" w:sz="8" w:space="0" w:color="auto"/>
              <w:right w:val="nil"/>
            </w:tcBorders>
            <w:vAlign w:val="center"/>
            <w:hideMark/>
          </w:tcPr>
          <w:p w14:paraId="34B44DDF" w14:textId="77777777" w:rsidR="00CA57DB" w:rsidRPr="00CA57DB" w:rsidRDefault="00CA57DB" w:rsidP="00CA57DB">
            <w:pPr>
              <w:spacing w:after="0" w:line="240" w:lineRule="auto"/>
              <w:rPr>
                <w:rFonts w:ascii="Times New Roman" w:hAnsi="Times New Roman"/>
                <w:color w:val="000000"/>
                <w:sz w:val="18"/>
                <w:szCs w:val="18"/>
                <w:lang w:eastAsia="sk-SK"/>
              </w:rPr>
            </w:pPr>
            <w:r w:rsidRPr="00CA57DB">
              <w:rPr>
                <w:rFonts w:ascii="Times New Roman" w:hAnsi="Times New Roman"/>
                <w:color w:val="000000"/>
                <w:sz w:val="18"/>
                <w:szCs w:val="18"/>
                <w:lang w:eastAsia="sk-SK"/>
              </w:rPr>
              <w:t>Ostatné náklady na prevádzkovú činnosť</w:t>
            </w:r>
          </w:p>
        </w:tc>
        <w:tc>
          <w:tcPr>
            <w:tcW w:w="669" w:type="pct"/>
            <w:tcBorders>
              <w:top w:val="nil"/>
              <w:left w:val="nil"/>
              <w:bottom w:val="single" w:sz="8" w:space="0" w:color="auto"/>
              <w:right w:val="nil"/>
            </w:tcBorders>
            <w:vAlign w:val="center"/>
            <w:hideMark/>
          </w:tcPr>
          <w:p w14:paraId="041C35FD"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1 573 810</w:t>
            </w:r>
          </w:p>
        </w:tc>
        <w:tc>
          <w:tcPr>
            <w:tcW w:w="669" w:type="pct"/>
            <w:tcBorders>
              <w:top w:val="nil"/>
              <w:left w:val="nil"/>
              <w:bottom w:val="single" w:sz="8" w:space="0" w:color="auto"/>
              <w:right w:val="nil"/>
            </w:tcBorders>
            <w:vAlign w:val="center"/>
            <w:hideMark/>
          </w:tcPr>
          <w:p w14:paraId="494FD372"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1 334 479</w:t>
            </w:r>
          </w:p>
        </w:tc>
        <w:tc>
          <w:tcPr>
            <w:tcW w:w="669" w:type="pct"/>
            <w:tcBorders>
              <w:top w:val="nil"/>
              <w:left w:val="nil"/>
              <w:bottom w:val="nil"/>
              <w:right w:val="nil"/>
            </w:tcBorders>
            <w:vAlign w:val="center"/>
            <w:hideMark/>
          </w:tcPr>
          <w:p w14:paraId="166FA085" w14:textId="77777777" w:rsidR="00CA57DB" w:rsidRPr="00CA57DB" w:rsidRDefault="00CA57DB" w:rsidP="00CA57DB">
            <w:pPr>
              <w:spacing w:after="0" w:line="240" w:lineRule="auto"/>
              <w:jc w:val="right"/>
              <w:rPr>
                <w:rFonts w:ascii="Times New Roman" w:hAnsi="Times New Roman"/>
                <w:color w:val="000000"/>
                <w:sz w:val="18"/>
                <w:szCs w:val="18"/>
                <w:lang w:eastAsia="sk-SK"/>
              </w:rPr>
            </w:pPr>
            <w:r w:rsidRPr="00CA57DB">
              <w:rPr>
                <w:rFonts w:ascii="Times New Roman" w:hAnsi="Times New Roman"/>
                <w:color w:val="000000"/>
                <w:sz w:val="18"/>
                <w:szCs w:val="18"/>
                <w:lang w:eastAsia="sk-SK"/>
              </w:rPr>
              <w:t>239 331</w:t>
            </w:r>
          </w:p>
        </w:tc>
      </w:tr>
      <w:tr w:rsidR="00CA57DB" w:rsidRPr="00CA57DB" w14:paraId="40AD59C1" w14:textId="77777777" w:rsidTr="0085799C">
        <w:trPr>
          <w:trHeight w:val="227"/>
          <w:jc w:val="center"/>
        </w:trPr>
        <w:tc>
          <w:tcPr>
            <w:tcW w:w="2993" w:type="pct"/>
            <w:tcBorders>
              <w:top w:val="nil"/>
              <w:left w:val="nil"/>
              <w:bottom w:val="single" w:sz="8" w:space="0" w:color="000000"/>
              <w:right w:val="nil"/>
            </w:tcBorders>
            <w:vAlign w:val="center"/>
            <w:hideMark/>
          </w:tcPr>
          <w:p w14:paraId="388D2DEE" w14:textId="77777777" w:rsidR="00CA57DB" w:rsidRPr="00CA57DB" w:rsidRDefault="00CA57DB" w:rsidP="00CA57DB">
            <w:pPr>
              <w:spacing w:after="0" w:line="240" w:lineRule="auto"/>
              <w:rPr>
                <w:rFonts w:ascii="Times New Roman" w:hAnsi="Times New Roman"/>
                <w:b/>
                <w:bCs/>
                <w:color w:val="000000"/>
                <w:sz w:val="18"/>
                <w:szCs w:val="18"/>
                <w:lang w:eastAsia="sk-SK"/>
              </w:rPr>
            </w:pPr>
            <w:r w:rsidRPr="00CA57DB">
              <w:rPr>
                <w:rFonts w:ascii="Times New Roman" w:hAnsi="Times New Roman"/>
                <w:b/>
                <w:bCs/>
                <w:color w:val="000000"/>
                <w:sz w:val="18"/>
                <w:szCs w:val="18"/>
                <w:lang w:eastAsia="sk-SK"/>
              </w:rPr>
              <w:t>Spolu</w:t>
            </w:r>
          </w:p>
        </w:tc>
        <w:tc>
          <w:tcPr>
            <w:tcW w:w="669" w:type="pct"/>
            <w:tcBorders>
              <w:top w:val="nil"/>
              <w:left w:val="nil"/>
              <w:bottom w:val="single" w:sz="8" w:space="0" w:color="auto"/>
              <w:right w:val="nil"/>
            </w:tcBorders>
            <w:vAlign w:val="center"/>
            <w:hideMark/>
          </w:tcPr>
          <w:p w14:paraId="1B27DEA7" w14:textId="77777777" w:rsidR="00CA57DB" w:rsidRPr="00CA57DB" w:rsidRDefault="00CA57DB" w:rsidP="00CA57DB">
            <w:pPr>
              <w:spacing w:after="0" w:line="240" w:lineRule="auto"/>
              <w:jc w:val="right"/>
              <w:rPr>
                <w:rFonts w:ascii="Times New Roman" w:hAnsi="Times New Roman"/>
                <w:b/>
                <w:bCs/>
                <w:color w:val="000000"/>
                <w:sz w:val="18"/>
                <w:szCs w:val="18"/>
                <w:lang w:eastAsia="sk-SK"/>
              </w:rPr>
            </w:pPr>
            <w:r w:rsidRPr="00CA57DB">
              <w:rPr>
                <w:rFonts w:ascii="Times New Roman" w:hAnsi="Times New Roman"/>
                <w:b/>
                <w:bCs/>
                <w:color w:val="000000"/>
                <w:sz w:val="18"/>
                <w:szCs w:val="18"/>
                <w:lang w:eastAsia="sk-SK"/>
              </w:rPr>
              <w:t>5 577 370</w:t>
            </w:r>
          </w:p>
        </w:tc>
        <w:tc>
          <w:tcPr>
            <w:tcW w:w="669" w:type="pct"/>
            <w:tcBorders>
              <w:top w:val="nil"/>
              <w:left w:val="nil"/>
              <w:bottom w:val="single" w:sz="8" w:space="0" w:color="auto"/>
              <w:right w:val="nil"/>
            </w:tcBorders>
            <w:vAlign w:val="center"/>
            <w:hideMark/>
          </w:tcPr>
          <w:p w14:paraId="63956251" w14:textId="77777777" w:rsidR="00CA57DB" w:rsidRPr="00CA57DB" w:rsidRDefault="00CA57DB" w:rsidP="00CA57DB">
            <w:pPr>
              <w:spacing w:after="0" w:line="240" w:lineRule="auto"/>
              <w:jc w:val="right"/>
              <w:rPr>
                <w:rFonts w:ascii="Times New Roman" w:hAnsi="Times New Roman"/>
                <w:b/>
                <w:bCs/>
                <w:color w:val="000000"/>
                <w:sz w:val="18"/>
                <w:szCs w:val="18"/>
                <w:lang w:eastAsia="sk-SK"/>
              </w:rPr>
            </w:pPr>
            <w:r w:rsidRPr="00CA57DB">
              <w:rPr>
                <w:rFonts w:ascii="Times New Roman" w:hAnsi="Times New Roman"/>
                <w:b/>
                <w:bCs/>
                <w:color w:val="000000"/>
                <w:sz w:val="18"/>
                <w:szCs w:val="18"/>
                <w:lang w:eastAsia="sk-SK"/>
              </w:rPr>
              <w:t>5 614 892</w:t>
            </w:r>
          </w:p>
        </w:tc>
        <w:tc>
          <w:tcPr>
            <w:tcW w:w="669" w:type="pct"/>
            <w:tcBorders>
              <w:top w:val="single" w:sz="8" w:space="0" w:color="auto"/>
              <w:left w:val="nil"/>
              <w:bottom w:val="single" w:sz="8" w:space="0" w:color="auto"/>
              <w:right w:val="nil"/>
            </w:tcBorders>
            <w:vAlign w:val="center"/>
            <w:hideMark/>
          </w:tcPr>
          <w:p w14:paraId="74E9995C" w14:textId="77777777" w:rsidR="00CA57DB" w:rsidRPr="00CA57DB" w:rsidRDefault="00CA57DB" w:rsidP="00CA57DB">
            <w:pPr>
              <w:spacing w:after="0" w:line="240" w:lineRule="auto"/>
              <w:jc w:val="right"/>
              <w:rPr>
                <w:rFonts w:ascii="Times New Roman" w:hAnsi="Times New Roman"/>
                <w:b/>
                <w:bCs/>
                <w:color w:val="000000"/>
                <w:sz w:val="18"/>
                <w:szCs w:val="18"/>
                <w:lang w:eastAsia="sk-SK"/>
              </w:rPr>
            </w:pPr>
            <w:r w:rsidRPr="00CA57DB">
              <w:rPr>
                <w:rFonts w:ascii="Times New Roman" w:hAnsi="Times New Roman"/>
                <w:b/>
                <w:bCs/>
                <w:color w:val="000000"/>
                <w:sz w:val="18"/>
                <w:szCs w:val="18"/>
                <w:lang w:eastAsia="sk-SK"/>
              </w:rPr>
              <w:t>-37 522</w:t>
            </w:r>
          </w:p>
        </w:tc>
      </w:tr>
      <w:tr w:rsidR="00CA57DB" w:rsidRPr="00CA57DB" w14:paraId="5654D559" w14:textId="77777777" w:rsidTr="0085799C">
        <w:trPr>
          <w:trHeight w:val="227"/>
          <w:jc w:val="center"/>
        </w:trPr>
        <w:tc>
          <w:tcPr>
            <w:tcW w:w="5000" w:type="pct"/>
            <w:gridSpan w:val="4"/>
            <w:tcBorders>
              <w:top w:val="nil"/>
              <w:left w:val="nil"/>
              <w:bottom w:val="nil"/>
              <w:right w:val="nil"/>
            </w:tcBorders>
            <w:noWrap/>
            <w:vAlign w:val="center"/>
            <w:hideMark/>
          </w:tcPr>
          <w:p w14:paraId="55591A5A" w14:textId="77777777" w:rsidR="00CA57DB" w:rsidRPr="00CA57DB" w:rsidRDefault="00CA57DB" w:rsidP="00CA57DB">
            <w:pPr>
              <w:spacing w:after="0" w:line="240" w:lineRule="auto"/>
              <w:jc w:val="right"/>
              <w:rPr>
                <w:rFonts w:ascii="Times New Roman" w:hAnsi="Times New Roman"/>
                <w:color w:val="000000"/>
                <w:sz w:val="16"/>
                <w:szCs w:val="16"/>
                <w:lang w:eastAsia="sk-SK"/>
              </w:rPr>
            </w:pPr>
            <w:r w:rsidRPr="00CA57DB">
              <w:rPr>
                <w:rFonts w:ascii="Times New Roman" w:hAnsi="Times New Roman"/>
                <w:color w:val="000000"/>
                <w:sz w:val="16"/>
                <w:szCs w:val="16"/>
                <w:lang w:eastAsia="sk-SK"/>
              </w:rPr>
              <w:t>Zdroj: MF SR, Centrálny konsolidačný systém</w:t>
            </w:r>
          </w:p>
        </w:tc>
      </w:tr>
    </w:tbl>
    <w:p w14:paraId="3F49F61C" w14:textId="77777777" w:rsidR="00CA57DB" w:rsidRPr="00907622" w:rsidRDefault="00CA57DB" w:rsidP="00CC539E">
      <w:pPr>
        <w:pStyle w:val="Pismenka"/>
        <w:tabs>
          <w:tab w:val="clear" w:pos="426"/>
        </w:tabs>
        <w:spacing w:after="120"/>
        <w:jc w:val="right"/>
        <w:rPr>
          <w:b w:val="0"/>
        </w:rPr>
      </w:pPr>
    </w:p>
    <w:p w14:paraId="04EA63ED" w14:textId="0B1ED0F5" w:rsidR="00647542" w:rsidRPr="00DD60C3" w:rsidRDefault="00647542" w:rsidP="0085799C">
      <w:pPr>
        <w:spacing w:after="120" w:line="240" w:lineRule="auto"/>
        <w:jc w:val="both"/>
        <w:rPr>
          <w:rFonts w:ascii="Times New Roman" w:hAnsi="Times New Roman"/>
          <w:color w:val="000000"/>
          <w:szCs w:val="22"/>
          <w:lang w:eastAsia="sk-SK"/>
        </w:rPr>
      </w:pPr>
      <w:r w:rsidRPr="001D09B6">
        <w:rPr>
          <w:rFonts w:ascii="Times New Roman" w:hAnsi="Times New Roman"/>
          <w:color w:val="000000"/>
          <w:szCs w:val="22"/>
          <w:lang w:eastAsia="sk-SK"/>
        </w:rPr>
        <w:t>C</w:t>
      </w:r>
      <w:r w:rsidRPr="001D09B6">
        <w:rPr>
          <w:rFonts w:ascii="Times New Roman" w:hAnsi="Times New Roman"/>
          <w:color w:val="000000"/>
          <w:szCs w:val="22"/>
        </w:rPr>
        <w:t xml:space="preserve">elkovo ostatné náklady na prevádzkovú činnosť dosiahli </w:t>
      </w:r>
      <w:r w:rsidR="001B72F3" w:rsidRPr="0085799C">
        <w:rPr>
          <w:rFonts w:ascii="Times New Roman" w:hAnsi="Times New Roman"/>
          <w:bCs/>
          <w:color w:val="000000"/>
          <w:szCs w:val="22"/>
        </w:rPr>
        <w:t>5</w:t>
      </w:r>
      <w:r w:rsidR="00200A9A" w:rsidRPr="001D09B6">
        <w:rPr>
          <w:rFonts w:ascii="Times New Roman" w:hAnsi="Times New Roman"/>
          <w:bCs/>
          <w:color w:val="000000"/>
          <w:szCs w:val="22"/>
        </w:rPr>
        <w:t> </w:t>
      </w:r>
      <w:r w:rsidR="001B72F3" w:rsidRPr="0085799C">
        <w:rPr>
          <w:rFonts w:ascii="Times New Roman" w:hAnsi="Times New Roman"/>
          <w:bCs/>
          <w:color w:val="000000"/>
          <w:szCs w:val="22"/>
        </w:rPr>
        <w:t>577</w:t>
      </w:r>
      <w:r w:rsidR="00200A9A" w:rsidRPr="001D09B6">
        <w:rPr>
          <w:rFonts w:ascii="Times New Roman" w:hAnsi="Times New Roman"/>
          <w:bCs/>
          <w:color w:val="000000"/>
          <w:szCs w:val="22"/>
        </w:rPr>
        <w:t> </w:t>
      </w:r>
      <w:r w:rsidR="001B72F3" w:rsidRPr="0085799C">
        <w:rPr>
          <w:rFonts w:ascii="Times New Roman" w:hAnsi="Times New Roman"/>
          <w:bCs/>
          <w:color w:val="000000"/>
          <w:szCs w:val="22"/>
        </w:rPr>
        <w:t>370</w:t>
      </w:r>
      <w:r w:rsidRPr="001D09B6">
        <w:rPr>
          <w:rFonts w:ascii="Times New Roman" w:hAnsi="Times New Roman"/>
          <w:color w:val="000000"/>
          <w:szCs w:val="22"/>
        </w:rPr>
        <w:t xml:space="preserve"> tis. eur a medziročne </w:t>
      </w:r>
      <w:r w:rsidR="00310EB4" w:rsidRPr="0085799C">
        <w:rPr>
          <w:rFonts w:ascii="Times New Roman" w:hAnsi="Times New Roman"/>
          <w:bCs/>
          <w:color w:val="000000"/>
          <w:szCs w:val="22"/>
        </w:rPr>
        <w:t>poklesli</w:t>
      </w:r>
      <w:r w:rsidR="00310EB4" w:rsidRPr="001D09B6">
        <w:rPr>
          <w:rFonts w:ascii="Times New Roman" w:hAnsi="Times New Roman"/>
          <w:bCs/>
          <w:color w:val="000000"/>
          <w:szCs w:val="22"/>
        </w:rPr>
        <w:t xml:space="preserve"> </w:t>
      </w:r>
      <w:r w:rsidRPr="001D09B6">
        <w:rPr>
          <w:rFonts w:ascii="Times New Roman" w:hAnsi="Times New Roman"/>
          <w:color w:val="000000"/>
          <w:szCs w:val="22"/>
        </w:rPr>
        <w:t>o</w:t>
      </w:r>
      <w:r w:rsidR="00310EB4" w:rsidRPr="0085799C">
        <w:rPr>
          <w:rFonts w:ascii="Times New Roman" w:hAnsi="Times New Roman"/>
          <w:bCs/>
          <w:color w:val="000000"/>
          <w:szCs w:val="22"/>
        </w:rPr>
        <w:t> 37</w:t>
      </w:r>
      <w:r w:rsidR="00200A9A" w:rsidRPr="001D09B6">
        <w:rPr>
          <w:rFonts w:ascii="Times New Roman" w:hAnsi="Times New Roman"/>
          <w:bCs/>
          <w:color w:val="000000"/>
          <w:szCs w:val="22"/>
        </w:rPr>
        <w:t> </w:t>
      </w:r>
      <w:r w:rsidR="00310EB4" w:rsidRPr="0085799C">
        <w:rPr>
          <w:rFonts w:ascii="Times New Roman" w:hAnsi="Times New Roman"/>
          <w:bCs/>
          <w:color w:val="000000"/>
          <w:szCs w:val="22"/>
        </w:rPr>
        <w:t>522</w:t>
      </w:r>
      <w:r w:rsidRPr="001D09B6">
        <w:rPr>
          <w:rFonts w:ascii="Times New Roman" w:hAnsi="Times New Roman"/>
          <w:color w:val="000000"/>
          <w:szCs w:val="22"/>
        </w:rPr>
        <w:t xml:space="preserve"> tis. eur. </w:t>
      </w:r>
      <w:r w:rsidRPr="001D09B6">
        <w:rPr>
          <w:rFonts w:ascii="Times New Roman" w:hAnsi="Times New Roman"/>
          <w:color w:val="000000"/>
          <w:szCs w:val="22"/>
          <w:lang w:eastAsia="sk-SK"/>
        </w:rPr>
        <w:t>Z hodnoty ostatných nákladov tvorí ústredná správa 9</w:t>
      </w:r>
      <w:r w:rsidR="00C16A4A" w:rsidRPr="0085799C">
        <w:rPr>
          <w:rFonts w:ascii="Times New Roman" w:hAnsi="Times New Roman"/>
          <w:color w:val="000000"/>
          <w:szCs w:val="22"/>
          <w:lang w:eastAsia="sk-SK"/>
        </w:rPr>
        <w:t>4,7</w:t>
      </w:r>
      <w:r w:rsidRPr="001D09B6">
        <w:rPr>
          <w:rFonts w:ascii="Times New Roman" w:hAnsi="Times New Roman"/>
          <w:color w:val="000000"/>
          <w:szCs w:val="22"/>
          <w:lang w:eastAsia="sk-SK"/>
        </w:rPr>
        <w:t xml:space="preserve"> %, resp. 5</w:t>
      </w:r>
      <w:r w:rsidR="00200A9A" w:rsidRPr="00DD60C3">
        <w:rPr>
          <w:rFonts w:ascii="Times New Roman" w:hAnsi="Times New Roman"/>
          <w:color w:val="000000"/>
          <w:szCs w:val="22"/>
          <w:lang w:eastAsia="sk-SK"/>
        </w:rPr>
        <w:t> </w:t>
      </w:r>
      <w:r w:rsidRPr="00DD60C3">
        <w:rPr>
          <w:rFonts w:ascii="Times New Roman" w:hAnsi="Times New Roman"/>
          <w:color w:val="000000"/>
          <w:szCs w:val="22"/>
          <w:lang w:eastAsia="sk-SK"/>
        </w:rPr>
        <w:t>2</w:t>
      </w:r>
      <w:r w:rsidR="00C16A4A" w:rsidRPr="0085799C">
        <w:rPr>
          <w:rFonts w:ascii="Times New Roman" w:hAnsi="Times New Roman"/>
          <w:color w:val="000000"/>
          <w:szCs w:val="22"/>
          <w:lang w:eastAsia="sk-SK"/>
        </w:rPr>
        <w:t>82</w:t>
      </w:r>
      <w:r w:rsidR="00200A9A" w:rsidRPr="00DD60C3">
        <w:rPr>
          <w:rFonts w:ascii="Times New Roman" w:hAnsi="Times New Roman"/>
          <w:bCs/>
          <w:color w:val="000000"/>
          <w:szCs w:val="22"/>
        </w:rPr>
        <w:t> </w:t>
      </w:r>
      <w:r w:rsidR="00C16A4A" w:rsidRPr="0085799C">
        <w:rPr>
          <w:rFonts w:ascii="Times New Roman" w:hAnsi="Times New Roman"/>
          <w:color w:val="000000"/>
          <w:szCs w:val="22"/>
          <w:lang w:eastAsia="sk-SK"/>
        </w:rPr>
        <w:t>342</w:t>
      </w:r>
      <w:r w:rsidRPr="00DD60C3">
        <w:rPr>
          <w:rFonts w:ascii="Times New Roman" w:hAnsi="Times New Roman"/>
          <w:color w:val="000000"/>
          <w:szCs w:val="22"/>
          <w:lang w:eastAsia="sk-SK"/>
        </w:rPr>
        <w:t> tis. eur,</w:t>
      </w:r>
      <w:r w:rsidRPr="00DD60C3">
        <w:rPr>
          <w:rFonts w:ascii="Times New Roman" w:hAnsi="Times New Roman"/>
          <w:color w:val="FF0000"/>
          <w:szCs w:val="22"/>
          <w:lang w:eastAsia="sk-SK"/>
        </w:rPr>
        <w:t xml:space="preserve"> </w:t>
      </w:r>
      <w:r w:rsidRPr="00DD60C3">
        <w:rPr>
          <w:rFonts w:ascii="Times New Roman" w:hAnsi="Times New Roman"/>
          <w:color w:val="000000"/>
          <w:szCs w:val="22"/>
          <w:lang w:eastAsia="sk-SK"/>
        </w:rPr>
        <w:t xml:space="preserve">územná samospráva </w:t>
      </w:r>
      <w:r w:rsidR="00DD687F" w:rsidRPr="0085799C">
        <w:rPr>
          <w:rFonts w:ascii="Times New Roman" w:hAnsi="Times New Roman"/>
          <w:color w:val="000000"/>
          <w:szCs w:val="22"/>
          <w:lang w:eastAsia="sk-SK"/>
        </w:rPr>
        <w:t>243</w:t>
      </w:r>
      <w:r w:rsidR="00200A9A" w:rsidRPr="00DD60C3">
        <w:rPr>
          <w:rFonts w:ascii="Times New Roman" w:hAnsi="Times New Roman"/>
          <w:bCs/>
          <w:color w:val="000000"/>
          <w:szCs w:val="22"/>
        </w:rPr>
        <w:t> </w:t>
      </w:r>
      <w:r w:rsidR="00DD687F" w:rsidRPr="0085799C">
        <w:rPr>
          <w:rFonts w:ascii="Times New Roman" w:hAnsi="Times New Roman"/>
          <w:color w:val="000000"/>
          <w:szCs w:val="22"/>
          <w:lang w:eastAsia="sk-SK"/>
        </w:rPr>
        <w:t>662</w:t>
      </w:r>
      <w:r w:rsidRPr="00DD60C3">
        <w:rPr>
          <w:rFonts w:ascii="Times New Roman" w:hAnsi="Times New Roman"/>
          <w:color w:val="000000"/>
          <w:szCs w:val="22"/>
          <w:lang w:eastAsia="sk-SK"/>
        </w:rPr>
        <w:t xml:space="preserve"> tis. eur a ostatné subjekty verejnej správy </w:t>
      </w:r>
      <w:r w:rsidR="00204F1B" w:rsidRPr="0085799C">
        <w:rPr>
          <w:rFonts w:ascii="Times New Roman" w:hAnsi="Times New Roman"/>
          <w:color w:val="000000"/>
          <w:szCs w:val="22"/>
          <w:lang w:eastAsia="sk-SK"/>
        </w:rPr>
        <w:t>174</w:t>
      </w:r>
      <w:r w:rsidR="00200A9A" w:rsidRPr="00DD60C3">
        <w:rPr>
          <w:rFonts w:ascii="Times New Roman" w:hAnsi="Times New Roman"/>
          <w:bCs/>
          <w:color w:val="000000"/>
          <w:szCs w:val="22"/>
        </w:rPr>
        <w:t> </w:t>
      </w:r>
      <w:r w:rsidR="00204F1B" w:rsidRPr="0085799C">
        <w:rPr>
          <w:rFonts w:ascii="Times New Roman" w:hAnsi="Times New Roman"/>
          <w:color w:val="000000"/>
          <w:szCs w:val="22"/>
          <w:lang w:eastAsia="sk-SK"/>
        </w:rPr>
        <w:t>273</w:t>
      </w:r>
      <w:r w:rsidRPr="00DD60C3">
        <w:rPr>
          <w:rFonts w:ascii="Times New Roman" w:hAnsi="Times New Roman"/>
          <w:color w:val="000000"/>
          <w:szCs w:val="22"/>
          <w:lang w:eastAsia="sk-SK"/>
        </w:rPr>
        <w:t> tis. eur.</w:t>
      </w:r>
    </w:p>
    <w:p w14:paraId="279AC593" w14:textId="79AF0DC4" w:rsidR="0014363F" w:rsidRPr="0085799C" w:rsidRDefault="0014363F" w:rsidP="0085799C">
      <w:pPr>
        <w:spacing w:after="120" w:line="240" w:lineRule="auto"/>
        <w:jc w:val="both"/>
        <w:rPr>
          <w:rFonts w:ascii="Times New Roman" w:hAnsi="Times New Roman"/>
        </w:rPr>
      </w:pPr>
      <w:r w:rsidRPr="0085799C">
        <w:rPr>
          <w:rFonts w:ascii="Times New Roman" w:hAnsi="Times New Roman"/>
          <w:color w:val="000000" w:themeColor="text1"/>
          <w:lang w:eastAsia="sk-SK"/>
        </w:rPr>
        <w:t>Najvyššiu čiastku vykázal</w:t>
      </w:r>
      <w:r w:rsidR="008F4AA5">
        <w:rPr>
          <w:rFonts w:ascii="Times New Roman" w:hAnsi="Times New Roman"/>
          <w:color w:val="000000" w:themeColor="text1"/>
          <w:lang w:eastAsia="sk-SK"/>
        </w:rPr>
        <w:t>a ústredná správa</w:t>
      </w:r>
      <w:r w:rsidRPr="0085799C">
        <w:rPr>
          <w:rFonts w:ascii="Times New Roman" w:hAnsi="Times New Roman"/>
          <w:color w:val="000000" w:themeColor="text1"/>
          <w:lang w:eastAsia="sk-SK"/>
        </w:rPr>
        <w:t xml:space="preserve"> v sume 4 473</w:t>
      </w:r>
      <w:r w:rsidR="00A23675" w:rsidRPr="00DD60C3">
        <w:rPr>
          <w:rFonts w:ascii="Times New Roman" w:hAnsi="Times New Roman"/>
          <w:color w:val="000000" w:themeColor="text1"/>
          <w:szCs w:val="22"/>
          <w:lang w:eastAsia="sk-SK"/>
        </w:rPr>
        <w:t> </w:t>
      </w:r>
      <w:r w:rsidRPr="0085799C">
        <w:rPr>
          <w:rFonts w:ascii="Times New Roman" w:hAnsi="Times New Roman"/>
          <w:color w:val="000000" w:themeColor="text1"/>
          <w:lang w:eastAsia="sk-SK"/>
        </w:rPr>
        <w:t>15</w:t>
      </w:r>
      <w:r w:rsidR="00A23675" w:rsidRPr="00DD60C3">
        <w:rPr>
          <w:rFonts w:ascii="Times New Roman" w:hAnsi="Times New Roman"/>
          <w:color w:val="000000" w:themeColor="text1"/>
          <w:szCs w:val="22"/>
          <w:lang w:eastAsia="sk-SK"/>
        </w:rPr>
        <w:t>1</w:t>
      </w:r>
      <w:r w:rsidR="00200A9A" w:rsidRPr="00DD60C3">
        <w:rPr>
          <w:rFonts w:ascii="Times New Roman" w:hAnsi="Times New Roman"/>
          <w:bCs/>
          <w:color w:val="000000"/>
          <w:szCs w:val="22"/>
        </w:rPr>
        <w:t> </w:t>
      </w:r>
      <w:r w:rsidR="00A23675" w:rsidRPr="00DD60C3">
        <w:rPr>
          <w:rFonts w:ascii="Times New Roman" w:hAnsi="Times New Roman"/>
          <w:color w:val="000000" w:themeColor="text1"/>
          <w:szCs w:val="22"/>
          <w:lang w:eastAsia="sk-SK"/>
        </w:rPr>
        <w:t xml:space="preserve">tis. </w:t>
      </w:r>
      <w:r w:rsidRPr="0085799C">
        <w:rPr>
          <w:rFonts w:ascii="Times New Roman" w:hAnsi="Times New Roman"/>
          <w:color w:val="000000" w:themeColor="text1"/>
          <w:lang w:eastAsia="sk-SK"/>
        </w:rPr>
        <w:t>eur s vysokým medziročným poklesom o 321 616 </w:t>
      </w:r>
      <w:r w:rsidR="00A23675" w:rsidRPr="00DD60C3">
        <w:rPr>
          <w:rFonts w:ascii="Times New Roman" w:hAnsi="Times New Roman"/>
          <w:color w:val="000000" w:themeColor="text1"/>
          <w:szCs w:val="22"/>
          <w:lang w:eastAsia="sk-SK"/>
        </w:rPr>
        <w:t>tis.</w:t>
      </w:r>
      <w:r w:rsidRPr="0085799C">
        <w:rPr>
          <w:rFonts w:ascii="Times New Roman" w:hAnsi="Times New Roman"/>
          <w:color w:val="000000" w:themeColor="text1"/>
          <w:lang w:eastAsia="sk-SK"/>
        </w:rPr>
        <w:t xml:space="preserve"> eur. Z toho </w:t>
      </w:r>
      <w:r w:rsidRPr="0085799C">
        <w:rPr>
          <w:rFonts w:ascii="Times New Roman" w:hAnsi="Times New Roman"/>
          <w:u w:val="single"/>
        </w:rPr>
        <w:t>Ústredie práce, sociálnych vecí a rodiny</w:t>
      </w:r>
      <w:r w:rsidRPr="0085799C">
        <w:rPr>
          <w:rFonts w:ascii="Times New Roman" w:hAnsi="Times New Roman"/>
          <w:color w:val="000000" w:themeColor="text1"/>
          <w:lang w:eastAsia="sk-SK"/>
        </w:rPr>
        <w:t xml:space="preserve"> vykázalo sumu 2 529 805 </w:t>
      </w:r>
      <w:r w:rsidR="00A23675" w:rsidRPr="0051497E">
        <w:rPr>
          <w:rFonts w:ascii="Times New Roman" w:hAnsi="Times New Roman"/>
          <w:color w:val="000000" w:themeColor="text1"/>
          <w:szCs w:val="22"/>
          <w:lang w:eastAsia="sk-SK"/>
        </w:rPr>
        <w:t>tis.</w:t>
      </w:r>
      <w:r w:rsidRPr="0085799C">
        <w:rPr>
          <w:rFonts w:ascii="Times New Roman" w:hAnsi="Times New Roman"/>
          <w:color w:val="000000" w:themeColor="text1"/>
          <w:lang w:eastAsia="sk-SK"/>
        </w:rPr>
        <w:t> eur s nárastom o 246 984 </w:t>
      </w:r>
      <w:r w:rsidR="00A23675" w:rsidRPr="0051497E">
        <w:rPr>
          <w:rFonts w:ascii="Times New Roman" w:hAnsi="Times New Roman"/>
          <w:color w:val="000000" w:themeColor="text1"/>
          <w:szCs w:val="22"/>
          <w:lang w:eastAsia="sk-SK"/>
        </w:rPr>
        <w:t>tis.</w:t>
      </w:r>
      <w:r w:rsidRPr="0085799C">
        <w:rPr>
          <w:rFonts w:ascii="Times New Roman" w:hAnsi="Times New Roman"/>
          <w:color w:val="000000" w:themeColor="text1"/>
          <w:lang w:eastAsia="sk-SK"/>
        </w:rPr>
        <w:t> eur.</w:t>
      </w:r>
      <w:r w:rsidRPr="0085799C">
        <w:rPr>
          <w:rFonts w:ascii="Times New Roman" w:hAnsi="Times New Roman"/>
          <w:color w:val="FF0000"/>
          <w:lang w:eastAsia="sk-SK"/>
        </w:rPr>
        <w:t xml:space="preserve"> </w:t>
      </w:r>
      <w:r w:rsidRPr="0085799C">
        <w:rPr>
          <w:rFonts w:ascii="Times New Roman" w:hAnsi="Times New Roman"/>
          <w:color w:val="000000" w:themeColor="text1"/>
          <w:lang w:eastAsia="sk-SK"/>
        </w:rPr>
        <w:t>Tieto prostriedky sa vynaložili na dávky sociálnej pomoci a štátne sociálne dávky (prídavky na dieťa v sume 815</w:t>
      </w:r>
      <w:r w:rsidR="00A23675" w:rsidRPr="0051497E">
        <w:rPr>
          <w:rFonts w:ascii="Times New Roman" w:hAnsi="Times New Roman"/>
          <w:color w:val="000000" w:themeColor="text1"/>
          <w:szCs w:val="22"/>
          <w:lang w:eastAsia="sk-SK"/>
        </w:rPr>
        <w:t> </w:t>
      </w:r>
      <w:r w:rsidRPr="0085799C">
        <w:rPr>
          <w:rFonts w:ascii="Times New Roman" w:hAnsi="Times New Roman"/>
          <w:color w:val="000000" w:themeColor="text1"/>
          <w:lang w:eastAsia="sk-SK"/>
        </w:rPr>
        <w:t>76</w:t>
      </w:r>
      <w:r w:rsidR="00A23675" w:rsidRPr="0051497E">
        <w:rPr>
          <w:rFonts w:ascii="Times New Roman" w:hAnsi="Times New Roman"/>
          <w:color w:val="000000" w:themeColor="text1"/>
          <w:szCs w:val="22"/>
          <w:lang w:eastAsia="sk-SK"/>
        </w:rPr>
        <w:t>7</w:t>
      </w:r>
      <w:r w:rsidR="00200A9A" w:rsidRPr="0051497E">
        <w:rPr>
          <w:rFonts w:ascii="Times New Roman" w:hAnsi="Times New Roman"/>
          <w:color w:val="000000"/>
          <w:szCs w:val="22"/>
        </w:rPr>
        <w:t> </w:t>
      </w:r>
      <w:r w:rsidR="00A23675" w:rsidRPr="0051497E">
        <w:rPr>
          <w:rFonts w:ascii="Times New Roman" w:hAnsi="Times New Roman"/>
          <w:color w:val="000000" w:themeColor="text1"/>
          <w:szCs w:val="22"/>
          <w:lang w:eastAsia="sk-SK"/>
        </w:rPr>
        <w:t>tis.</w:t>
      </w:r>
      <w:r w:rsidRPr="0085799C">
        <w:rPr>
          <w:rFonts w:ascii="Times New Roman" w:hAnsi="Times New Roman"/>
          <w:color w:val="000000" w:themeColor="text1"/>
          <w:lang w:eastAsia="sk-SK"/>
        </w:rPr>
        <w:t> eur, peňažný príspevok na kompenzáciu sociálnych dôsledkov ťažkého zdravotného postihnutia v sume 743</w:t>
      </w:r>
      <w:r w:rsidR="00A23675" w:rsidRPr="0051497E">
        <w:rPr>
          <w:rFonts w:ascii="Times New Roman" w:hAnsi="Times New Roman"/>
          <w:color w:val="000000" w:themeColor="text1"/>
          <w:szCs w:val="22"/>
          <w:lang w:eastAsia="sk-SK"/>
        </w:rPr>
        <w:t> </w:t>
      </w:r>
      <w:r w:rsidRPr="0085799C">
        <w:rPr>
          <w:rFonts w:ascii="Times New Roman" w:hAnsi="Times New Roman"/>
          <w:color w:val="000000" w:themeColor="text1"/>
          <w:lang w:eastAsia="sk-SK"/>
        </w:rPr>
        <w:t>68</w:t>
      </w:r>
      <w:r w:rsidR="00A23675" w:rsidRPr="0051497E">
        <w:rPr>
          <w:rFonts w:ascii="Times New Roman" w:hAnsi="Times New Roman"/>
          <w:color w:val="000000" w:themeColor="text1"/>
          <w:szCs w:val="22"/>
          <w:lang w:eastAsia="sk-SK"/>
        </w:rPr>
        <w:t>6 tis.</w:t>
      </w:r>
      <w:r w:rsidRPr="0085799C">
        <w:rPr>
          <w:rFonts w:ascii="Times New Roman" w:hAnsi="Times New Roman"/>
          <w:color w:val="000000" w:themeColor="text1"/>
          <w:lang w:eastAsia="sk-SK"/>
        </w:rPr>
        <w:t> eur, rodičovský príspevok v sume 701</w:t>
      </w:r>
      <w:r w:rsidR="00A23675" w:rsidRPr="0051497E">
        <w:rPr>
          <w:rFonts w:ascii="Times New Roman" w:hAnsi="Times New Roman"/>
          <w:color w:val="000000" w:themeColor="text1"/>
          <w:szCs w:val="22"/>
          <w:lang w:eastAsia="sk-SK"/>
        </w:rPr>
        <w:t> </w:t>
      </w:r>
      <w:r w:rsidRPr="0085799C">
        <w:rPr>
          <w:rFonts w:ascii="Times New Roman" w:hAnsi="Times New Roman"/>
          <w:color w:val="000000" w:themeColor="text1"/>
          <w:lang w:eastAsia="sk-SK"/>
        </w:rPr>
        <w:t>03</w:t>
      </w:r>
      <w:r w:rsidR="00A23675" w:rsidRPr="0051497E">
        <w:rPr>
          <w:rFonts w:ascii="Times New Roman" w:hAnsi="Times New Roman"/>
          <w:color w:val="000000" w:themeColor="text1"/>
          <w:szCs w:val="22"/>
          <w:lang w:eastAsia="sk-SK"/>
        </w:rPr>
        <w:t>8</w:t>
      </w:r>
      <w:r w:rsidR="00200A9A" w:rsidRPr="0051497E">
        <w:rPr>
          <w:rFonts w:ascii="Times New Roman" w:hAnsi="Times New Roman"/>
          <w:color w:val="000000"/>
          <w:szCs w:val="22"/>
        </w:rPr>
        <w:t> </w:t>
      </w:r>
      <w:r w:rsidR="00A23675" w:rsidRPr="0051497E">
        <w:rPr>
          <w:rFonts w:ascii="Times New Roman" w:hAnsi="Times New Roman"/>
          <w:color w:val="000000" w:themeColor="text1"/>
          <w:szCs w:val="22"/>
          <w:lang w:eastAsia="sk-SK"/>
        </w:rPr>
        <w:t>tis.</w:t>
      </w:r>
      <w:r w:rsidRPr="0085799C">
        <w:rPr>
          <w:rFonts w:ascii="Times New Roman" w:hAnsi="Times New Roman"/>
          <w:color w:val="000000" w:themeColor="text1"/>
          <w:lang w:eastAsia="sk-SK"/>
        </w:rPr>
        <w:t> eur, príspevky na dávku v hmotnej núdzi v sume 142 472 </w:t>
      </w:r>
      <w:r w:rsidR="00A23675" w:rsidRPr="0051497E">
        <w:rPr>
          <w:rFonts w:ascii="Times New Roman" w:hAnsi="Times New Roman"/>
          <w:color w:val="000000" w:themeColor="text1"/>
          <w:szCs w:val="22"/>
          <w:lang w:eastAsia="sk-SK"/>
        </w:rPr>
        <w:t>tis.</w:t>
      </w:r>
      <w:r w:rsidRPr="0085799C">
        <w:rPr>
          <w:rFonts w:ascii="Times New Roman" w:hAnsi="Times New Roman"/>
          <w:color w:val="000000" w:themeColor="text1"/>
          <w:lang w:eastAsia="sk-SK"/>
        </w:rPr>
        <w:t xml:space="preserve"> eur a ďalšie). </w:t>
      </w:r>
      <w:r w:rsidRPr="0085799C">
        <w:rPr>
          <w:rFonts w:ascii="Times New Roman" w:hAnsi="Times New Roman"/>
        </w:rPr>
        <w:t>Novým bol v roku 2024 príspevok na zvýšenú splátku úveru na bývanie, ktorý bol vyplatený v celkovej výške 16 720 </w:t>
      </w:r>
      <w:r w:rsidR="00A23675" w:rsidRPr="0051497E">
        <w:rPr>
          <w:rFonts w:ascii="Times New Roman" w:hAnsi="Times New Roman"/>
          <w:szCs w:val="22"/>
        </w:rPr>
        <w:t>tis.</w:t>
      </w:r>
      <w:r w:rsidRPr="0085799C">
        <w:rPr>
          <w:rFonts w:ascii="Times New Roman" w:hAnsi="Times New Roman"/>
        </w:rPr>
        <w:t xml:space="preserve"> eur. </w:t>
      </w:r>
    </w:p>
    <w:p w14:paraId="779A705D" w14:textId="5685243D" w:rsidR="0014363F" w:rsidRPr="0085799C" w:rsidRDefault="0014363F" w:rsidP="0085799C">
      <w:pPr>
        <w:spacing w:after="120" w:line="240" w:lineRule="auto"/>
        <w:jc w:val="both"/>
        <w:rPr>
          <w:rFonts w:ascii="Times New Roman" w:hAnsi="Times New Roman"/>
          <w:color w:val="FF0000"/>
          <w:lang w:eastAsia="sk-SK"/>
        </w:rPr>
      </w:pPr>
      <w:r w:rsidRPr="0085799C">
        <w:rPr>
          <w:rFonts w:ascii="Times New Roman" w:hAnsi="Times New Roman"/>
          <w:u w:val="single"/>
        </w:rPr>
        <w:lastRenderedPageBreak/>
        <w:t>Ministerstvo vnútra SR</w:t>
      </w:r>
      <w:r w:rsidRPr="0085799C">
        <w:rPr>
          <w:rFonts w:ascii="Times New Roman" w:hAnsi="Times New Roman"/>
          <w:b/>
          <w:i/>
          <w:color w:val="000000" w:themeColor="text1"/>
          <w:lang w:eastAsia="sk-SK"/>
        </w:rPr>
        <w:t xml:space="preserve"> </w:t>
      </w:r>
      <w:r w:rsidRPr="0085799C">
        <w:rPr>
          <w:rFonts w:ascii="Times New Roman" w:hAnsi="Times New Roman"/>
          <w:color w:val="000000" w:themeColor="text1"/>
          <w:lang w:eastAsia="sk-SK"/>
        </w:rPr>
        <w:t>vykázalo ostatné náklady na prevádzkovú činnosť v sume 380 849 </w:t>
      </w:r>
      <w:r w:rsidR="00A23675" w:rsidRPr="0051497E">
        <w:rPr>
          <w:rFonts w:ascii="Times New Roman" w:hAnsi="Times New Roman"/>
          <w:color w:val="000000" w:themeColor="text1"/>
          <w:szCs w:val="22"/>
          <w:lang w:eastAsia="sk-SK"/>
        </w:rPr>
        <w:t>tis.</w:t>
      </w:r>
      <w:r w:rsidRPr="0085799C">
        <w:rPr>
          <w:rFonts w:ascii="Times New Roman" w:hAnsi="Times New Roman"/>
          <w:color w:val="000000" w:themeColor="text1"/>
          <w:lang w:eastAsia="sk-SK"/>
        </w:rPr>
        <w:t> eur s medziročným zvýšením o 57 216 </w:t>
      </w:r>
      <w:r w:rsidR="00A23675" w:rsidRPr="0051497E">
        <w:rPr>
          <w:rFonts w:ascii="Times New Roman" w:hAnsi="Times New Roman"/>
          <w:color w:val="000000" w:themeColor="text1"/>
          <w:szCs w:val="22"/>
          <w:lang w:eastAsia="sk-SK"/>
        </w:rPr>
        <w:t>tis.</w:t>
      </w:r>
      <w:r w:rsidRPr="0085799C">
        <w:rPr>
          <w:rFonts w:ascii="Times New Roman" w:hAnsi="Times New Roman"/>
          <w:color w:val="000000" w:themeColor="text1"/>
          <w:lang w:eastAsia="sk-SK"/>
        </w:rPr>
        <w:t> eur, z toho náklady sociálneho zabezpečenia policajtov a hasičov na výplatu výsluhových dávok a ostatných dávok v sume 356 677 </w:t>
      </w:r>
      <w:r w:rsidR="00A23675" w:rsidRPr="0051497E">
        <w:rPr>
          <w:rFonts w:ascii="Times New Roman" w:hAnsi="Times New Roman"/>
          <w:color w:val="000000" w:themeColor="text1"/>
          <w:szCs w:val="22"/>
          <w:lang w:eastAsia="sk-SK"/>
        </w:rPr>
        <w:t>tis.</w:t>
      </w:r>
      <w:r w:rsidRPr="0085799C">
        <w:rPr>
          <w:rFonts w:ascii="Times New Roman" w:hAnsi="Times New Roman"/>
          <w:color w:val="000000" w:themeColor="text1"/>
          <w:lang w:eastAsia="sk-SK"/>
        </w:rPr>
        <w:t> eur.</w:t>
      </w:r>
      <w:r w:rsidRPr="0085799C">
        <w:rPr>
          <w:rFonts w:ascii="Times New Roman" w:hAnsi="Times New Roman"/>
          <w:color w:val="FF0000"/>
          <w:lang w:eastAsia="sk-SK"/>
        </w:rPr>
        <w:t xml:space="preserve"> </w:t>
      </w:r>
      <w:r w:rsidRPr="0085799C">
        <w:rPr>
          <w:rFonts w:ascii="Times New Roman" w:hAnsi="Times New Roman"/>
          <w:color w:val="000000" w:themeColor="text1"/>
          <w:lang w:eastAsia="sk-SK"/>
        </w:rPr>
        <w:t>Išlo najmä o náklady súvisiace s výplatou dávok sociálneho zabezpečenia (výsluhové dôchodky, náhrada pri práceneschopnosti, invalidné, príspevky na odievanie, odchodné, vdovské, tehotenské, materská, náklady na kúpeľnú a liečebnú starostlivosť) pre silové zložky, t. j. príslušníkov policajného zboru, hasičského a záchranného zboru, horskej záchrannej služby a iné.</w:t>
      </w:r>
      <w:r w:rsidRPr="0085799C">
        <w:rPr>
          <w:rFonts w:ascii="Times New Roman" w:hAnsi="Times New Roman"/>
          <w:color w:val="FF0000"/>
          <w:lang w:eastAsia="sk-SK"/>
        </w:rPr>
        <w:t xml:space="preserve"> </w:t>
      </w:r>
      <w:r w:rsidRPr="0085799C">
        <w:rPr>
          <w:rFonts w:ascii="Times New Roman" w:hAnsi="Times New Roman"/>
          <w:color w:val="000000" w:themeColor="text1"/>
          <w:lang w:eastAsia="sk-SK"/>
        </w:rPr>
        <w:t>Medziročný nárast ovplyvnilo najmä navýšenie výsluhových dôchodkov pre príslušníkov Policajného zboru o približne 44 128 </w:t>
      </w:r>
      <w:r w:rsidR="00A23675" w:rsidRPr="0051497E">
        <w:rPr>
          <w:rFonts w:ascii="Times New Roman" w:hAnsi="Times New Roman"/>
          <w:color w:val="000000" w:themeColor="text1"/>
          <w:szCs w:val="22"/>
          <w:lang w:eastAsia="sk-SK"/>
        </w:rPr>
        <w:t>tis.</w:t>
      </w:r>
      <w:r w:rsidRPr="0085799C">
        <w:rPr>
          <w:rFonts w:ascii="Times New Roman" w:hAnsi="Times New Roman"/>
          <w:color w:val="000000" w:themeColor="text1"/>
          <w:lang w:eastAsia="sk-SK"/>
        </w:rPr>
        <w:t> eur, pre príslušníkov Hasičského a záchranného zboru o 5</w:t>
      </w:r>
      <w:r w:rsidR="00A23675" w:rsidRPr="0051497E">
        <w:rPr>
          <w:rFonts w:ascii="Times New Roman" w:hAnsi="Times New Roman"/>
          <w:color w:val="000000" w:themeColor="text1"/>
          <w:szCs w:val="22"/>
          <w:lang w:eastAsia="sk-SK"/>
        </w:rPr>
        <w:t> </w:t>
      </w:r>
      <w:r w:rsidRPr="0085799C">
        <w:rPr>
          <w:rFonts w:ascii="Times New Roman" w:hAnsi="Times New Roman"/>
          <w:color w:val="000000" w:themeColor="text1"/>
          <w:lang w:eastAsia="sk-SK"/>
        </w:rPr>
        <w:t>34</w:t>
      </w:r>
      <w:r w:rsidR="00A23675" w:rsidRPr="0051497E">
        <w:rPr>
          <w:rFonts w:ascii="Times New Roman" w:hAnsi="Times New Roman"/>
          <w:color w:val="000000" w:themeColor="text1"/>
          <w:szCs w:val="22"/>
          <w:lang w:eastAsia="sk-SK"/>
        </w:rPr>
        <w:t>2 tis.</w:t>
      </w:r>
      <w:r w:rsidRPr="0085799C">
        <w:rPr>
          <w:rFonts w:ascii="Times New Roman" w:hAnsi="Times New Roman"/>
          <w:color w:val="000000" w:themeColor="text1"/>
          <w:lang w:eastAsia="sk-SK"/>
        </w:rPr>
        <w:t> eur, navýšenie výplat vdovských výsluhových dôchodkov o 2</w:t>
      </w:r>
      <w:r w:rsidR="00A23675" w:rsidRPr="0051497E">
        <w:rPr>
          <w:rFonts w:ascii="Times New Roman" w:hAnsi="Times New Roman"/>
          <w:color w:val="000000" w:themeColor="text1"/>
          <w:szCs w:val="22"/>
          <w:lang w:eastAsia="sk-SK"/>
        </w:rPr>
        <w:t> </w:t>
      </w:r>
      <w:r w:rsidRPr="0085799C">
        <w:rPr>
          <w:rFonts w:ascii="Times New Roman" w:hAnsi="Times New Roman"/>
          <w:color w:val="000000" w:themeColor="text1"/>
          <w:lang w:eastAsia="sk-SK"/>
        </w:rPr>
        <w:t>86</w:t>
      </w:r>
      <w:r w:rsidR="00A23675" w:rsidRPr="0051497E">
        <w:rPr>
          <w:rFonts w:ascii="Times New Roman" w:hAnsi="Times New Roman"/>
          <w:color w:val="000000" w:themeColor="text1"/>
          <w:szCs w:val="22"/>
          <w:lang w:eastAsia="sk-SK"/>
        </w:rPr>
        <w:t>2 tis.</w:t>
      </w:r>
      <w:r w:rsidRPr="0085799C">
        <w:rPr>
          <w:rFonts w:ascii="Times New Roman" w:hAnsi="Times New Roman"/>
          <w:color w:val="000000" w:themeColor="text1"/>
          <w:lang w:eastAsia="sk-SK"/>
        </w:rPr>
        <w:t xml:space="preserve"> eur. </w:t>
      </w:r>
      <w:r w:rsidRPr="0085799C">
        <w:rPr>
          <w:rFonts w:ascii="Times New Roman" w:hAnsi="Times New Roman"/>
          <w:color w:val="000000" w:themeColor="text1"/>
        </w:rPr>
        <w:t>Výrazný vplyv na tieto náklady malo aj odchodné v rámci sociálneho zabezpečenia príslušníkov Policajného zboru, ktoré zaznamenalo medziročný nárast o 8 634 </w:t>
      </w:r>
      <w:r w:rsidR="00A23675" w:rsidRPr="0051497E">
        <w:rPr>
          <w:rFonts w:ascii="Times New Roman" w:hAnsi="Times New Roman"/>
          <w:color w:val="000000" w:themeColor="text1"/>
          <w:szCs w:val="22"/>
        </w:rPr>
        <w:t>tis.</w:t>
      </w:r>
      <w:r w:rsidRPr="0085799C">
        <w:rPr>
          <w:rFonts w:ascii="Times New Roman" w:hAnsi="Times New Roman"/>
          <w:color w:val="000000" w:themeColor="text1"/>
        </w:rPr>
        <w:t> eur.</w:t>
      </w:r>
      <w:r w:rsidRPr="0085799C">
        <w:rPr>
          <w:rFonts w:ascii="Times New Roman" w:hAnsi="Times New Roman"/>
          <w:color w:val="00B050"/>
        </w:rPr>
        <w:t xml:space="preserve"> </w:t>
      </w:r>
    </w:p>
    <w:p w14:paraId="7AD5A96D" w14:textId="69E67EFD" w:rsidR="0014363F" w:rsidRPr="0051497E" w:rsidRDefault="0014363F" w:rsidP="0085799C">
      <w:pPr>
        <w:spacing w:after="120" w:line="240" w:lineRule="auto"/>
        <w:jc w:val="both"/>
        <w:rPr>
          <w:rFonts w:ascii="Times New Roman" w:hAnsi="Times New Roman"/>
          <w:color w:val="000000" w:themeColor="text1"/>
          <w:szCs w:val="22"/>
          <w:lang w:eastAsia="sk-SK"/>
        </w:rPr>
      </w:pPr>
      <w:r w:rsidRPr="0085799C">
        <w:rPr>
          <w:rFonts w:ascii="Times New Roman" w:hAnsi="Times New Roman"/>
          <w:u w:val="single"/>
        </w:rPr>
        <w:t>Kapitola Ministerstva obrany SR</w:t>
      </w:r>
      <w:r w:rsidRPr="0085799C">
        <w:rPr>
          <w:rFonts w:ascii="Times New Roman" w:hAnsi="Times New Roman"/>
          <w:b/>
          <w:i/>
          <w:color w:val="000000" w:themeColor="text1"/>
          <w:lang w:eastAsia="sk-SK"/>
        </w:rPr>
        <w:t xml:space="preserve"> </w:t>
      </w:r>
      <w:r w:rsidRPr="0085799C">
        <w:rPr>
          <w:rFonts w:ascii="Times New Roman" w:hAnsi="Times New Roman"/>
          <w:color w:val="000000" w:themeColor="text1"/>
          <w:lang w:eastAsia="sk-SK"/>
        </w:rPr>
        <w:t>vykázala ostatné náklady na prevádzkovú činnosť v sume 404 515 </w:t>
      </w:r>
      <w:r w:rsidR="00A23675" w:rsidRPr="0051497E">
        <w:rPr>
          <w:rFonts w:ascii="Times New Roman" w:hAnsi="Times New Roman"/>
          <w:color w:val="000000" w:themeColor="text1"/>
          <w:szCs w:val="22"/>
          <w:lang w:eastAsia="sk-SK"/>
        </w:rPr>
        <w:t>tis.</w:t>
      </w:r>
      <w:r w:rsidRPr="0085799C">
        <w:rPr>
          <w:rFonts w:ascii="Times New Roman" w:hAnsi="Times New Roman"/>
          <w:color w:val="000000" w:themeColor="text1"/>
          <w:lang w:eastAsia="sk-SK"/>
        </w:rPr>
        <w:t xml:space="preserve"> eur, z toho najviac </w:t>
      </w:r>
      <w:r w:rsidRPr="0085799C">
        <w:rPr>
          <w:rFonts w:ascii="Times New Roman" w:hAnsi="Times New Roman"/>
          <w:color w:val="000000" w:themeColor="text1"/>
          <w:u w:val="single"/>
          <w:lang w:eastAsia="sk-SK"/>
        </w:rPr>
        <w:t>Vojenský úrad sociálneho zabezpečenia</w:t>
      </w:r>
      <w:r w:rsidRPr="0085799C">
        <w:rPr>
          <w:rFonts w:ascii="Times New Roman" w:hAnsi="Times New Roman"/>
          <w:b/>
          <w:i/>
          <w:color w:val="000000" w:themeColor="text1"/>
          <w:lang w:eastAsia="sk-SK"/>
        </w:rPr>
        <w:t xml:space="preserve"> </w:t>
      </w:r>
      <w:r w:rsidRPr="0085799C">
        <w:rPr>
          <w:rFonts w:ascii="Times New Roman" w:hAnsi="Times New Roman"/>
          <w:color w:val="000000" w:themeColor="text1"/>
          <w:lang w:eastAsia="sk-SK"/>
        </w:rPr>
        <w:t>(288 681 </w:t>
      </w:r>
      <w:r w:rsidR="00A23675" w:rsidRPr="0051497E">
        <w:rPr>
          <w:rFonts w:ascii="Times New Roman" w:hAnsi="Times New Roman"/>
          <w:color w:val="000000" w:themeColor="text1"/>
          <w:szCs w:val="22"/>
          <w:lang w:eastAsia="sk-SK"/>
        </w:rPr>
        <w:t>tis.</w:t>
      </w:r>
      <w:r w:rsidRPr="0085799C">
        <w:rPr>
          <w:rFonts w:ascii="Times New Roman" w:hAnsi="Times New Roman"/>
          <w:color w:val="000000" w:themeColor="text1"/>
          <w:lang w:eastAsia="sk-SK"/>
        </w:rPr>
        <w:t> eur) s medziročným zvýšením o 54 233 </w:t>
      </w:r>
      <w:r w:rsidR="00A23675" w:rsidRPr="0051497E">
        <w:rPr>
          <w:rFonts w:ascii="Times New Roman" w:hAnsi="Times New Roman"/>
          <w:color w:val="000000" w:themeColor="text1"/>
          <w:szCs w:val="22"/>
          <w:lang w:eastAsia="sk-SK"/>
        </w:rPr>
        <w:t>tis.</w:t>
      </w:r>
      <w:r w:rsidRPr="0085799C">
        <w:rPr>
          <w:rFonts w:ascii="Times New Roman" w:hAnsi="Times New Roman"/>
          <w:color w:val="000000" w:themeColor="text1"/>
          <w:lang w:eastAsia="sk-SK"/>
        </w:rPr>
        <w:t xml:space="preserve"> eur, ktorý realizoval úhradu dávok čerpaných z osobitného účtu sociálneho zabezpečenia vojakov a policajtov. </w:t>
      </w:r>
      <w:r w:rsidRPr="0085799C">
        <w:rPr>
          <w:rFonts w:ascii="Times New Roman" w:hAnsi="Times New Roman"/>
        </w:rPr>
        <w:t xml:space="preserve">Zvýšenie dávok výsluhového zabezpečenia v roku 2024 oproti roku 2023 ovplyvnila valorizácia starobných a výsluhových dôchodkov a zvýšená </w:t>
      </w:r>
      <w:proofErr w:type="spellStart"/>
      <w:r w:rsidRPr="0085799C">
        <w:rPr>
          <w:rFonts w:ascii="Times New Roman" w:hAnsi="Times New Roman"/>
        </w:rPr>
        <w:t>odchodovosť</w:t>
      </w:r>
      <w:proofErr w:type="spellEnd"/>
      <w:r w:rsidRPr="0085799C">
        <w:rPr>
          <w:rFonts w:ascii="Times New Roman" w:hAnsi="Times New Roman"/>
        </w:rPr>
        <w:t xml:space="preserve"> profesionálnych vojakov do výsluhových dôchodkov.</w:t>
      </w:r>
      <w:r w:rsidRPr="0085799C">
        <w:rPr>
          <w:rFonts w:ascii="Times New Roman" w:hAnsi="Times New Roman"/>
          <w:lang w:eastAsia="sk-SK"/>
        </w:rPr>
        <w:t xml:space="preserve"> </w:t>
      </w:r>
      <w:r w:rsidRPr="0085799C">
        <w:rPr>
          <w:rFonts w:ascii="Times New Roman" w:hAnsi="Times New Roman"/>
          <w:color w:val="000000" w:themeColor="text1"/>
          <w:u w:val="single"/>
          <w:lang w:eastAsia="sk-SK"/>
        </w:rPr>
        <w:t>Ministerstvo obrany SR</w:t>
      </w:r>
      <w:r w:rsidRPr="0085799C">
        <w:rPr>
          <w:rFonts w:ascii="Times New Roman" w:hAnsi="Times New Roman"/>
          <w:b/>
          <w:i/>
          <w:color w:val="000000" w:themeColor="text1"/>
          <w:lang w:eastAsia="sk-SK"/>
        </w:rPr>
        <w:t xml:space="preserve"> </w:t>
      </w:r>
      <w:r w:rsidRPr="0085799C">
        <w:rPr>
          <w:rFonts w:ascii="Times New Roman" w:hAnsi="Times New Roman"/>
          <w:color w:val="000000" w:themeColor="text1"/>
          <w:lang w:eastAsia="sk-SK"/>
        </w:rPr>
        <w:t>vykázalo prevádzkové náklady v sume 113</w:t>
      </w:r>
      <w:r w:rsidR="00200A9A" w:rsidRPr="0051497E">
        <w:rPr>
          <w:rFonts w:ascii="Times New Roman" w:hAnsi="Times New Roman"/>
          <w:color w:val="000000" w:themeColor="text1"/>
          <w:szCs w:val="22"/>
          <w:lang w:eastAsia="sk-SK"/>
        </w:rPr>
        <w:t> </w:t>
      </w:r>
      <w:r w:rsidRPr="0085799C">
        <w:rPr>
          <w:rFonts w:ascii="Times New Roman" w:hAnsi="Times New Roman"/>
          <w:color w:val="000000" w:themeColor="text1"/>
          <w:lang w:eastAsia="sk-SK"/>
        </w:rPr>
        <w:t>66</w:t>
      </w:r>
      <w:r w:rsidR="00A23675" w:rsidRPr="0051497E">
        <w:rPr>
          <w:rFonts w:ascii="Times New Roman" w:hAnsi="Times New Roman"/>
          <w:color w:val="000000" w:themeColor="text1"/>
          <w:szCs w:val="22"/>
          <w:lang w:eastAsia="sk-SK"/>
        </w:rPr>
        <w:t>6</w:t>
      </w:r>
      <w:r w:rsidR="00200A9A" w:rsidRPr="0051497E">
        <w:rPr>
          <w:rFonts w:ascii="Times New Roman" w:hAnsi="Times New Roman"/>
          <w:color w:val="000000"/>
          <w:szCs w:val="22"/>
        </w:rPr>
        <w:t> </w:t>
      </w:r>
      <w:r w:rsidR="00A23675" w:rsidRPr="0051497E">
        <w:rPr>
          <w:rFonts w:ascii="Times New Roman" w:hAnsi="Times New Roman"/>
          <w:color w:val="000000" w:themeColor="text1"/>
          <w:szCs w:val="22"/>
          <w:lang w:eastAsia="sk-SK"/>
        </w:rPr>
        <w:t>tis.</w:t>
      </w:r>
      <w:r w:rsidRPr="0085799C">
        <w:rPr>
          <w:rFonts w:ascii="Times New Roman" w:hAnsi="Times New Roman"/>
          <w:color w:val="000000" w:themeColor="text1"/>
          <w:lang w:eastAsia="sk-SK"/>
        </w:rPr>
        <w:t> eur, ktoré súviseli najmä so zabezpečením plnenia úloh obrany štátu a poistením služobných motorových vozidiel.</w:t>
      </w:r>
    </w:p>
    <w:p w14:paraId="468928AE" w14:textId="5C45B17C" w:rsidR="00A23675" w:rsidRPr="0051497E" w:rsidRDefault="00A23675" w:rsidP="0051497E">
      <w:pPr>
        <w:spacing w:after="120" w:line="240" w:lineRule="auto"/>
        <w:jc w:val="both"/>
        <w:rPr>
          <w:rFonts w:ascii="Times New Roman" w:hAnsi="Times New Roman"/>
          <w:color w:val="FF0000"/>
          <w:szCs w:val="22"/>
          <w:lang w:eastAsia="sk-SK"/>
        </w:rPr>
      </w:pPr>
      <w:r w:rsidRPr="0085799C">
        <w:rPr>
          <w:rFonts w:ascii="Times New Roman" w:hAnsi="Times New Roman"/>
          <w:u w:val="single"/>
        </w:rPr>
        <w:t>Ministerstvo financií SR</w:t>
      </w:r>
      <w:r w:rsidRPr="0051497E">
        <w:rPr>
          <w:rFonts w:ascii="Times New Roman" w:hAnsi="Times New Roman"/>
          <w:color w:val="000000" w:themeColor="text1"/>
          <w:szCs w:val="22"/>
          <w:lang w:eastAsia="sk-SK"/>
        </w:rPr>
        <w:t xml:space="preserve"> vykázalo náklady vzťahujúce sa najmä na čerpanie prostriedkov z fondov EÚ za príslušné programové obdobia vo výške 112 763 tis. eur (z čoho náklady zo schválených súhrnných žiadostí o platbu boli v sume 44 830 tis. eur a náklady z titulu nezrovnalostí predstavujú sumu 67 933 tis. eur). Ďalej sem patria príspevky SR do Európskeho rozvojového fondu v sume 1 128 tis.</w:t>
      </w:r>
      <w:r w:rsidR="00200A9A" w:rsidRPr="0051497E">
        <w:rPr>
          <w:rFonts w:ascii="Times New Roman" w:hAnsi="Times New Roman"/>
          <w:color w:val="000000"/>
          <w:szCs w:val="22"/>
        </w:rPr>
        <w:t> </w:t>
      </w:r>
      <w:r w:rsidRPr="0051497E">
        <w:rPr>
          <w:rFonts w:ascii="Times New Roman" w:hAnsi="Times New Roman"/>
          <w:color w:val="000000" w:themeColor="text1"/>
          <w:szCs w:val="22"/>
          <w:lang w:eastAsia="sk-SK"/>
        </w:rPr>
        <w:t xml:space="preserve">eur, </w:t>
      </w:r>
      <w:r w:rsidRPr="001A67CA">
        <w:rPr>
          <w:rFonts w:ascii="Times New Roman" w:hAnsi="Times New Roman"/>
          <w:color w:val="000000" w:themeColor="text1"/>
          <w:szCs w:val="22"/>
          <w:lang w:eastAsia="sk-SK"/>
        </w:rPr>
        <w:t xml:space="preserve">príspevok pre United </w:t>
      </w:r>
      <w:proofErr w:type="spellStart"/>
      <w:r w:rsidRPr="001A67CA">
        <w:rPr>
          <w:rFonts w:ascii="Times New Roman" w:hAnsi="Times New Roman"/>
          <w:color w:val="000000" w:themeColor="text1"/>
          <w:szCs w:val="22"/>
          <w:lang w:eastAsia="sk-SK"/>
        </w:rPr>
        <w:t>Nations</w:t>
      </w:r>
      <w:proofErr w:type="spellEnd"/>
      <w:r w:rsidRPr="001A67CA">
        <w:rPr>
          <w:rFonts w:ascii="Times New Roman" w:hAnsi="Times New Roman"/>
          <w:color w:val="000000" w:themeColor="text1"/>
          <w:szCs w:val="22"/>
          <w:lang w:eastAsia="sk-SK"/>
        </w:rPr>
        <w:t xml:space="preserve"> </w:t>
      </w:r>
      <w:proofErr w:type="spellStart"/>
      <w:r w:rsidRPr="001A67CA">
        <w:rPr>
          <w:rFonts w:ascii="Times New Roman" w:hAnsi="Times New Roman"/>
          <w:color w:val="000000" w:themeColor="text1"/>
          <w:szCs w:val="22"/>
          <w:lang w:eastAsia="sk-SK"/>
        </w:rPr>
        <w:t>Development</w:t>
      </w:r>
      <w:proofErr w:type="spellEnd"/>
      <w:r w:rsidRPr="001A67CA">
        <w:rPr>
          <w:rFonts w:ascii="Times New Roman" w:hAnsi="Times New Roman"/>
          <w:color w:val="000000" w:themeColor="text1"/>
          <w:szCs w:val="22"/>
          <w:lang w:eastAsia="sk-SK"/>
        </w:rPr>
        <w:t xml:space="preserve"> </w:t>
      </w:r>
      <w:proofErr w:type="spellStart"/>
      <w:r w:rsidRPr="001A67CA">
        <w:rPr>
          <w:rFonts w:ascii="Times New Roman" w:hAnsi="Times New Roman"/>
          <w:color w:val="000000" w:themeColor="text1"/>
          <w:szCs w:val="22"/>
          <w:lang w:eastAsia="sk-SK"/>
        </w:rPr>
        <w:t>Programme</w:t>
      </w:r>
      <w:proofErr w:type="spellEnd"/>
      <w:r w:rsidRPr="001A67CA">
        <w:rPr>
          <w:rFonts w:ascii="Times New Roman" w:hAnsi="Times New Roman"/>
          <w:color w:val="000000" w:themeColor="text1"/>
          <w:szCs w:val="22"/>
          <w:lang w:eastAsia="sk-SK"/>
        </w:rPr>
        <w:t xml:space="preserve"> pre Rozvojový program OSN vo výške </w:t>
      </w:r>
      <w:r w:rsidRPr="001A67CA">
        <w:rPr>
          <w:rFonts w:ascii="Times New Roman" w:hAnsi="Times New Roman"/>
          <w:color w:val="000000" w:themeColor="text1"/>
          <w:lang w:eastAsia="sk-SK"/>
        </w:rPr>
        <w:t>4 050 tis. USD</w:t>
      </w:r>
      <w:r w:rsidRPr="001A67CA">
        <w:rPr>
          <w:rFonts w:ascii="Times New Roman" w:hAnsi="Times New Roman"/>
          <w:color w:val="000000" w:themeColor="text1"/>
          <w:szCs w:val="22"/>
          <w:lang w:eastAsia="sk-SK"/>
        </w:rPr>
        <w:t>, ako aj</w:t>
      </w:r>
      <w:r w:rsidRPr="0051497E">
        <w:rPr>
          <w:rFonts w:ascii="Times New Roman" w:hAnsi="Times New Roman"/>
          <w:color w:val="000000" w:themeColor="text1"/>
          <w:szCs w:val="22"/>
          <w:lang w:eastAsia="sk-SK"/>
        </w:rPr>
        <w:t xml:space="preserve"> príspevok pre Medzinárodný menový fond </w:t>
      </w:r>
      <w:proofErr w:type="spellStart"/>
      <w:r w:rsidRPr="0051497E">
        <w:rPr>
          <w:rFonts w:ascii="Times New Roman" w:hAnsi="Times New Roman"/>
          <w:color w:val="000000" w:themeColor="text1"/>
          <w:szCs w:val="22"/>
          <w:lang w:eastAsia="sk-SK"/>
        </w:rPr>
        <w:t>Poverty</w:t>
      </w:r>
      <w:proofErr w:type="spellEnd"/>
      <w:r w:rsidRPr="0051497E">
        <w:rPr>
          <w:rFonts w:ascii="Times New Roman" w:hAnsi="Times New Roman"/>
          <w:color w:val="000000" w:themeColor="text1"/>
          <w:szCs w:val="22"/>
          <w:lang w:eastAsia="sk-SK"/>
        </w:rPr>
        <w:t xml:space="preserve"> and </w:t>
      </w:r>
      <w:proofErr w:type="spellStart"/>
      <w:r w:rsidRPr="0051497E">
        <w:rPr>
          <w:rFonts w:ascii="Times New Roman" w:hAnsi="Times New Roman"/>
          <w:color w:val="000000" w:themeColor="text1"/>
          <w:szCs w:val="22"/>
          <w:lang w:eastAsia="sk-SK"/>
        </w:rPr>
        <w:t>Reduction</w:t>
      </w:r>
      <w:proofErr w:type="spellEnd"/>
      <w:r w:rsidRPr="0051497E">
        <w:rPr>
          <w:rFonts w:ascii="Times New Roman" w:hAnsi="Times New Roman"/>
          <w:color w:val="000000" w:themeColor="text1"/>
          <w:szCs w:val="22"/>
          <w:lang w:eastAsia="sk-SK"/>
        </w:rPr>
        <w:t xml:space="preserve"> </w:t>
      </w:r>
      <w:proofErr w:type="spellStart"/>
      <w:r w:rsidRPr="0051497E">
        <w:rPr>
          <w:rFonts w:ascii="Times New Roman" w:hAnsi="Times New Roman"/>
          <w:color w:val="000000" w:themeColor="text1"/>
          <w:szCs w:val="22"/>
          <w:lang w:eastAsia="sk-SK"/>
        </w:rPr>
        <w:t>Growth</w:t>
      </w:r>
      <w:proofErr w:type="spellEnd"/>
      <w:r w:rsidRPr="0051497E">
        <w:rPr>
          <w:rFonts w:ascii="Times New Roman" w:hAnsi="Times New Roman"/>
          <w:color w:val="000000" w:themeColor="text1"/>
          <w:szCs w:val="22"/>
          <w:lang w:eastAsia="sk-SK"/>
        </w:rPr>
        <w:t xml:space="preserve"> Trust vo výške 1 000 tis.</w:t>
      </w:r>
      <w:r w:rsidR="00CE17F0" w:rsidRPr="0051497E">
        <w:rPr>
          <w:rFonts w:ascii="Times New Roman" w:hAnsi="Times New Roman"/>
          <w:color w:val="000000" w:themeColor="text1"/>
          <w:szCs w:val="22"/>
          <w:lang w:eastAsia="sk-SK"/>
        </w:rPr>
        <w:t> </w:t>
      </w:r>
      <w:r w:rsidRPr="0051497E">
        <w:rPr>
          <w:rFonts w:ascii="Times New Roman" w:hAnsi="Times New Roman"/>
          <w:color w:val="000000" w:themeColor="text1"/>
          <w:szCs w:val="22"/>
          <w:lang w:eastAsia="sk-SK"/>
        </w:rPr>
        <w:t>eur.</w:t>
      </w:r>
    </w:p>
    <w:p w14:paraId="16EA83AA" w14:textId="2088FE6E" w:rsidR="00A23675" w:rsidRPr="0051497E" w:rsidRDefault="00A23675" w:rsidP="0051497E">
      <w:pPr>
        <w:spacing w:after="120" w:line="240" w:lineRule="auto"/>
        <w:jc w:val="both"/>
        <w:rPr>
          <w:rFonts w:ascii="Times New Roman" w:hAnsi="Times New Roman"/>
          <w:color w:val="000000" w:themeColor="text1"/>
          <w:szCs w:val="22"/>
          <w:lang w:eastAsia="sk-SK"/>
        </w:rPr>
      </w:pPr>
      <w:r w:rsidRPr="0085799C">
        <w:rPr>
          <w:rFonts w:ascii="Times New Roman" w:hAnsi="Times New Roman"/>
          <w:u w:val="single"/>
        </w:rPr>
        <w:t>Slovenská elektrizačná a prenosová sústava, a.s.</w:t>
      </w:r>
      <w:r w:rsidRPr="0051497E">
        <w:rPr>
          <w:rFonts w:ascii="Times New Roman" w:hAnsi="Times New Roman"/>
          <w:color w:val="000000" w:themeColor="text1"/>
          <w:szCs w:val="22"/>
          <w:lang w:eastAsia="sk-SK"/>
        </w:rPr>
        <w:t xml:space="preserve"> vykázala sumu 272 211</w:t>
      </w:r>
      <w:r w:rsidR="00CE17F0" w:rsidRPr="0051497E">
        <w:rPr>
          <w:rFonts w:ascii="Times New Roman" w:hAnsi="Times New Roman"/>
          <w:color w:val="000000" w:themeColor="text1"/>
          <w:szCs w:val="22"/>
          <w:lang w:eastAsia="sk-SK"/>
        </w:rPr>
        <w:t> </w:t>
      </w:r>
      <w:r w:rsidRPr="0051497E">
        <w:rPr>
          <w:rFonts w:ascii="Times New Roman" w:hAnsi="Times New Roman"/>
          <w:color w:val="000000" w:themeColor="text1"/>
          <w:szCs w:val="22"/>
          <w:lang w:eastAsia="sk-SK"/>
        </w:rPr>
        <w:t>tis.</w:t>
      </w:r>
      <w:r w:rsidR="00CE17F0" w:rsidRPr="0051497E">
        <w:rPr>
          <w:rFonts w:ascii="Times New Roman" w:hAnsi="Times New Roman"/>
          <w:color w:val="000000" w:themeColor="text1"/>
          <w:szCs w:val="22"/>
          <w:lang w:eastAsia="sk-SK"/>
        </w:rPr>
        <w:t> </w:t>
      </w:r>
      <w:r w:rsidRPr="0051497E">
        <w:rPr>
          <w:rFonts w:ascii="Times New Roman" w:hAnsi="Times New Roman"/>
          <w:color w:val="000000" w:themeColor="text1"/>
          <w:szCs w:val="22"/>
          <w:lang w:eastAsia="sk-SK"/>
        </w:rPr>
        <w:t>eur s medziročným zvýšením až o 163 259 tis. eur najmä z dôvodu nárastu nákladov spoločnosti OKTE, a.s., ktorá vykázala vyššie náklady na podporu doplatkov v systéme podpory výroby elektriny z obnoviteľných zdrojov energie a z vysoko účinnej kombinovanej výroby elektriny a tepla, ktorého je spoločnosť OKTE, a.s. organizátorom a zúčtovateľnom od 1.</w:t>
      </w:r>
      <w:r w:rsidR="00867606">
        <w:rPr>
          <w:rFonts w:ascii="Times New Roman" w:hAnsi="Times New Roman"/>
          <w:color w:val="000000" w:themeColor="text1"/>
          <w:szCs w:val="22"/>
          <w:lang w:eastAsia="sk-SK"/>
        </w:rPr>
        <w:t xml:space="preserve"> </w:t>
      </w:r>
      <w:r w:rsidRPr="0051497E">
        <w:rPr>
          <w:rFonts w:ascii="Times New Roman" w:hAnsi="Times New Roman"/>
          <w:color w:val="000000" w:themeColor="text1"/>
          <w:szCs w:val="22"/>
          <w:lang w:eastAsia="sk-SK"/>
        </w:rPr>
        <w:t>1.</w:t>
      </w:r>
      <w:r w:rsidR="00867606">
        <w:rPr>
          <w:rFonts w:ascii="Times New Roman" w:hAnsi="Times New Roman"/>
          <w:color w:val="000000" w:themeColor="text1"/>
          <w:szCs w:val="22"/>
          <w:lang w:eastAsia="sk-SK"/>
        </w:rPr>
        <w:t xml:space="preserve"> </w:t>
      </w:r>
      <w:r w:rsidRPr="0051497E">
        <w:rPr>
          <w:rFonts w:ascii="Times New Roman" w:hAnsi="Times New Roman"/>
          <w:color w:val="000000" w:themeColor="text1"/>
          <w:szCs w:val="22"/>
          <w:lang w:eastAsia="sk-SK"/>
        </w:rPr>
        <w:t>2020.</w:t>
      </w:r>
    </w:p>
    <w:p w14:paraId="3A626DCB" w14:textId="3C0A11F2" w:rsidR="00041296" w:rsidRDefault="00A23675" w:rsidP="0051497E">
      <w:pPr>
        <w:spacing w:after="120" w:line="240" w:lineRule="auto"/>
        <w:jc w:val="both"/>
        <w:rPr>
          <w:rFonts w:ascii="Times New Roman" w:hAnsi="Times New Roman"/>
          <w:szCs w:val="22"/>
        </w:rPr>
      </w:pPr>
      <w:r w:rsidRPr="0085799C">
        <w:rPr>
          <w:rFonts w:ascii="Times New Roman" w:hAnsi="Times New Roman"/>
          <w:u w:val="single"/>
        </w:rPr>
        <w:t>TIPOS, a.s.</w:t>
      </w:r>
      <w:r w:rsidRPr="0051497E">
        <w:rPr>
          <w:rFonts w:ascii="Times New Roman" w:hAnsi="Times New Roman"/>
          <w:b/>
          <w:i/>
          <w:color w:val="000000" w:themeColor="text1"/>
          <w:szCs w:val="22"/>
          <w:lang w:eastAsia="sk-SK"/>
        </w:rPr>
        <w:t xml:space="preserve"> </w:t>
      </w:r>
      <w:r w:rsidRPr="0051497E">
        <w:rPr>
          <w:rFonts w:ascii="Times New Roman" w:hAnsi="Times New Roman"/>
          <w:color w:val="000000" w:themeColor="text1"/>
          <w:szCs w:val="22"/>
          <w:lang w:eastAsia="sk-SK"/>
        </w:rPr>
        <w:t xml:space="preserve">zaznamenal najvyšší medziročný úbytok ostatných nákladov na prevádzkovú činnosť v sume </w:t>
      </w:r>
      <w:r w:rsidR="008F4AA5">
        <w:rPr>
          <w:rFonts w:ascii="Times New Roman" w:hAnsi="Times New Roman"/>
          <w:color w:val="000000" w:themeColor="text1"/>
          <w:szCs w:val="22"/>
          <w:lang w:eastAsia="sk-SK"/>
        </w:rPr>
        <w:t xml:space="preserve"> 993 295 </w:t>
      </w:r>
      <w:r w:rsidRPr="0051497E">
        <w:rPr>
          <w:rFonts w:ascii="Times New Roman" w:hAnsi="Times New Roman"/>
          <w:color w:val="000000" w:themeColor="text1"/>
          <w:szCs w:val="22"/>
          <w:lang w:eastAsia="sk-SK"/>
        </w:rPr>
        <w:t xml:space="preserve">tis. eur z dôvodu zmeny vykazovania tržieb. </w:t>
      </w:r>
      <w:r w:rsidRPr="0051497E">
        <w:rPr>
          <w:rFonts w:ascii="Times New Roman" w:hAnsi="Times New Roman"/>
          <w:szCs w:val="22"/>
        </w:rPr>
        <w:t xml:space="preserve">Predstavenstvo </w:t>
      </w:r>
      <w:r w:rsidRPr="0051497E">
        <w:rPr>
          <w:rFonts w:ascii="Times New Roman" w:hAnsi="Times New Roman"/>
          <w:color w:val="000000" w:themeColor="text1"/>
          <w:szCs w:val="22"/>
        </w:rPr>
        <w:t>spoločnosti TIPOS v máji</w:t>
      </w:r>
      <w:r w:rsidRPr="0051497E">
        <w:rPr>
          <w:rFonts w:ascii="Times New Roman" w:hAnsi="Times New Roman"/>
          <w:szCs w:val="22"/>
        </w:rPr>
        <w:t xml:space="preserve"> 2024 schválilo zmenu účtovania (účtovnej metódy) pre výnosy z internetových hier v internetovom kasíne a kurzových stávok v internetovej herni k 1.</w:t>
      </w:r>
      <w:r w:rsidR="00867606">
        <w:rPr>
          <w:rFonts w:ascii="Times New Roman" w:hAnsi="Times New Roman"/>
          <w:szCs w:val="22"/>
        </w:rPr>
        <w:t xml:space="preserve"> </w:t>
      </w:r>
      <w:r w:rsidR="00CE17F0" w:rsidRPr="0051497E">
        <w:rPr>
          <w:rFonts w:ascii="Times New Roman" w:hAnsi="Times New Roman"/>
          <w:szCs w:val="22"/>
        </w:rPr>
        <w:t>7.</w:t>
      </w:r>
      <w:r w:rsidR="00867606">
        <w:rPr>
          <w:rFonts w:ascii="Times New Roman" w:hAnsi="Times New Roman"/>
          <w:szCs w:val="22"/>
        </w:rPr>
        <w:t xml:space="preserve"> </w:t>
      </w:r>
      <w:r w:rsidRPr="0051497E">
        <w:rPr>
          <w:rFonts w:ascii="Times New Roman" w:hAnsi="Times New Roman"/>
          <w:szCs w:val="22"/>
        </w:rPr>
        <w:t>2024 s uplatnením zmeny účtovania od 1.</w:t>
      </w:r>
      <w:r w:rsidR="00867606">
        <w:rPr>
          <w:rFonts w:ascii="Times New Roman" w:hAnsi="Times New Roman"/>
          <w:szCs w:val="22"/>
        </w:rPr>
        <w:t xml:space="preserve"> </w:t>
      </w:r>
      <w:r w:rsidR="00CE17F0" w:rsidRPr="0051497E">
        <w:rPr>
          <w:rFonts w:ascii="Times New Roman" w:hAnsi="Times New Roman"/>
          <w:szCs w:val="22"/>
        </w:rPr>
        <w:t>1.</w:t>
      </w:r>
      <w:r w:rsidR="00867606">
        <w:rPr>
          <w:rFonts w:ascii="Times New Roman" w:hAnsi="Times New Roman"/>
          <w:szCs w:val="22"/>
        </w:rPr>
        <w:t xml:space="preserve"> </w:t>
      </w:r>
      <w:r w:rsidRPr="0051497E">
        <w:rPr>
          <w:rFonts w:ascii="Times New Roman" w:hAnsi="Times New Roman"/>
          <w:szCs w:val="22"/>
        </w:rPr>
        <w:t>2024 a ich následného vykazovania pre individuálnu účtovnú závierku obchodnej spoločnosti TIPOS, a.s. TIPOS, a.s. pred zmenou vykazovala pre súčasné portfólio internetových hier a kurzových stávok svoje výnosy (tržby) ako prijaté stávky (vklady) od hráčov. Po implementácii schválených zmien sú výn</w:t>
      </w:r>
      <w:r w:rsidR="001D09B6" w:rsidRPr="0051497E">
        <w:rPr>
          <w:rFonts w:ascii="Times New Roman" w:hAnsi="Times New Roman"/>
          <w:szCs w:val="22"/>
        </w:rPr>
        <w:t>o</w:t>
      </w:r>
      <w:r w:rsidRPr="0051497E">
        <w:rPr>
          <w:rFonts w:ascii="Times New Roman" w:hAnsi="Times New Roman"/>
          <w:szCs w:val="22"/>
        </w:rPr>
        <w:t>sy vykazované ako výťažok, čo predstavuje rozdiel medzi vkladmi hráčov a vyplatenými výhrami hráčom. Vykazovanie výnosov zo štátnej lotérie - číselných lotérií a okamžitých lotérií (žrebov) bolo ponechané v súčasnej podobe. Z</w:t>
      </w:r>
      <w:r w:rsidR="007322B8" w:rsidRPr="0051497E">
        <w:rPr>
          <w:rFonts w:ascii="Times New Roman" w:hAnsi="Times New Roman"/>
          <w:szCs w:val="22"/>
        </w:rPr>
        <w:t xml:space="preserve"> </w:t>
      </w:r>
      <w:r w:rsidRPr="0051497E">
        <w:rPr>
          <w:rFonts w:ascii="Times New Roman" w:hAnsi="Times New Roman"/>
          <w:szCs w:val="22"/>
        </w:rPr>
        <w:t>tohto dôvodu pri nákladoch, ale aj výnosoch bol vykázaný medziročný pokles.</w:t>
      </w:r>
    </w:p>
    <w:p w14:paraId="5A316298" w14:textId="695F582A" w:rsidR="00D07728" w:rsidRPr="0051497E" w:rsidRDefault="00A23675" w:rsidP="0051497E">
      <w:pPr>
        <w:spacing w:after="120" w:line="240" w:lineRule="auto"/>
        <w:jc w:val="both"/>
        <w:rPr>
          <w:rFonts w:ascii="Times New Roman" w:hAnsi="Times New Roman"/>
          <w:color w:val="000000" w:themeColor="text1"/>
          <w:szCs w:val="22"/>
          <w:lang w:eastAsia="sk-SK"/>
        </w:rPr>
      </w:pPr>
      <w:r w:rsidRPr="0051497E">
        <w:rPr>
          <w:rFonts w:ascii="Times New Roman" w:hAnsi="Times New Roman"/>
          <w:color w:val="000000" w:themeColor="text1"/>
          <w:szCs w:val="22"/>
          <w:u w:val="single"/>
          <w:lang w:eastAsia="sk-SK"/>
        </w:rPr>
        <w:t>Náklady na odpis pohľadávok</w:t>
      </w:r>
      <w:r w:rsidRPr="0051497E">
        <w:rPr>
          <w:rFonts w:ascii="Times New Roman" w:hAnsi="Times New Roman"/>
          <w:color w:val="000000" w:themeColor="text1"/>
          <w:szCs w:val="22"/>
          <w:lang w:eastAsia="sk-SK"/>
        </w:rPr>
        <w:t xml:space="preserve"> vykázal</w:t>
      </w:r>
      <w:r w:rsidR="00495E4A" w:rsidRPr="0051497E">
        <w:rPr>
          <w:rFonts w:ascii="Times New Roman" w:hAnsi="Times New Roman"/>
          <w:color w:val="000000" w:themeColor="text1"/>
          <w:szCs w:val="22"/>
          <w:lang w:eastAsia="sk-SK"/>
        </w:rPr>
        <w:t xml:space="preserve"> súhrnný celok v</w:t>
      </w:r>
      <w:r w:rsidR="00FF50D0" w:rsidRPr="0051497E">
        <w:rPr>
          <w:rFonts w:ascii="Times New Roman" w:hAnsi="Times New Roman"/>
          <w:color w:val="000000" w:themeColor="text1"/>
          <w:szCs w:val="22"/>
          <w:lang w:eastAsia="sk-SK"/>
        </w:rPr>
        <w:t xml:space="preserve"> </w:t>
      </w:r>
      <w:r w:rsidR="00495E4A" w:rsidRPr="0051497E">
        <w:rPr>
          <w:rFonts w:ascii="Times New Roman" w:hAnsi="Times New Roman"/>
          <w:color w:val="000000" w:themeColor="text1"/>
          <w:szCs w:val="22"/>
          <w:lang w:eastAsia="sk-SK"/>
        </w:rPr>
        <w:t>úhrnnej výške 661</w:t>
      </w:r>
      <w:r w:rsidR="007322B8" w:rsidRPr="0051497E">
        <w:rPr>
          <w:rFonts w:ascii="Times New Roman" w:hAnsi="Times New Roman"/>
          <w:color w:val="000000" w:themeColor="text1"/>
          <w:szCs w:val="22"/>
          <w:lang w:eastAsia="sk-SK"/>
        </w:rPr>
        <w:t> </w:t>
      </w:r>
      <w:r w:rsidR="00495E4A" w:rsidRPr="0051497E">
        <w:rPr>
          <w:rFonts w:ascii="Times New Roman" w:hAnsi="Times New Roman"/>
          <w:color w:val="000000" w:themeColor="text1"/>
          <w:szCs w:val="22"/>
          <w:lang w:eastAsia="sk-SK"/>
        </w:rPr>
        <w:t>048</w:t>
      </w:r>
      <w:r w:rsidR="007322B8" w:rsidRPr="0051497E">
        <w:rPr>
          <w:rFonts w:ascii="Times New Roman" w:hAnsi="Times New Roman"/>
          <w:color w:val="000000" w:themeColor="text1"/>
          <w:szCs w:val="22"/>
          <w:lang w:eastAsia="sk-SK"/>
        </w:rPr>
        <w:t> </w:t>
      </w:r>
      <w:r w:rsidR="00495E4A" w:rsidRPr="0051497E">
        <w:rPr>
          <w:rFonts w:ascii="Times New Roman" w:hAnsi="Times New Roman"/>
          <w:color w:val="000000" w:themeColor="text1"/>
          <w:szCs w:val="22"/>
          <w:lang w:eastAsia="sk-SK"/>
        </w:rPr>
        <w:t>tis.</w:t>
      </w:r>
      <w:r w:rsidR="007322B8" w:rsidRPr="0051497E">
        <w:rPr>
          <w:rFonts w:ascii="Times New Roman" w:hAnsi="Times New Roman"/>
          <w:color w:val="000000" w:themeColor="text1"/>
          <w:szCs w:val="22"/>
          <w:lang w:eastAsia="sk-SK"/>
        </w:rPr>
        <w:t> </w:t>
      </w:r>
      <w:r w:rsidR="00495E4A" w:rsidRPr="0051497E">
        <w:rPr>
          <w:rFonts w:ascii="Times New Roman" w:hAnsi="Times New Roman"/>
          <w:color w:val="000000" w:themeColor="text1"/>
          <w:szCs w:val="22"/>
          <w:lang w:eastAsia="sk-SK"/>
        </w:rPr>
        <w:t xml:space="preserve">eur, pričom </w:t>
      </w:r>
      <w:r w:rsidR="00DE5EF0" w:rsidRPr="0051497E">
        <w:rPr>
          <w:rFonts w:ascii="Times New Roman" w:hAnsi="Times New Roman"/>
          <w:color w:val="000000" w:themeColor="text1"/>
          <w:szCs w:val="22"/>
          <w:lang w:eastAsia="sk-SK"/>
        </w:rPr>
        <w:t xml:space="preserve">v </w:t>
      </w:r>
      <w:r w:rsidR="00495E4A" w:rsidRPr="0051497E">
        <w:rPr>
          <w:rFonts w:ascii="Times New Roman" w:hAnsi="Times New Roman"/>
          <w:color w:val="000000" w:themeColor="text1"/>
          <w:szCs w:val="22"/>
          <w:lang w:eastAsia="sk-SK"/>
        </w:rPr>
        <w:t xml:space="preserve">ústrednej správe išlo o </w:t>
      </w:r>
      <w:r w:rsidRPr="0051497E">
        <w:rPr>
          <w:rFonts w:ascii="Times New Roman" w:hAnsi="Times New Roman"/>
          <w:color w:val="000000" w:themeColor="text1"/>
          <w:szCs w:val="22"/>
          <w:lang w:eastAsia="sk-SK"/>
        </w:rPr>
        <w:t xml:space="preserve">hodnotu </w:t>
      </w:r>
      <w:r w:rsidR="00671B59" w:rsidRPr="0051497E">
        <w:rPr>
          <w:rFonts w:ascii="Times New Roman" w:hAnsi="Times New Roman"/>
          <w:color w:val="000000" w:themeColor="text1"/>
          <w:szCs w:val="22"/>
          <w:lang w:eastAsia="sk-SK"/>
        </w:rPr>
        <w:t>644</w:t>
      </w:r>
      <w:r w:rsidR="00FF50D0" w:rsidRPr="0051497E">
        <w:rPr>
          <w:rFonts w:ascii="Times New Roman" w:hAnsi="Times New Roman"/>
          <w:color w:val="000000" w:themeColor="text1"/>
          <w:szCs w:val="22"/>
          <w:lang w:eastAsia="sk-SK"/>
        </w:rPr>
        <w:t> </w:t>
      </w:r>
      <w:r w:rsidR="00671B59" w:rsidRPr="0051497E">
        <w:rPr>
          <w:rFonts w:ascii="Times New Roman" w:hAnsi="Times New Roman"/>
          <w:color w:val="000000" w:themeColor="text1"/>
          <w:szCs w:val="22"/>
          <w:lang w:eastAsia="sk-SK"/>
        </w:rPr>
        <w:t>589</w:t>
      </w:r>
      <w:r w:rsidRPr="0051497E">
        <w:rPr>
          <w:rFonts w:ascii="Times New Roman" w:hAnsi="Times New Roman"/>
          <w:color w:val="000000" w:themeColor="text1"/>
          <w:szCs w:val="22"/>
          <w:lang w:eastAsia="sk-SK"/>
        </w:rPr>
        <w:t> </w:t>
      </w:r>
      <w:r w:rsidR="00495E4A" w:rsidRPr="0051497E">
        <w:rPr>
          <w:rFonts w:ascii="Times New Roman" w:hAnsi="Times New Roman"/>
          <w:color w:val="000000" w:themeColor="text1"/>
          <w:szCs w:val="22"/>
          <w:lang w:eastAsia="sk-SK"/>
        </w:rPr>
        <w:t>tis.</w:t>
      </w:r>
      <w:r w:rsidRPr="0051497E">
        <w:rPr>
          <w:rFonts w:ascii="Times New Roman" w:hAnsi="Times New Roman"/>
          <w:color w:val="000000" w:themeColor="text1"/>
          <w:szCs w:val="22"/>
          <w:lang w:eastAsia="sk-SK"/>
        </w:rPr>
        <w:t xml:space="preserve"> eur. Na celkových nákladoch na odpis pohľadávok sa podieľalo najmä </w:t>
      </w:r>
      <w:r w:rsidRPr="0085799C">
        <w:rPr>
          <w:rFonts w:ascii="Times New Roman" w:hAnsi="Times New Roman"/>
          <w:u w:val="single"/>
        </w:rPr>
        <w:t>Ministerstvo financií SR</w:t>
      </w:r>
      <w:r w:rsidRPr="0051497E">
        <w:rPr>
          <w:rFonts w:ascii="Times New Roman" w:hAnsi="Times New Roman"/>
          <w:color w:val="000000" w:themeColor="text1"/>
          <w:szCs w:val="22"/>
          <w:lang w:eastAsia="sk-SK"/>
        </w:rPr>
        <w:t xml:space="preserve"> sumou </w:t>
      </w:r>
      <w:r w:rsidR="00CC2BD0" w:rsidRPr="0051497E">
        <w:rPr>
          <w:rFonts w:ascii="Times New Roman" w:hAnsi="Times New Roman"/>
          <w:color w:val="000000" w:themeColor="text1"/>
          <w:szCs w:val="22"/>
          <w:lang w:eastAsia="sk-SK"/>
        </w:rPr>
        <w:t>561</w:t>
      </w:r>
      <w:r w:rsidR="007322B8" w:rsidRPr="0051497E">
        <w:rPr>
          <w:rFonts w:ascii="Times New Roman" w:hAnsi="Times New Roman"/>
          <w:color w:val="000000" w:themeColor="text1"/>
          <w:szCs w:val="22"/>
          <w:lang w:eastAsia="sk-SK"/>
        </w:rPr>
        <w:t> </w:t>
      </w:r>
      <w:r w:rsidR="00CC2BD0" w:rsidRPr="0051497E">
        <w:rPr>
          <w:rFonts w:ascii="Times New Roman" w:hAnsi="Times New Roman"/>
          <w:color w:val="000000" w:themeColor="text1"/>
          <w:szCs w:val="22"/>
          <w:lang w:eastAsia="sk-SK"/>
        </w:rPr>
        <w:t>419</w:t>
      </w:r>
      <w:r w:rsidRPr="0051497E">
        <w:rPr>
          <w:rFonts w:ascii="Times New Roman" w:hAnsi="Times New Roman"/>
          <w:color w:val="000000" w:themeColor="text1"/>
          <w:szCs w:val="22"/>
          <w:lang w:eastAsia="sk-SK"/>
        </w:rPr>
        <w:t> eur. Išlo najmä o odpis nedobytných daňových a colných pohľadávok v daňovej a colnej správe v sume 550</w:t>
      </w:r>
      <w:r w:rsidR="007322B8" w:rsidRPr="0051497E">
        <w:rPr>
          <w:rFonts w:ascii="Times New Roman" w:hAnsi="Times New Roman"/>
          <w:color w:val="000000" w:themeColor="text1"/>
          <w:szCs w:val="22"/>
          <w:lang w:eastAsia="sk-SK"/>
        </w:rPr>
        <w:t> </w:t>
      </w:r>
      <w:r w:rsidRPr="0051497E">
        <w:rPr>
          <w:rFonts w:ascii="Times New Roman" w:hAnsi="Times New Roman"/>
          <w:color w:val="000000" w:themeColor="text1"/>
          <w:szCs w:val="22"/>
          <w:lang w:eastAsia="sk-SK"/>
        </w:rPr>
        <w:t>7</w:t>
      </w:r>
      <w:r w:rsidR="00CC2BD0" w:rsidRPr="0051497E">
        <w:rPr>
          <w:rFonts w:ascii="Times New Roman" w:hAnsi="Times New Roman"/>
          <w:color w:val="000000" w:themeColor="text1"/>
          <w:szCs w:val="22"/>
          <w:lang w:eastAsia="sk-SK"/>
        </w:rPr>
        <w:t>40</w:t>
      </w:r>
      <w:r w:rsidR="007322B8" w:rsidRPr="0051497E">
        <w:rPr>
          <w:rFonts w:ascii="Times New Roman" w:hAnsi="Times New Roman"/>
          <w:color w:val="000000" w:themeColor="text1"/>
          <w:szCs w:val="22"/>
          <w:lang w:eastAsia="sk-SK"/>
        </w:rPr>
        <w:t> </w:t>
      </w:r>
      <w:r w:rsidR="00CC2BD0" w:rsidRPr="0051497E">
        <w:rPr>
          <w:rFonts w:ascii="Times New Roman" w:hAnsi="Times New Roman"/>
          <w:color w:val="000000" w:themeColor="text1"/>
          <w:szCs w:val="22"/>
          <w:lang w:eastAsia="sk-SK"/>
        </w:rPr>
        <w:t>tis.</w:t>
      </w:r>
      <w:r w:rsidR="007322B8" w:rsidRPr="0051497E">
        <w:rPr>
          <w:rFonts w:ascii="Times New Roman" w:hAnsi="Times New Roman"/>
          <w:color w:val="000000" w:themeColor="text1"/>
          <w:szCs w:val="22"/>
          <w:lang w:eastAsia="sk-SK"/>
        </w:rPr>
        <w:t xml:space="preserve">  </w:t>
      </w:r>
      <w:r w:rsidR="00CC2BD0" w:rsidRPr="0051497E">
        <w:rPr>
          <w:rFonts w:ascii="Times New Roman" w:hAnsi="Times New Roman"/>
          <w:color w:val="000000" w:themeColor="text1"/>
          <w:szCs w:val="22"/>
          <w:lang w:eastAsia="sk-SK"/>
        </w:rPr>
        <w:t>e</w:t>
      </w:r>
      <w:r w:rsidRPr="0051497E">
        <w:rPr>
          <w:rFonts w:ascii="Times New Roman" w:hAnsi="Times New Roman"/>
          <w:color w:val="000000" w:themeColor="text1"/>
          <w:szCs w:val="22"/>
          <w:lang w:eastAsia="sk-SK"/>
        </w:rPr>
        <w:t>ur.</w:t>
      </w:r>
    </w:p>
    <w:p w14:paraId="0B4C407D" w14:textId="77777777" w:rsidR="00D07728" w:rsidRPr="0085799C" w:rsidRDefault="00D07728" w:rsidP="0051497E">
      <w:pPr>
        <w:spacing w:after="120" w:line="240" w:lineRule="auto"/>
        <w:jc w:val="both"/>
        <w:rPr>
          <w:rFonts w:ascii="Times New Roman" w:hAnsi="Times New Roman"/>
          <w:szCs w:val="22"/>
        </w:rPr>
      </w:pPr>
    </w:p>
    <w:p w14:paraId="15E7D27E" w14:textId="77777777" w:rsidR="002B5E5D" w:rsidRDefault="002B5E5D">
      <w:pPr>
        <w:spacing w:after="160" w:line="259" w:lineRule="auto"/>
        <w:rPr>
          <w:rFonts w:ascii="Times New Roman" w:eastAsiaTheme="majorEastAsia" w:hAnsi="Times New Roman" w:cstheme="majorBidi"/>
          <w:b/>
          <w:szCs w:val="28"/>
          <w:lang w:eastAsia="sk-SK"/>
        </w:rPr>
      </w:pPr>
      <w:r>
        <w:rPr>
          <w:lang w:eastAsia="sk-SK"/>
        </w:rPr>
        <w:br w:type="page"/>
      </w:r>
    </w:p>
    <w:p w14:paraId="08E03C69" w14:textId="46932463" w:rsidR="001E2F8A" w:rsidRPr="00C62B68" w:rsidRDefault="00C62B68" w:rsidP="0085799C">
      <w:pPr>
        <w:pStyle w:val="Nadpis3"/>
        <w:numPr>
          <w:ilvl w:val="0"/>
          <w:numId w:val="10"/>
        </w:numPr>
        <w:ind w:left="709"/>
      </w:pPr>
      <w:r w:rsidRPr="43D1BEA5">
        <w:rPr>
          <w:lang w:eastAsia="sk-SK"/>
        </w:rPr>
        <w:lastRenderedPageBreak/>
        <w:t>Finančné náklady</w:t>
      </w:r>
    </w:p>
    <w:p w14:paraId="2FBC0494" w14:textId="1A920717" w:rsidR="00647542" w:rsidRPr="0051497E" w:rsidRDefault="00647542" w:rsidP="0085799C">
      <w:pPr>
        <w:spacing w:after="120" w:line="240" w:lineRule="auto"/>
        <w:jc w:val="both"/>
        <w:rPr>
          <w:rFonts w:ascii="Times New Roman" w:hAnsi="Times New Roman"/>
          <w:szCs w:val="22"/>
        </w:rPr>
      </w:pPr>
      <w:r w:rsidRPr="0051497E">
        <w:rPr>
          <w:rFonts w:ascii="Times New Roman" w:hAnsi="Times New Roman"/>
          <w:szCs w:val="22"/>
        </w:rPr>
        <w:t>Finančné náklady dosiahli hodnotu 2</w:t>
      </w:r>
      <w:r w:rsidR="001D09B6">
        <w:rPr>
          <w:rFonts w:ascii="Times New Roman" w:hAnsi="Times New Roman"/>
          <w:bCs/>
          <w:szCs w:val="22"/>
        </w:rPr>
        <w:t> </w:t>
      </w:r>
      <w:r w:rsidR="00B63BD1" w:rsidRPr="0085799C">
        <w:rPr>
          <w:rFonts w:ascii="Times New Roman" w:hAnsi="Times New Roman"/>
          <w:bCs/>
          <w:szCs w:val="22"/>
        </w:rPr>
        <w:t>540</w:t>
      </w:r>
      <w:r w:rsidR="001D09B6">
        <w:rPr>
          <w:rFonts w:ascii="Times New Roman" w:hAnsi="Times New Roman"/>
          <w:bCs/>
          <w:szCs w:val="22"/>
        </w:rPr>
        <w:t> </w:t>
      </w:r>
      <w:r w:rsidR="00B63BD1" w:rsidRPr="0085799C">
        <w:rPr>
          <w:rFonts w:ascii="Times New Roman" w:hAnsi="Times New Roman"/>
          <w:bCs/>
          <w:szCs w:val="22"/>
        </w:rPr>
        <w:t>295</w:t>
      </w:r>
      <w:r w:rsidRPr="0051497E">
        <w:rPr>
          <w:rFonts w:ascii="Times New Roman" w:hAnsi="Times New Roman"/>
          <w:szCs w:val="22"/>
        </w:rPr>
        <w:t> tis. eur a oproti roku 202</w:t>
      </w:r>
      <w:r w:rsidR="00B63BD1" w:rsidRPr="0085799C">
        <w:rPr>
          <w:rFonts w:ascii="Times New Roman" w:hAnsi="Times New Roman"/>
          <w:bCs/>
          <w:szCs w:val="22"/>
        </w:rPr>
        <w:t>3</w:t>
      </w:r>
      <w:r w:rsidRPr="0051497E">
        <w:rPr>
          <w:rFonts w:ascii="Times New Roman" w:hAnsi="Times New Roman"/>
          <w:szCs w:val="22"/>
        </w:rPr>
        <w:t xml:space="preserve"> sú vyššie o</w:t>
      </w:r>
      <w:r w:rsidR="00B63BD1" w:rsidRPr="0085799C">
        <w:rPr>
          <w:rFonts w:ascii="Times New Roman" w:hAnsi="Times New Roman"/>
          <w:bCs/>
          <w:szCs w:val="22"/>
        </w:rPr>
        <w:t> 338</w:t>
      </w:r>
      <w:r w:rsidR="004026E9" w:rsidRPr="0051497E">
        <w:rPr>
          <w:rFonts w:ascii="Times New Roman" w:hAnsi="Times New Roman"/>
          <w:szCs w:val="22"/>
        </w:rPr>
        <w:t> </w:t>
      </w:r>
      <w:r w:rsidR="00B63BD1" w:rsidRPr="0085799C">
        <w:rPr>
          <w:rFonts w:ascii="Times New Roman" w:hAnsi="Times New Roman"/>
          <w:bCs/>
          <w:szCs w:val="22"/>
        </w:rPr>
        <w:t>829</w:t>
      </w:r>
      <w:r w:rsidRPr="0051497E">
        <w:rPr>
          <w:rFonts w:ascii="Times New Roman" w:hAnsi="Times New Roman"/>
          <w:szCs w:val="22"/>
        </w:rPr>
        <w:t> tis. eur.</w:t>
      </w:r>
    </w:p>
    <w:p w14:paraId="5B086D71" w14:textId="08916CC0" w:rsidR="00647542" w:rsidRDefault="00647542" w:rsidP="00647542">
      <w:pPr>
        <w:pStyle w:val="Popis"/>
        <w:keepNext/>
        <w:rPr>
          <w:noProof/>
        </w:rPr>
      </w:pPr>
      <w:r w:rsidRPr="00907622">
        <w:t xml:space="preserve">Tabuľka </w:t>
      </w:r>
      <w:r w:rsidRPr="00907622">
        <w:fldChar w:fldCharType="begin"/>
      </w:r>
      <w:r w:rsidRPr="00907622">
        <w:instrText xml:space="preserve"> SEQ Tabuľka \* ARABIC </w:instrText>
      </w:r>
      <w:r w:rsidRPr="00907622">
        <w:fldChar w:fldCharType="separate"/>
      </w:r>
      <w:r w:rsidRPr="00907622">
        <w:rPr>
          <w:noProof/>
        </w:rPr>
        <w:t>25</w:t>
      </w:r>
      <w:r w:rsidRPr="00907622">
        <w:rPr>
          <w:noProof/>
        </w:rPr>
        <w:fldChar w:fldCharType="end"/>
      </w:r>
    </w:p>
    <w:tbl>
      <w:tblPr>
        <w:tblW w:w="9072" w:type="dxa"/>
        <w:jc w:val="center"/>
        <w:tblCellMar>
          <w:left w:w="70" w:type="dxa"/>
          <w:right w:w="70" w:type="dxa"/>
        </w:tblCellMar>
        <w:tblLook w:val="04A0" w:firstRow="1" w:lastRow="0" w:firstColumn="1" w:lastColumn="0" w:noHBand="0" w:noVBand="1"/>
      </w:tblPr>
      <w:tblGrid>
        <w:gridCol w:w="5662"/>
        <w:gridCol w:w="1136"/>
        <w:gridCol w:w="1136"/>
        <w:gridCol w:w="1138"/>
      </w:tblGrid>
      <w:tr w:rsidR="00960723" w:rsidRPr="00960723" w14:paraId="036B0D2F" w14:textId="77777777" w:rsidTr="0085799C">
        <w:trPr>
          <w:trHeight w:val="227"/>
          <w:jc w:val="center"/>
        </w:trPr>
        <w:tc>
          <w:tcPr>
            <w:tcW w:w="3121" w:type="pct"/>
            <w:tcBorders>
              <w:top w:val="single" w:sz="8" w:space="0" w:color="auto"/>
              <w:left w:val="nil"/>
              <w:bottom w:val="single" w:sz="8" w:space="0" w:color="auto"/>
              <w:right w:val="nil"/>
            </w:tcBorders>
            <w:shd w:val="clear" w:color="000000" w:fill="F4B084"/>
            <w:noWrap/>
            <w:vAlign w:val="center"/>
            <w:hideMark/>
          </w:tcPr>
          <w:p w14:paraId="0B004F17" w14:textId="77777777" w:rsidR="00960723" w:rsidRPr="00960723" w:rsidRDefault="00960723" w:rsidP="00960723">
            <w:pPr>
              <w:spacing w:after="0" w:line="240" w:lineRule="auto"/>
              <w:rPr>
                <w:rFonts w:ascii="Times New Roman" w:hAnsi="Times New Roman"/>
                <w:b/>
                <w:bCs/>
                <w:color w:val="000000"/>
                <w:sz w:val="18"/>
                <w:szCs w:val="18"/>
                <w:lang w:eastAsia="sk-SK"/>
              </w:rPr>
            </w:pPr>
            <w:r w:rsidRPr="00960723">
              <w:rPr>
                <w:rFonts w:ascii="Times New Roman" w:hAnsi="Times New Roman"/>
                <w:b/>
                <w:bCs/>
                <w:color w:val="000000"/>
                <w:sz w:val="18"/>
                <w:szCs w:val="18"/>
                <w:lang w:eastAsia="sk-SK"/>
              </w:rPr>
              <w:t>Finančné náklady podľa druhu</w:t>
            </w:r>
          </w:p>
        </w:tc>
        <w:tc>
          <w:tcPr>
            <w:tcW w:w="626" w:type="pct"/>
            <w:tcBorders>
              <w:top w:val="single" w:sz="8" w:space="0" w:color="auto"/>
              <w:left w:val="nil"/>
              <w:bottom w:val="single" w:sz="8" w:space="0" w:color="auto"/>
              <w:right w:val="nil"/>
            </w:tcBorders>
            <w:shd w:val="clear" w:color="000000" w:fill="F4B084"/>
            <w:noWrap/>
            <w:vAlign w:val="center"/>
            <w:hideMark/>
          </w:tcPr>
          <w:p w14:paraId="25E6E99E" w14:textId="77777777" w:rsidR="00960723" w:rsidRPr="00960723" w:rsidRDefault="00960723" w:rsidP="00960723">
            <w:pPr>
              <w:spacing w:after="0" w:line="240" w:lineRule="auto"/>
              <w:jc w:val="center"/>
              <w:rPr>
                <w:rFonts w:ascii="Times New Roman" w:hAnsi="Times New Roman"/>
                <w:b/>
                <w:bCs/>
                <w:color w:val="000000"/>
                <w:sz w:val="18"/>
                <w:szCs w:val="18"/>
                <w:lang w:eastAsia="sk-SK"/>
              </w:rPr>
            </w:pPr>
            <w:r w:rsidRPr="00960723">
              <w:rPr>
                <w:rFonts w:ascii="Times New Roman" w:hAnsi="Times New Roman"/>
                <w:b/>
                <w:bCs/>
                <w:color w:val="000000"/>
                <w:sz w:val="18"/>
                <w:szCs w:val="18"/>
                <w:lang w:eastAsia="sk-SK"/>
              </w:rPr>
              <w:t> </w:t>
            </w:r>
          </w:p>
        </w:tc>
        <w:tc>
          <w:tcPr>
            <w:tcW w:w="626" w:type="pct"/>
            <w:tcBorders>
              <w:top w:val="single" w:sz="8" w:space="0" w:color="auto"/>
              <w:left w:val="nil"/>
              <w:bottom w:val="single" w:sz="8" w:space="0" w:color="auto"/>
              <w:right w:val="nil"/>
            </w:tcBorders>
            <w:shd w:val="clear" w:color="000000" w:fill="F4B084"/>
            <w:noWrap/>
            <w:vAlign w:val="center"/>
            <w:hideMark/>
          </w:tcPr>
          <w:p w14:paraId="269D1815" w14:textId="77777777" w:rsidR="00960723" w:rsidRPr="00960723" w:rsidRDefault="00960723" w:rsidP="00960723">
            <w:pPr>
              <w:spacing w:after="0" w:line="240" w:lineRule="auto"/>
              <w:jc w:val="center"/>
              <w:rPr>
                <w:rFonts w:ascii="Times New Roman" w:hAnsi="Times New Roman"/>
                <w:b/>
                <w:bCs/>
                <w:color w:val="000000"/>
                <w:sz w:val="18"/>
                <w:szCs w:val="18"/>
                <w:lang w:eastAsia="sk-SK"/>
              </w:rPr>
            </w:pPr>
            <w:r w:rsidRPr="00960723">
              <w:rPr>
                <w:rFonts w:ascii="Times New Roman" w:hAnsi="Times New Roman"/>
                <w:b/>
                <w:bCs/>
                <w:color w:val="000000"/>
                <w:sz w:val="18"/>
                <w:szCs w:val="18"/>
                <w:lang w:eastAsia="sk-SK"/>
              </w:rPr>
              <w:t>(v tis. eur)</w:t>
            </w:r>
          </w:p>
        </w:tc>
        <w:tc>
          <w:tcPr>
            <w:tcW w:w="627" w:type="pct"/>
            <w:tcBorders>
              <w:top w:val="single" w:sz="8" w:space="0" w:color="auto"/>
              <w:left w:val="nil"/>
              <w:bottom w:val="single" w:sz="8" w:space="0" w:color="auto"/>
              <w:right w:val="nil"/>
            </w:tcBorders>
            <w:shd w:val="clear" w:color="000000" w:fill="F4B084"/>
            <w:noWrap/>
            <w:vAlign w:val="center"/>
            <w:hideMark/>
          </w:tcPr>
          <w:p w14:paraId="73B1B49E" w14:textId="77777777" w:rsidR="00960723" w:rsidRPr="00960723" w:rsidRDefault="00960723" w:rsidP="00960723">
            <w:pPr>
              <w:spacing w:after="0" w:line="240" w:lineRule="auto"/>
              <w:jc w:val="center"/>
              <w:rPr>
                <w:rFonts w:ascii="Times New Roman" w:hAnsi="Times New Roman"/>
                <w:b/>
                <w:bCs/>
                <w:color w:val="000000"/>
                <w:sz w:val="18"/>
                <w:szCs w:val="18"/>
                <w:lang w:eastAsia="sk-SK"/>
              </w:rPr>
            </w:pPr>
            <w:r w:rsidRPr="00960723">
              <w:rPr>
                <w:rFonts w:ascii="Times New Roman" w:hAnsi="Times New Roman"/>
                <w:b/>
                <w:bCs/>
                <w:color w:val="000000"/>
                <w:sz w:val="18"/>
                <w:szCs w:val="18"/>
                <w:lang w:eastAsia="sk-SK"/>
              </w:rPr>
              <w:t> </w:t>
            </w:r>
          </w:p>
        </w:tc>
      </w:tr>
      <w:tr w:rsidR="00960723" w:rsidRPr="00960723" w14:paraId="0982ED19" w14:textId="77777777" w:rsidTr="0085799C">
        <w:trPr>
          <w:trHeight w:val="227"/>
          <w:jc w:val="center"/>
        </w:trPr>
        <w:tc>
          <w:tcPr>
            <w:tcW w:w="3121" w:type="pct"/>
            <w:tcBorders>
              <w:top w:val="nil"/>
              <w:left w:val="nil"/>
              <w:bottom w:val="single" w:sz="8" w:space="0" w:color="auto"/>
              <w:right w:val="nil"/>
            </w:tcBorders>
            <w:shd w:val="clear" w:color="000000" w:fill="BDD7EE"/>
            <w:noWrap/>
            <w:vAlign w:val="center"/>
            <w:hideMark/>
          </w:tcPr>
          <w:p w14:paraId="3CE57A3F" w14:textId="77777777" w:rsidR="00960723" w:rsidRPr="00960723" w:rsidRDefault="00960723" w:rsidP="00960723">
            <w:pPr>
              <w:spacing w:after="0" w:line="240" w:lineRule="auto"/>
              <w:rPr>
                <w:rFonts w:ascii="Times New Roman" w:hAnsi="Times New Roman"/>
                <w:b/>
                <w:bCs/>
                <w:color w:val="000000"/>
                <w:sz w:val="18"/>
                <w:szCs w:val="18"/>
                <w:lang w:eastAsia="sk-SK"/>
              </w:rPr>
            </w:pPr>
            <w:r w:rsidRPr="00960723">
              <w:rPr>
                <w:rFonts w:ascii="Times New Roman" w:hAnsi="Times New Roman"/>
                <w:b/>
                <w:bCs/>
                <w:color w:val="000000"/>
                <w:sz w:val="18"/>
                <w:szCs w:val="18"/>
                <w:lang w:eastAsia="sk-SK"/>
              </w:rPr>
              <w:t> </w:t>
            </w:r>
          </w:p>
        </w:tc>
        <w:tc>
          <w:tcPr>
            <w:tcW w:w="626" w:type="pct"/>
            <w:tcBorders>
              <w:top w:val="nil"/>
              <w:left w:val="nil"/>
              <w:bottom w:val="single" w:sz="8" w:space="0" w:color="auto"/>
              <w:right w:val="nil"/>
            </w:tcBorders>
            <w:shd w:val="clear" w:color="000000" w:fill="BDD7EE"/>
            <w:noWrap/>
            <w:vAlign w:val="center"/>
            <w:hideMark/>
          </w:tcPr>
          <w:p w14:paraId="4A8FA93D" w14:textId="77777777" w:rsidR="00960723" w:rsidRPr="00960723" w:rsidRDefault="00960723" w:rsidP="00960723">
            <w:pPr>
              <w:spacing w:after="0" w:line="240" w:lineRule="auto"/>
              <w:jc w:val="center"/>
              <w:rPr>
                <w:rFonts w:ascii="Times New Roman" w:hAnsi="Times New Roman"/>
                <w:b/>
                <w:bCs/>
                <w:color w:val="000000"/>
                <w:sz w:val="18"/>
                <w:szCs w:val="18"/>
                <w:lang w:eastAsia="sk-SK"/>
              </w:rPr>
            </w:pPr>
            <w:r w:rsidRPr="00960723">
              <w:rPr>
                <w:rFonts w:ascii="Times New Roman" w:hAnsi="Times New Roman"/>
                <w:b/>
                <w:bCs/>
                <w:color w:val="000000"/>
                <w:sz w:val="18"/>
                <w:szCs w:val="18"/>
                <w:lang w:eastAsia="sk-SK"/>
              </w:rPr>
              <w:t>2024</w:t>
            </w:r>
          </w:p>
        </w:tc>
        <w:tc>
          <w:tcPr>
            <w:tcW w:w="626" w:type="pct"/>
            <w:tcBorders>
              <w:top w:val="nil"/>
              <w:left w:val="nil"/>
              <w:bottom w:val="single" w:sz="8" w:space="0" w:color="auto"/>
              <w:right w:val="nil"/>
            </w:tcBorders>
            <w:shd w:val="clear" w:color="000000" w:fill="BDD7EE"/>
            <w:noWrap/>
            <w:vAlign w:val="center"/>
            <w:hideMark/>
          </w:tcPr>
          <w:p w14:paraId="045C67A6" w14:textId="77777777" w:rsidR="00960723" w:rsidRPr="00960723" w:rsidRDefault="00960723" w:rsidP="00960723">
            <w:pPr>
              <w:spacing w:after="0" w:line="240" w:lineRule="auto"/>
              <w:jc w:val="center"/>
              <w:rPr>
                <w:rFonts w:ascii="Times New Roman" w:hAnsi="Times New Roman"/>
                <w:b/>
                <w:bCs/>
                <w:color w:val="000000"/>
                <w:sz w:val="18"/>
                <w:szCs w:val="18"/>
                <w:lang w:eastAsia="sk-SK"/>
              </w:rPr>
            </w:pPr>
            <w:r w:rsidRPr="00960723">
              <w:rPr>
                <w:rFonts w:ascii="Times New Roman" w:hAnsi="Times New Roman"/>
                <w:b/>
                <w:bCs/>
                <w:color w:val="000000"/>
                <w:sz w:val="18"/>
                <w:szCs w:val="18"/>
                <w:lang w:eastAsia="sk-SK"/>
              </w:rPr>
              <w:t>2023</w:t>
            </w:r>
          </w:p>
        </w:tc>
        <w:tc>
          <w:tcPr>
            <w:tcW w:w="627" w:type="pct"/>
            <w:tcBorders>
              <w:top w:val="nil"/>
              <w:left w:val="nil"/>
              <w:bottom w:val="single" w:sz="8" w:space="0" w:color="auto"/>
              <w:right w:val="nil"/>
            </w:tcBorders>
            <w:shd w:val="clear" w:color="000000" w:fill="BDD7EE"/>
            <w:vAlign w:val="center"/>
            <w:hideMark/>
          </w:tcPr>
          <w:p w14:paraId="680100A7" w14:textId="77777777" w:rsidR="00960723" w:rsidRPr="00960723" w:rsidRDefault="00960723" w:rsidP="00960723">
            <w:pPr>
              <w:spacing w:after="0" w:line="240" w:lineRule="auto"/>
              <w:jc w:val="center"/>
              <w:rPr>
                <w:rFonts w:ascii="Times New Roman" w:hAnsi="Times New Roman"/>
                <w:b/>
                <w:bCs/>
                <w:color w:val="000000"/>
                <w:sz w:val="18"/>
                <w:szCs w:val="18"/>
                <w:lang w:eastAsia="sk-SK"/>
              </w:rPr>
            </w:pPr>
            <w:r w:rsidRPr="00960723">
              <w:rPr>
                <w:rFonts w:ascii="Times New Roman" w:hAnsi="Times New Roman"/>
                <w:b/>
                <w:bCs/>
                <w:color w:val="000000"/>
                <w:sz w:val="18"/>
                <w:szCs w:val="18"/>
                <w:lang w:eastAsia="sk-SK"/>
              </w:rPr>
              <w:t>Δ 2024-2023</w:t>
            </w:r>
          </w:p>
        </w:tc>
      </w:tr>
      <w:tr w:rsidR="00960723" w:rsidRPr="00960723" w14:paraId="54239787" w14:textId="77777777" w:rsidTr="0085799C">
        <w:trPr>
          <w:trHeight w:val="227"/>
          <w:jc w:val="center"/>
        </w:trPr>
        <w:tc>
          <w:tcPr>
            <w:tcW w:w="3121" w:type="pct"/>
            <w:tcBorders>
              <w:top w:val="nil"/>
              <w:left w:val="nil"/>
              <w:bottom w:val="nil"/>
              <w:right w:val="nil"/>
            </w:tcBorders>
            <w:vAlign w:val="center"/>
            <w:hideMark/>
          </w:tcPr>
          <w:p w14:paraId="7ECE972B" w14:textId="77777777" w:rsidR="00960723" w:rsidRPr="00960723" w:rsidRDefault="00960723" w:rsidP="00960723">
            <w:pPr>
              <w:spacing w:after="0" w:line="240" w:lineRule="auto"/>
              <w:rPr>
                <w:rFonts w:ascii="Times New Roman" w:hAnsi="Times New Roman"/>
                <w:color w:val="000000"/>
                <w:sz w:val="18"/>
                <w:szCs w:val="18"/>
                <w:lang w:eastAsia="sk-SK"/>
              </w:rPr>
            </w:pPr>
            <w:r w:rsidRPr="00960723">
              <w:rPr>
                <w:rFonts w:ascii="Times New Roman" w:hAnsi="Times New Roman"/>
                <w:color w:val="000000"/>
                <w:sz w:val="18"/>
                <w:szCs w:val="18"/>
                <w:lang w:eastAsia="sk-SK"/>
              </w:rPr>
              <w:t>Úroky</w:t>
            </w:r>
          </w:p>
        </w:tc>
        <w:tc>
          <w:tcPr>
            <w:tcW w:w="626" w:type="pct"/>
            <w:tcBorders>
              <w:top w:val="nil"/>
              <w:left w:val="nil"/>
              <w:bottom w:val="nil"/>
              <w:right w:val="nil"/>
            </w:tcBorders>
            <w:vAlign w:val="center"/>
            <w:hideMark/>
          </w:tcPr>
          <w:p w14:paraId="568A4A93"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1 932 988</w:t>
            </w:r>
          </w:p>
        </w:tc>
        <w:tc>
          <w:tcPr>
            <w:tcW w:w="626" w:type="pct"/>
            <w:tcBorders>
              <w:top w:val="nil"/>
              <w:left w:val="nil"/>
              <w:bottom w:val="nil"/>
              <w:right w:val="nil"/>
            </w:tcBorders>
            <w:vAlign w:val="center"/>
            <w:hideMark/>
          </w:tcPr>
          <w:p w14:paraId="125BD048"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1 521 487</w:t>
            </w:r>
          </w:p>
        </w:tc>
        <w:tc>
          <w:tcPr>
            <w:tcW w:w="627" w:type="pct"/>
            <w:tcBorders>
              <w:top w:val="nil"/>
              <w:left w:val="nil"/>
              <w:bottom w:val="nil"/>
              <w:right w:val="nil"/>
            </w:tcBorders>
            <w:vAlign w:val="center"/>
            <w:hideMark/>
          </w:tcPr>
          <w:p w14:paraId="67521CB1"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411 501</w:t>
            </w:r>
          </w:p>
        </w:tc>
      </w:tr>
      <w:tr w:rsidR="00960723" w:rsidRPr="00960723" w14:paraId="2CA54601" w14:textId="77777777" w:rsidTr="0085799C">
        <w:trPr>
          <w:trHeight w:val="227"/>
          <w:jc w:val="center"/>
        </w:trPr>
        <w:tc>
          <w:tcPr>
            <w:tcW w:w="3121" w:type="pct"/>
            <w:tcBorders>
              <w:top w:val="nil"/>
              <w:left w:val="nil"/>
              <w:bottom w:val="nil"/>
              <w:right w:val="nil"/>
            </w:tcBorders>
            <w:vAlign w:val="center"/>
            <w:hideMark/>
          </w:tcPr>
          <w:p w14:paraId="7478FF17" w14:textId="77777777" w:rsidR="00960723" w:rsidRPr="00960723" w:rsidRDefault="00960723" w:rsidP="00960723">
            <w:pPr>
              <w:spacing w:after="0" w:line="240" w:lineRule="auto"/>
              <w:rPr>
                <w:rFonts w:ascii="Times New Roman" w:hAnsi="Times New Roman"/>
                <w:color w:val="000000"/>
                <w:sz w:val="18"/>
                <w:szCs w:val="18"/>
                <w:lang w:eastAsia="sk-SK"/>
              </w:rPr>
            </w:pPr>
            <w:r w:rsidRPr="00960723">
              <w:rPr>
                <w:rFonts w:ascii="Times New Roman" w:hAnsi="Times New Roman"/>
                <w:color w:val="000000"/>
                <w:sz w:val="18"/>
                <w:szCs w:val="18"/>
                <w:lang w:eastAsia="sk-SK"/>
              </w:rPr>
              <w:t>Náklady na derivátové operácie</w:t>
            </w:r>
          </w:p>
        </w:tc>
        <w:tc>
          <w:tcPr>
            <w:tcW w:w="626" w:type="pct"/>
            <w:tcBorders>
              <w:top w:val="nil"/>
              <w:left w:val="nil"/>
              <w:bottom w:val="nil"/>
              <w:right w:val="nil"/>
            </w:tcBorders>
            <w:vAlign w:val="center"/>
            <w:hideMark/>
          </w:tcPr>
          <w:p w14:paraId="60DF0885"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339 641</w:t>
            </w:r>
          </w:p>
        </w:tc>
        <w:tc>
          <w:tcPr>
            <w:tcW w:w="626" w:type="pct"/>
            <w:tcBorders>
              <w:top w:val="nil"/>
              <w:left w:val="nil"/>
              <w:bottom w:val="nil"/>
              <w:right w:val="nil"/>
            </w:tcBorders>
            <w:vAlign w:val="center"/>
            <w:hideMark/>
          </w:tcPr>
          <w:p w14:paraId="6756B732"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395 163</w:t>
            </w:r>
          </w:p>
        </w:tc>
        <w:tc>
          <w:tcPr>
            <w:tcW w:w="627" w:type="pct"/>
            <w:tcBorders>
              <w:top w:val="nil"/>
              <w:left w:val="nil"/>
              <w:bottom w:val="nil"/>
              <w:right w:val="nil"/>
            </w:tcBorders>
            <w:vAlign w:val="center"/>
            <w:hideMark/>
          </w:tcPr>
          <w:p w14:paraId="04BEF40D"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-55 522</w:t>
            </w:r>
          </w:p>
        </w:tc>
      </w:tr>
      <w:tr w:rsidR="00960723" w:rsidRPr="00960723" w14:paraId="202A7776" w14:textId="77777777" w:rsidTr="0085799C">
        <w:trPr>
          <w:trHeight w:val="227"/>
          <w:jc w:val="center"/>
        </w:trPr>
        <w:tc>
          <w:tcPr>
            <w:tcW w:w="3121" w:type="pct"/>
            <w:tcBorders>
              <w:top w:val="nil"/>
              <w:left w:val="nil"/>
              <w:bottom w:val="nil"/>
              <w:right w:val="nil"/>
            </w:tcBorders>
            <w:vAlign w:val="center"/>
            <w:hideMark/>
          </w:tcPr>
          <w:p w14:paraId="5B7B5F71" w14:textId="77777777" w:rsidR="00960723" w:rsidRPr="00960723" w:rsidRDefault="00960723" w:rsidP="00960723">
            <w:pPr>
              <w:spacing w:after="0" w:line="240" w:lineRule="auto"/>
              <w:rPr>
                <w:rFonts w:ascii="Times New Roman" w:hAnsi="Times New Roman"/>
                <w:color w:val="000000"/>
                <w:sz w:val="18"/>
                <w:szCs w:val="18"/>
                <w:lang w:eastAsia="sk-SK"/>
              </w:rPr>
            </w:pPr>
            <w:r w:rsidRPr="00960723">
              <w:rPr>
                <w:rFonts w:ascii="Times New Roman" w:hAnsi="Times New Roman"/>
                <w:color w:val="000000"/>
                <w:sz w:val="18"/>
                <w:szCs w:val="18"/>
                <w:lang w:eastAsia="sk-SK"/>
              </w:rPr>
              <w:t>Kurzové straty</w:t>
            </w:r>
          </w:p>
        </w:tc>
        <w:tc>
          <w:tcPr>
            <w:tcW w:w="626" w:type="pct"/>
            <w:tcBorders>
              <w:top w:val="nil"/>
              <w:left w:val="nil"/>
              <w:bottom w:val="nil"/>
              <w:right w:val="nil"/>
            </w:tcBorders>
            <w:vAlign w:val="center"/>
            <w:hideMark/>
          </w:tcPr>
          <w:p w14:paraId="27094C0B"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66 000</w:t>
            </w:r>
          </w:p>
        </w:tc>
        <w:tc>
          <w:tcPr>
            <w:tcW w:w="626" w:type="pct"/>
            <w:tcBorders>
              <w:top w:val="nil"/>
              <w:left w:val="nil"/>
              <w:bottom w:val="nil"/>
              <w:right w:val="nil"/>
            </w:tcBorders>
            <w:vAlign w:val="center"/>
            <w:hideMark/>
          </w:tcPr>
          <w:p w14:paraId="2AB6FB3E"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61 720</w:t>
            </w:r>
          </w:p>
        </w:tc>
        <w:tc>
          <w:tcPr>
            <w:tcW w:w="627" w:type="pct"/>
            <w:tcBorders>
              <w:top w:val="nil"/>
              <w:left w:val="nil"/>
              <w:bottom w:val="nil"/>
              <w:right w:val="nil"/>
            </w:tcBorders>
            <w:vAlign w:val="center"/>
            <w:hideMark/>
          </w:tcPr>
          <w:p w14:paraId="48D14AAC"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4 280</w:t>
            </w:r>
          </w:p>
        </w:tc>
      </w:tr>
      <w:tr w:rsidR="00960723" w:rsidRPr="00960723" w14:paraId="01E9AA6A" w14:textId="77777777" w:rsidTr="0085799C">
        <w:trPr>
          <w:trHeight w:val="227"/>
          <w:jc w:val="center"/>
        </w:trPr>
        <w:tc>
          <w:tcPr>
            <w:tcW w:w="3121" w:type="pct"/>
            <w:tcBorders>
              <w:top w:val="nil"/>
              <w:left w:val="nil"/>
              <w:bottom w:val="nil"/>
              <w:right w:val="nil"/>
            </w:tcBorders>
            <w:vAlign w:val="center"/>
            <w:hideMark/>
          </w:tcPr>
          <w:p w14:paraId="1835AE94" w14:textId="77777777" w:rsidR="00960723" w:rsidRPr="00960723" w:rsidRDefault="00960723" w:rsidP="00960723">
            <w:pPr>
              <w:spacing w:after="0" w:line="240" w:lineRule="auto"/>
              <w:rPr>
                <w:rFonts w:ascii="Times New Roman" w:hAnsi="Times New Roman"/>
                <w:color w:val="000000"/>
                <w:sz w:val="18"/>
                <w:szCs w:val="18"/>
                <w:lang w:eastAsia="sk-SK"/>
              </w:rPr>
            </w:pPr>
            <w:r w:rsidRPr="00960723">
              <w:rPr>
                <w:rFonts w:ascii="Times New Roman" w:hAnsi="Times New Roman"/>
                <w:color w:val="000000"/>
                <w:sz w:val="18"/>
                <w:szCs w:val="18"/>
                <w:lang w:eastAsia="sk-SK"/>
              </w:rPr>
              <w:t>Predané cenné papiere a podiely</w:t>
            </w:r>
          </w:p>
        </w:tc>
        <w:tc>
          <w:tcPr>
            <w:tcW w:w="626" w:type="pct"/>
            <w:tcBorders>
              <w:top w:val="nil"/>
              <w:left w:val="nil"/>
              <w:bottom w:val="nil"/>
              <w:right w:val="nil"/>
            </w:tcBorders>
            <w:vAlign w:val="center"/>
            <w:hideMark/>
          </w:tcPr>
          <w:p w14:paraId="5E772CE5"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44 265</w:t>
            </w:r>
          </w:p>
        </w:tc>
        <w:tc>
          <w:tcPr>
            <w:tcW w:w="626" w:type="pct"/>
            <w:tcBorders>
              <w:top w:val="nil"/>
              <w:left w:val="nil"/>
              <w:bottom w:val="nil"/>
              <w:right w:val="nil"/>
            </w:tcBorders>
            <w:vAlign w:val="center"/>
            <w:hideMark/>
          </w:tcPr>
          <w:p w14:paraId="1D0231D3"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39 030</w:t>
            </w:r>
          </w:p>
        </w:tc>
        <w:tc>
          <w:tcPr>
            <w:tcW w:w="627" w:type="pct"/>
            <w:tcBorders>
              <w:top w:val="nil"/>
              <w:left w:val="nil"/>
              <w:bottom w:val="nil"/>
              <w:right w:val="nil"/>
            </w:tcBorders>
            <w:vAlign w:val="center"/>
            <w:hideMark/>
          </w:tcPr>
          <w:p w14:paraId="783E1CF4"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5 235</w:t>
            </w:r>
          </w:p>
        </w:tc>
      </w:tr>
      <w:tr w:rsidR="00960723" w:rsidRPr="00960723" w14:paraId="1D525BAF" w14:textId="77777777" w:rsidTr="0085799C">
        <w:trPr>
          <w:trHeight w:val="227"/>
          <w:jc w:val="center"/>
        </w:trPr>
        <w:tc>
          <w:tcPr>
            <w:tcW w:w="3121" w:type="pct"/>
            <w:tcBorders>
              <w:top w:val="nil"/>
              <w:left w:val="nil"/>
              <w:bottom w:val="nil"/>
              <w:right w:val="nil"/>
            </w:tcBorders>
            <w:vAlign w:val="center"/>
            <w:hideMark/>
          </w:tcPr>
          <w:p w14:paraId="7C3B5C07" w14:textId="77777777" w:rsidR="00960723" w:rsidRPr="00960723" w:rsidRDefault="00960723" w:rsidP="00960723">
            <w:pPr>
              <w:spacing w:after="0" w:line="240" w:lineRule="auto"/>
              <w:rPr>
                <w:rFonts w:ascii="Times New Roman" w:hAnsi="Times New Roman"/>
                <w:color w:val="000000"/>
                <w:sz w:val="18"/>
                <w:szCs w:val="18"/>
                <w:lang w:eastAsia="sk-SK"/>
              </w:rPr>
            </w:pPr>
            <w:r w:rsidRPr="00960723">
              <w:rPr>
                <w:rFonts w:ascii="Times New Roman" w:hAnsi="Times New Roman"/>
                <w:color w:val="000000"/>
                <w:sz w:val="18"/>
                <w:szCs w:val="18"/>
                <w:lang w:eastAsia="sk-SK"/>
              </w:rPr>
              <w:t>Ostatné finančné náklady Ministerstva hospodárstva SR</w:t>
            </w:r>
          </w:p>
        </w:tc>
        <w:tc>
          <w:tcPr>
            <w:tcW w:w="626" w:type="pct"/>
            <w:tcBorders>
              <w:top w:val="nil"/>
              <w:left w:val="nil"/>
              <w:bottom w:val="nil"/>
              <w:right w:val="nil"/>
            </w:tcBorders>
            <w:vAlign w:val="center"/>
            <w:hideMark/>
          </w:tcPr>
          <w:p w14:paraId="0C46693E"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492</w:t>
            </w:r>
          </w:p>
        </w:tc>
        <w:tc>
          <w:tcPr>
            <w:tcW w:w="626" w:type="pct"/>
            <w:tcBorders>
              <w:top w:val="nil"/>
              <w:left w:val="nil"/>
              <w:bottom w:val="nil"/>
              <w:right w:val="nil"/>
            </w:tcBorders>
            <w:vAlign w:val="center"/>
            <w:hideMark/>
          </w:tcPr>
          <w:p w14:paraId="04401AE9"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26 314</w:t>
            </w:r>
          </w:p>
        </w:tc>
        <w:tc>
          <w:tcPr>
            <w:tcW w:w="627" w:type="pct"/>
            <w:tcBorders>
              <w:top w:val="nil"/>
              <w:left w:val="nil"/>
              <w:bottom w:val="nil"/>
              <w:right w:val="nil"/>
            </w:tcBorders>
            <w:vAlign w:val="center"/>
            <w:hideMark/>
          </w:tcPr>
          <w:p w14:paraId="2A5516A4"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-25 822</w:t>
            </w:r>
          </w:p>
        </w:tc>
      </w:tr>
      <w:tr w:rsidR="00960723" w:rsidRPr="00960723" w14:paraId="41AC6279" w14:textId="77777777" w:rsidTr="0085799C">
        <w:trPr>
          <w:trHeight w:val="227"/>
          <w:jc w:val="center"/>
        </w:trPr>
        <w:tc>
          <w:tcPr>
            <w:tcW w:w="3121" w:type="pct"/>
            <w:tcBorders>
              <w:top w:val="nil"/>
              <w:left w:val="nil"/>
              <w:bottom w:val="nil"/>
              <w:right w:val="nil"/>
            </w:tcBorders>
            <w:vAlign w:val="center"/>
            <w:hideMark/>
          </w:tcPr>
          <w:p w14:paraId="7B9414B3" w14:textId="77777777" w:rsidR="00960723" w:rsidRPr="00960723" w:rsidRDefault="00960723" w:rsidP="00960723">
            <w:pPr>
              <w:spacing w:after="0" w:line="240" w:lineRule="auto"/>
              <w:rPr>
                <w:rFonts w:ascii="Times New Roman" w:hAnsi="Times New Roman"/>
                <w:color w:val="000000"/>
                <w:sz w:val="18"/>
                <w:szCs w:val="18"/>
                <w:lang w:eastAsia="sk-SK"/>
              </w:rPr>
            </w:pPr>
            <w:r w:rsidRPr="00960723">
              <w:rPr>
                <w:rFonts w:ascii="Times New Roman" w:hAnsi="Times New Roman"/>
                <w:color w:val="000000"/>
                <w:sz w:val="18"/>
                <w:szCs w:val="18"/>
                <w:lang w:eastAsia="sk-SK"/>
              </w:rPr>
              <w:t>Podiel konsolidujúcej účtovnej jednotky na výsledku hospodárenia pridružených účtovných jednotiek verejnej správy</w:t>
            </w:r>
          </w:p>
        </w:tc>
        <w:tc>
          <w:tcPr>
            <w:tcW w:w="626" w:type="pct"/>
            <w:tcBorders>
              <w:top w:val="nil"/>
              <w:left w:val="nil"/>
              <w:bottom w:val="nil"/>
              <w:right w:val="nil"/>
            </w:tcBorders>
            <w:vAlign w:val="center"/>
            <w:hideMark/>
          </w:tcPr>
          <w:p w14:paraId="7AEB05D8"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12 755</w:t>
            </w:r>
          </w:p>
        </w:tc>
        <w:tc>
          <w:tcPr>
            <w:tcW w:w="626" w:type="pct"/>
            <w:tcBorders>
              <w:top w:val="nil"/>
              <w:left w:val="nil"/>
              <w:bottom w:val="nil"/>
              <w:right w:val="nil"/>
            </w:tcBorders>
            <w:vAlign w:val="center"/>
            <w:hideMark/>
          </w:tcPr>
          <w:p w14:paraId="254C2230"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18 999</w:t>
            </w:r>
          </w:p>
        </w:tc>
        <w:tc>
          <w:tcPr>
            <w:tcW w:w="627" w:type="pct"/>
            <w:tcBorders>
              <w:top w:val="nil"/>
              <w:left w:val="nil"/>
              <w:bottom w:val="nil"/>
              <w:right w:val="nil"/>
            </w:tcBorders>
            <w:vAlign w:val="center"/>
            <w:hideMark/>
          </w:tcPr>
          <w:p w14:paraId="74C84282"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-6 244</w:t>
            </w:r>
          </w:p>
        </w:tc>
      </w:tr>
      <w:tr w:rsidR="00960723" w:rsidRPr="00960723" w14:paraId="0F370EB7" w14:textId="77777777" w:rsidTr="0085799C">
        <w:trPr>
          <w:trHeight w:val="227"/>
          <w:jc w:val="center"/>
        </w:trPr>
        <w:tc>
          <w:tcPr>
            <w:tcW w:w="3121" w:type="pct"/>
            <w:tcBorders>
              <w:top w:val="nil"/>
              <w:left w:val="nil"/>
              <w:bottom w:val="nil"/>
              <w:right w:val="nil"/>
            </w:tcBorders>
            <w:vAlign w:val="center"/>
            <w:hideMark/>
          </w:tcPr>
          <w:p w14:paraId="0D4A8F81" w14:textId="77777777" w:rsidR="00960723" w:rsidRPr="00960723" w:rsidRDefault="00960723" w:rsidP="00960723">
            <w:pPr>
              <w:spacing w:after="0" w:line="240" w:lineRule="auto"/>
              <w:rPr>
                <w:rFonts w:ascii="Times New Roman" w:hAnsi="Times New Roman"/>
                <w:color w:val="000000"/>
                <w:sz w:val="18"/>
                <w:szCs w:val="18"/>
                <w:lang w:eastAsia="sk-SK"/>
              </w:rPr>
            </w:pPr>
            <w:r w:rsidRPr="00960723">
              <w:rPr>
                <w:rFonts w:ascii="Times New Roman" w:hAnsi="Times New Roman"/>
                <w:color w:val="000000"/>
                <w:sz w:val="18"/>
                <w:szCs w:val="18"/>
                <w:lang w:eastAsia="sk-SK"/>
              </w:rPr>
              <w:t>Ostatné finančné náklady Ministerstva financií SR</w:t>
            </w:r>
          </w:p>
        </w:tc>
        <w:tc>
          <w:tcPr>
            <w:tcW w:w="626" w:type="pct"/>
            <w:tcBorders>
              <w:top w:val="nil"/>
              <w:left w:val="nil"/>
              <w:bottom w:val="nil"/>
              <w:right w:val="nil"/>
            </w:tcBorders>
            <w:vAlign w:val="center"/>
            <w:hideMark/>
          </w:tcPr>
          <w:p w14:paraId="00700FA6"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18 390</w:t>
            </w:r>
          </w:p>
        </w:tc>
        <w:tc>
          <w:tcPr>
            <w:tcW w:w="626" w:type="pct"/>
            <w:tcBorders>
              <w:top w:val="nil"/>
              <w:left w:val="nil"/>
              <w:bottom w:val="nil"/>
              <w:right w:val="nil"/>
            </w:tcBorders>
            <w:vAlign w:val="center"/>
            <w:hideMark/>
          </w:tcPr>
          <w:p w14:paraId="6615073A"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13 759</w:t>
            </w:r>
          </w:p>
        </w:tc>
        <w:tc>
          <w:tcPr>
            <w:tcW w:w="627" w:type="pct"/>
            <w:tcBorders>
              <w:top w:val="nil"/>
              <w:left w:val="nil"/>
              <w:bottom w:val="nil"/>
              <w:right w:val="nil"/>
            </w:tcBorders>
            <w:vAlign w:val="center"/>
            <w:hideMark/>
          </w:tcPr>
          <w:p w14:paraId="4FC3378D"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4 631</w:t>
            </w:r>
          </w:p>
        </w:tc>
      </w:tr>
      <w:tr w:rsidR="00960723" w:rsidRPr="00960723" w14:paraId="2A405DE9" w14:textId="77777777" w:rsidTr="0085799C">
        <w:trPr>
          <w:trHeight w:val="227"/>
          <w:jc w:val="center"/>
        </w:trPr>
        <w:tc>
          <w:tcPr>
            <w:tcW w:w="3121" w:type="pct"/>
            <w:tcBorders>
              <w:top w:val="nil"/>
              <w:left w:val="nil"/>
              <w:bottom w:val="nil"/>
              <w:right w:val="nil"/>
            </w:tcBorders>
            <w:vAlign w:val="center"/>
            <w:hideMark/>
          </w:tcPr>
          <w:p w14:paraId="4E3C4AF0" w14:textId="77777777" w:rsidR="00960723" w:rsidRPr="00960723" w:rsidRDefault="00960723" w:rsidP="00960723">
            <w:pPr>
              <w:spacing w:after="0" w:line="240" w:lineRule="auto"/>
              <w:rPr>
                <w:rFonts w:ascii="Times New Roman" w:hAnsi="Times New Roman"/>
                <w:color w:val="000000"/>
                <w:sz w:val="18"/>
                <w:szCs w:val="18"/>
                <w:lang w:eastAsia="sk-SK"/>
              </w:rPr>
            </w:pPr>
            <w:r w:rsidRPr="00960723">
              <w:rPr>
                <w:rFonts w:ascii="Times New Roman" w:hAnsi="Times New Roman"/>
                <w:color w:val="000000"/>
                <w:sz w:val="18"/>
                <w:szCs w:val="18"/>
                <w:lang w:eastAsia="sk-SK"/>
              </w:rPr>
              <w:t>Ostatné finančné náklady MH Manažmentu, a.s.</w:t>
            </w:r>
          </w:p>
        </w:tc>
        <w:tc>
          <w:tcPr>
            <w:tcW w:w="626" w:type="pct"/>
            <w:tcBorders>
              <w:top w:val="nil"/>
              <w:left w:val="nil"/>
              <w:bottom w:val="nil"/>
              <w:right w:val="nil"/>
            </w:tcBorders>
            <w:vAlign w:val="center"/>
            <w:hideMark/>
          </w:tcPr>
          <w:p w14:paraId="7A13A576"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2 032</w:t>
            </w:r>
          </w:p>
        </w:tc>
        <w:tc>
          <w:tcPr>
            <w:tcW w:w="626" w:type="pct"/>
            <w:tcBorders>
              <w:top w:val="nil"/>
              <w:left w:val="nil"/>
              <w:bottom w:val="nil"/>
              <w:right w:val="nil"/>
            </w:tcBorders>
            <w:vAlign w:val="center"/>
            <w:hideMark/>
          </w:tcPr>
          <w:p w14:paraId="5EBF9C9F"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12 734</w:t>
            </w:r>
          </w:p>
        </w:tc>
        <w:tc>
          <w:tcPr>
            <w:tcW w:w="627" w:type="pct"/>
            <w:tcBorders>
              <w:top w:val="nil"/>
              <w:left w:val="nil"/>
              <w:bottom w:val="nil"/>
              <w:right w:val="nil"/>
            </w:tcBorders>
            <w:vAlign w:val="center"/>
            <w:hideMark/>
          </w:tcPr>
          <w:p w14:paraId="77E86A3B"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-10 702</w:t>
            </w:r>
          </w:p>
        </w:tc>
      </w:tr>
      <w:tr w:rsidR="00960723" w:rsidRPr="00960723" w14:paraId="2EC402DF" w14:textId="77777777" w:rsidTr="0085799C">
        <w:trPr>
          <w:trHeight w:val="227"/>
          <w:jc w:val="center"/>
        </w:trPr>
        <w:tc>
          <w:tcPr>
            <w:tcW w:w="3121" w:type="pct"/>
            <w:tcBorders>
              <w:top w:val="nil"/>
              <w:left w:val="nil"/>
              <w:bottom w:val="nil"/>
              <w:right w:val="nil"/>
            </w:tcBorders>
            <w:vAlign w:val="center"/>
            <w:hideMark/>
          </w:tcPr>
          <w:p w14:paraId="025F6C85" w14:textId="77777777" w:rsidR="00960723" w:rsidRPr="00960723" w:rsidRDefault="00960723" w:rsidP="00960723">
            <w:pPr>
              <w:spacing w:after="0" w:line="240" w:lineRule="auto"/>
              <w:rPr>
                <w:rFonts w:ascii="Times New Roman" w:hAnsi="Times New Roman"/>
                <w:color w:val="000000"/>
                <w:sz w:val="18"/>
                <w:szCs w:val="18"/>
                <w:lang w:eastAsia="sk-SK"/>
              </w:rPr>
            </w:pPr>
            <w:r w:rsidRPr="00960723">
              <w:rPr>
                <w:rFonts w:ascii="Times New Roman" w:hAnsi="Times New Roman"/>
                <w:color w:val="000000"/>
                <w:sz w:val="18"/>
                <w:szCs w:val="18"/>
                <w:lang w:eastAsia="sk-SK"/>
              </w:rPr>
              <w:t>Ostatné finančné náklady Slovenského plynárenského priemyslu, a.s.</w:t>
            </w:r>
          </w:p>
        </w:tc>
        <w:tc>
          <w:tcPr>
            <w:tcW w:w="626" w:type="pct"/>
            <w:tcBorders>
              <w:top w:val="nil"/>
              <w:left w:val="nil"/>
              <w:bottom w:val="nil"/>
              <w:right w:val="nil"/>
            </w:tcBorders>
            <w:vAlign w:val="center"/>
            <w:hideMark/>
          </w:tcPr>
          <w:p w14:paraId="21D2D8A0"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443</w:t>
            </w:r>
          </w:p>
        </w:tc>
        <w:tc>
          <w:tcPr>
            <w:tcW w:w="626" w:type="pct"/>
            <w:tcBorders>
              <w:top w:val="nil"/>
              <w:left w:val="nil"/>
              <w:bottom w:val="nil"/>
              <w:right w:val="nil"/>
            </w:tcBorders>
            <w:vAlign w:val="center"/>
            <w:hideMark/>
          </w:tcPr>
          <w:p w14:paraId="30CD2F58"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512</w:t>
            </w:r>
          </w:p>
        </w:tc>
        <w:tc>
          <w:tcPr>
            <w:tcW w:w="627" w:type="pct"/>
            <w:tcBorders>
              <w:top w:val="nil"/>
              <w:left w:val="nil"/>
              <w:bottom w:val="nil"/>
              <w:right w:val="nil"/>
            </w:tcBorders>
            <w:vAlign w:val="center"/>
            <w:hideMark/>
          </w:tcPr>
          <w:p w14:paraId="4A9E1CCF"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-69</w:t>
            </w:r>
          </w:p>
        </w:tc>
      </w:tr>
      <w:tr w:rsidR="00960723" w:rsidRPr="00960723" w14:paraId="58370876" w14:textId="77777777" w:rsidTr="0085799C">
        <w:trPr>
          <w:trHeight w:val="227"/>
          <w:jc w:val="center"/>
        </w:trPr>
        <w:tc>
          <w:tcPr>
            <w:tcW w:w="3121" w:type="pct"/>
            <w:tcBorders>
              <w:top w:val="nil"/>
              <w:left w:val="nil"/>
              <w:bottom w:val="single" w:sz="8" w:space="0" w:color="auto"/>
              <w:right w:val="nil"/>
            </w:tcBorders>
            <w:vAlign w:val="center"/>
            <w:hideMark/>
          </w:tcPr>
          <w:p w14:paraId="30AEFE67" w14:textId="77777777" w:rsidR="00960723" w:rsidRPr="00960723" w:rsidRDefault="00960723" w:rsidP="00960723">
            <w:pPr>
              <w:spacing w:after="0" w:line="240" w:lineRule="auto"/>
              <w:rPr>
                <w:rFonts w:ascii="Times New Roman" w:hAnsi="Times New Roman"/>
                <w:color w:val="000000"/>
                <w:sz w:val="18"/>
                <w:szCs w:val="18"/>
                <w:lang w:eastAsia="sk-SK"/>
              </w:rPr>
            </w:pPr>
            <w:r w:rsidRPr="00960723">
              <w:rPr>
                <w:rFonts w:ascii="Times New Roman" w:hAnsi="Times New Roman"/>
                <w:color w:val="000000"/>
                <w:sz w:val="18"/>
                <w:szCs w:val="18"/>
                <w:lang w:eastAsia="sk-SK"/>
              </w:rPr>
              <w:t>Iné finančné náklady</w:t>
            </w:r>
          </w:p>
        </w:tc>
        <w:tc>
          <w:tcPr>
            <w:tcW w:w="626" w:type="pct"/>
            <w:tcBorders>
              <w:top w:val="nil"/>
              <w:left w:val="nil"/>
              <w:bottom w:val="single" w:sz="8" w:space="0" w:color="auto"/>
              <w:right w:val="nil"/>
            </w:tcBorders>
            <w:vAlign w:val="center"/>
            <w:hideMark/>
          </w:tcPr>
          <w:p w14:paraId="446283A5"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123 289</w:t>
            </w:r>
          </w:p>
        </w:tc>
        <w:tc>
          <w:tcPr>
            <w:tcW w:w="626" w:type="pct"/>
            <w:tcBorders>
              <w:top w:val="nil"/>
              <w:left w:val="nil"/>
              <w:bottom w:val="single" w:sz="8" w:space="0" w:color="auto"/>
              <w:right w:val="nil"/>
            </w:tcBorders>
            <w:vAlign w:val="center"/>
            <w:hideMark/>
          </w:tcPr>
          <w:p w14:paraId="12611CB2"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111 748</w:t>
            </w:r>
          </w:p>
        </w:tc>
        <w:tc>
          <w:tcPr>
            <w:tcW w:w="627" w:type="pct"/>
            <w:tcBorders>
              <w:top w:val="nil"/>
              <w:left w:val="nil"/>
              <w:bottom w:val="nil"/>
              <w:right w:val="nil"/>
            </w:tcBorders>
            <w:vAlign w:val="center"/>
            <w:hideMark/>
          </w:tcPr>
          <w:p w14:paraId="3296A4A4" w14:textId="77777777" w:rsidR="00960723" w:rsidRPr="00960723" w:rsidRDefault="00960723" w:rsidP="00960723">
            <w:pPr>
              <w:spacing w:after="0" w:line="240" w:lineRule="auto"/>
              <w:jc w:val="right"/>
              <w:rPr>
                <w:rFonts w:ascii="Times New Roman" w:hAnsi="Times New Roman"/>
                <w:color w:val="000000"/>
                <w:sz w:val="18"/>
                <w:szCs w:val="18"/>
                <w:lang w:eastAsia="sk-SK"/>
              </w:rPr>
            </w:pPr>
            <w:r w:rsidRPr="00960723">
              <w:rPr>
                <w:rFonts w:ascii="Times New Roman" w:hAnsi="Times New Roman"/>
                <w:color w:val="000000"/>
                <w:sz w:val="18"/>
                <w:szCs w:val="18"/>
                <w:lang w:eastAsia="sk-SK"/>
              </w:rPr>
              <w:t>11 541</w:t>
            </w:r>
          </w:p>
        </w:tc>
      </w:tr>
      <w:tr w:rsidR="00960723" w:rsidRPr="00960723" w14:paraId="24996A58" w14:textId="77777777" w:rsidTr="0085799C">
        <w:trPr>
          <w:trHeight w:val="227"/>
          <w:jc w:val="center"/>
        </w:trPr>
        <w:tc>
          <w:tcPr>
            <w:tcW w:w="3121" w:type="pct"/>
            <w:tcBorders>
              <w:top w:val="nil"/>
              <w:left w:val="nil"/>
              <w:bottom w:val="single" w:sz="8" w:space="0" w:color="000000"/>
              <w:right w:val="nil"/>
            </w:tcBorders>
            <w:vAlign w:val="center"/>
            <w:hideMark/>
          </w:tcPr>
          <w:p w14:paraId="524C6B63" w14:textId="77777777" w:rsidR="00960723" w:rsidRPr="00960723" w:rsidRDefault="00960723" w:rsidP="00960723">
            <w:pPr>
              <w:spacing w:after="0" w:line="240" w:lineRule="auto"/>
              <w:rPr>
                <w:rFonts w:ascii="Times New Roman" w:hAnsi="Times New Roman"/>
                <w:b/>
                <w:bCs/>
                <w:color w:val="000000"/>
                <w:sz w:val="18"/>
                <w:szCs w:val="18"/>
                <w:lang w:eastAsia="sk-SK"/>
              </w:rPr>
            </w:pPr>
            <w:r w:rsidRPr="00960723">
              <w:rPr>
                <w:rFonts w:ascii="Times New Roman" w:hAnsi="Times New Roman"/>
                <w:b/>
                <w:bCs/>
                <w:color w:val="000000"/>
                <w:sz w:val="18"/>
                <w:szCs w:val="18"/>
                <w:lang w:eastAsia="sk-SK"/>
              </w:rPr>
              <w:t>Spolu</w:t>
            </w:r>
          </w:p>
        </w:tc>
        <w:tc>
          <w:tcPr>
            <w:tcW w:w="626" w:type="pct"/>
            <w:tcBorders>
              <w:top w:val="nil"/>
              <w:left w:val="nil"/>
              <w:bottom w:val="nil"/>
              <w:right w:val="nil"/>
            </w:tcBorders>
            <w:vAlign w:val="center"/>
            <w:hideMark/>
          </w:tcPr>
          <w:p w14:paraId="58C08A9B" w14:textId="77777777" w:rsidR="00960723" w:rsidRPr="00960723" w:rsidRDefault="00960723" w:rsidP="00960723">
            <w:pPr>
              <w:spacing w:after="0" w:line="240" w:lineRule="auto"/>
              <w:jc w:val="right"/>
              <w:rPr>
                <w:rFonts w:ascii="Times New Roman" w:hAnsi="Times New Roman"/>
                <w:b/>
                <w:bCs/>
                <w:color w:val="000000"/>
                <w:sz w:val="18"/>
                <w:szCs w:val="18"/>
                <w:lang w:eastAsia="sk-SK"/>
              </w:rPr>
            </w:pPr>
            <w:r w:rsidRPr="00960723">
              <w:rPr>
                <w:rFonts w:ascii="Times New Roman" w:hAnsi="Times New Roman"/>
                <w:b/>
                <w:bCs/>
                <w:color w:val="000000"/>
                <w:sz w:val="18"/>
                <w:szCs w:val="18"/>
                <w:lang w:eastAsia="sk-SK"/>
              </w:rPr>
              <w:t>2 540 295</w:t>
            </w:r>
          </w:p>
        </w:tc>
        <w:tc>
          <w:tcPr>
            <w:tcW w:w="626" w:type="pct"/>
            <w:tcBorders>
              <w:top w:val="nil"/>
              <w:left w:val="nil"/>
              <w:bottom w:val="nil"/>
              <w:right w:val="nil"/>
            </w:tcBorders>
            <w:vAlign w:val="center"/>
            <w:hideMark/>
          </w:tcPr>
          <w:p w14:paraId="6D924DBF" w14:textId="77777777" w:rsidR="00960723" w:rsidRPr="00960723" w:rsidRDefault="00960723" w:rsidP="00960723">
            <w:pPr>
              <w:spacing w:after="0" w:line="240" w:lineRule="auto"/>
              <w:jc w:val="right"/>
              <w:rPr>
                <w:rFonts w:ascii="Times New Roman" w:hAnsi="Times New Roman"/>
                <w:b/>
                <w:bCs/>
                <w:color w:val="000000"/>
                <w:sz w:val="18"/>
                <w:szCs w:val="18"/>
                <w:lang w:eastAsia="sk-SK"/>
              </w:rPr>
            </w:pPr>
            <w:r w:rsidRPr="00960723">
              <w:rPr>
                <w:rFonts w:ascii="Times New Roman" w:hAnsi="Times New Roman"/>
                <w:b/>
                <w:bCs/>
                <w:color w:val="000000"/>
                <w:sz w:val="18"/>
                <w:szCs w:val="18"/>
                <w:lang w:eastAsia="sk-SK"/>
              </w:rPr>
              <w:t>2 201 466</w:t>
            </w:r>
          </w:p>
        </w:tc>
        <w:tc>
          <w:tcPr>
            <w:tcW w:w="627" w:type="pct"/>
            <w:tcBorders>
              <w:top w:val="single" w:sz="8" w:space="0" w:color="000000"/>
              <w:left w:val="nil"/>
              <w:bottom w:val="single" w:sz="8" w:space="0" w:color="000000"/>
              <w:right w:val="nil"/>
            </w:tcBorders>
            <w:vAlign w:val="center"/>
            <w:hideMark/>
          </w:tcPr>
          <w:p w14:paraId="20BD98BE" w14:textId="77777777" w:rsidR="00960723" w:rsidRPr="00960723" w:rsidRDefault="00960723" w:rsidP="00960723">
            <w:pPr>
              <w:spacing w:after="0" w:line="240" w:lineRule="auto"/>
              <w:jc w:val="right"/>
              <w:rPr>
                <w:rFonts w:ascii="Times New Roman" w:hAnsi="Times New Roman"/>
                <w:b/>
                <w:bCs/>
                <w:color w:val="000000"/>
                <w:sz w:val="18"/>
                <w:szCs w:val="18"/>
                <w:lang w:eastAsia="sk-SK"/>
              </w:rPr>
            </w:pPr>
            <w:r w:rsidRPr="00960723">
              <w:rPr>
                <w:rFonts w:ascii="Times New Roman" w:hAnsi="Times New Roman"/>
                <w:b/>
                <w:bCs/>
                <w:color w:val="000000"/>
                <w:sz w:val="18"/>
                <w:szCs w:val="18"/>
                <w:lang w:eastAsia="sk-SK"/>
              </w:rPr>
              <w:t>338 829</w:t>
            </w:r>
          </w:p>
        </w:tc>
      </w:tr>
      <w:tr w:rsidR="00960723" w:rsidRPr="00960723" w14:paraId="666B38D8" w14:textId="77777777" w:rsidTr="0085799C">
        <w:trPr>
          <w:trHeight w:val="227"/>
          <w:jc w:val="center"/>
        </w:trPr>
        <w:tc>
          <w:tcPr>
            <w:tcW w:w="5000" w:type="pct"/>
            <w:gridSpan w:val="4"/>
            <w:tcBorders>
              <w:top w:val="single" w:sz="8" w:space="0" w:color="000000"/>
              <w:left w:val="nil"/>
              <w:bottom w:val="nil"/>
              <w:right w:val="nil"/>
            </w:tcBorders>
            <w:noWrap/>
            <w:vAlign w:val="center"/>
            <w:hideMark/>
          </w:tcPr>
          <w:p w14:paraId="2C918A16" w14:textId="77777777" w:rsidR="00960723" w:rsidRPr="00960723" w:rsidRDefault="00960723" w:rsidP="00960723">
            <w:pPr>
              <w:spacing w:after="0" w:line="240" w:lineRule="auto"/>
              <w:jc w:val="right"/>
              <w:rPr>
                <w:rFonts w:ascii="Times New Roman" w:hAnsi="Times New Roman"/>
                <w:color w:val="000000"/>
                <w:sz w:val="16"/>
                <w:szCs w:val="16"/>
                <w:lang w:eastAsia="sk-SK"/>
              </w:rPr>
            </w:pPr>
            <w:r w:rsidRPr="00960723">
              <w:rPr>
                <w:rFonts w:ascii="Times New Roman" w:hAnsi="Times New Roman"/>
                <w:color w:val="000000"/>
                <w:sz w:val="16"/>
                <w:szCs w:val="16"/>
                <w:lang w:eastAsia="sk-SK"/>
              </w:rPr>
              <w:t>Zdroj: MF SR, Centrálny konsolidačný systém</w:t>
            </w:r>
          </w:p>
        </w:tc>
      </w:tr>
    </w:tbl>
    <w:p w14:paraId="3A06AC17" w14:textId="77777777" w:rsidR="00442337" w:rsidRDefault="00442337" w:rsidP="004B79BD">
      <w:pPr>
        <w:spacing w:after="120" w:line="240" w:lineRule="auto"/>
        <w:jc w:val="both"/>
        <w:rPr>
          <w:rFonts w:ascii="Times New Roman" w:hAnsi="Times New Roman"/>
          <w:szCs w:val="22"/>
        </w:rPr>
      </w:pPr>
    </w:p>
    <w:p w14:paraId="29BACC45" w14:textId="6FF8F219" w:rsidR="00C62B68" w:rsidRDefault="00442337" w:rsidP="0085799C">
      <w:pPr>
        <w:pStyle w:val="Nadpis4"/>
        <w:numPr>
          <w:ilvl w:val="0"/>
          <w:numId w:val="54"/>
        </w:numPr>
        <w:ind w:left="426" w:hanging="426"/>
      </w:pPr>
      <w:bookmarkStart w:id="103" w:name="_Úroky_1"/>
      <w:bookmarkEnd w:id="103"/>
      <w:r>
        <w:t>Úroky</w:t>
      </w:r>
    </w:p>
    <w:p w14:paraId="15B9AB34" w14:textId="7023028B" w:rsidR="004B79BD" w:rsidRPr="00BB0D4F" w:rsidRDefault="00647542">
      <w:pPr>
        <w:spacing w:after="120" w:line="240" w:lineRule="auto"/>
        <w:jc w:val="both"/>
        <w:rPr>
          <w:rFonts w:ascii="Times New Roman" w:hAnsi="Times New Roman"/>
          <w:color w:val="FF0000"/>
          <w:szCs w:val="22"/>
          <w:lang w:eastAsia="sk-SK"/>
        </w:rPr>
      </w:pPr>
      <w:r w:rsidRPr="00D252B6">
        <w:rPr>
          <w:rFonts w:ascii="Times New Roman" w:hAnsi="Times New Roman"/>
          <w:szCs w:val="22"/>
        </w:rPr>
        <w:t xml:space="preserve">Z finančných nákladov najvyššiu sumu tvorili </w:t>
      </w:r>
      <w:r w:rsidRPr="00D252B6">
        <w:rPr>
          <w:rFonts w:ascii="Times New Roman" w:hAnsi="Times New Roman"/>
          <w:szCs w:val="22"/>
          <w:u w:val="single"/>
        </w:rPr>
        <w:t>náklady na úroky</w:t>
      </w:r>
      <w:r w:rsidRPr="00D252B6">
        <w:rPr>
          <w:rFonts w:ascii="Times New Roman" w:hAnsi="Times New Roman"/>
          <w:szCs w:val="22"/>
        </w:rPr>
        <w:t xml:space="preserve"> vo výške </w:t>
      </w:r>
      <w:r w:rsidR="00B63BD1" w:rsidRPr="0085799C">
        <w:rPr>
          <w:rFonts w:ascii="Times New Roman" w:hAnsi="Times New Roman"/>
          <w:bCs/>
          <w:szCs w:val="22"/>
        </w:rPr>
        <w:t>1 932</w:t>
      </w:r>
      <w:r w:rsidR="00D252B6">
        <w:rPr>
          <w:rFonts w:ascii="Times New Roman" w:hAnsi="Times New Roman"/>
          <w:bCs/>
          <w:szCs w:val="22"/>
        </w:rPr>
        <w:t> </w:t>
      </w:r>
      <w:r w:rsidR="00B63BD1" w:rsidRPr="0085799C">
        <w:rPr>
          <w:rFonts w:ascii="Times New Roman" w:hAnsi="Times New Roman"/>
          <w:bCs/>
          <w:szCs w:val="22"/>
        </w:rPr>
        <w:t>988</w:t>
      </w:r>
      <w:r w:rsidRPr="00D252B6">
        <w:rPr>
          <w:rFonts w:ascii="Times New Roman" w:hAnsi="Times New Roman"/>
          <w:szCs w:val="22"/>
        </w:rPr>
        <w:t> tis. eur pri medziročnom náraste o</w:t>
      </w:r>
      <w:r w:rsidR="00D252B6">
        <w:rPr>
          <w:rFonts w:ascii="Times New Roman" w:hAnsi="Times New Roman"/>
          <w:szCs w:val="22"/>
        </w:rPr>
        <w:t xml:space="preserve"> </w:t>
      </w:r>
      <w:r w:rsidR="00B63BD1" w:rsidRPr="0085799C">
        <w:rPr>
          <w:rFonts w:ascii="Times New Roman" w:hAnsi="Times New Roman"/>
          <w:bCs/>
          <w:szCs w:val="22"/>
        </w:rPr>
        <w:t>411</w:t>
      </w:r>
      <w:r w:rsidR="00D252B6">
        <w:rPr>
          <w:rFonts w:ascii="Times New Roman" w:hAnsi="Times New Roman"/>
          <w:bCs/>
          <w:szCs w:val="22"/>
        </w:rPr>
        <w:t> </w:t>
      </w:r>
      <w:r w:rsidR="00B63BD1" w:rsidRPr="0085799C">
        <w:rPr>
          <w:rFonts w:ascii="Times New Roman" w:hAnsi="Times New Roman"/>
          <w:bCs/>
          <w:szCs w:val="22"/>
        </w:rPr>
        <w:t>501</w:t>
      </w:r>
      <w:r w:rsidRPr="00D252B6">
        <w:rPr>
          <w:rFonts w:ascii="Times New Roman" w:hAnsi="Times New Roman"/>
          <w:szCs w:val="22"/>
        </w:rPr>
        <w:t xml:space="preserve"> tis. eur. </w:t>
      </w:r>
      <w:r w:rsidR="004B79BD" w:rsidRPr="00BB0D4F">
        <w:rPr>
          <w:rFonts w:ascii="Times New Roman" w:hAnsi="Times New Roman"/>
          <w:color w:val="000000" w:themeColor="text1"/>
          <w:szCs w:val="22"/>
          <w:lang w:eastAsia="sk-SK"/>
        </w:rPr>
        <w:t xml:space="preserve">Z nich najvyššiu hodnotu vykázalo </w:t>
      </w:r>
      <w:r w:rsidR="004B79BD" w:rsidRPr="0085799C">
        <w:rPr>
          <w:rFonts w:ascii="Times New Roman" w:hAnsi="Times New Roman"/>
          <w:u w:val="single"/>
        </w:rPr>
        <w:t xml:space="preserve">Ministerstvo financií SR </w:t>
      </w:r>
      <w:r w:rsidR="004B79BD" w:rsidRPr="00BB0D4F">
        <w:rPr>
          <w:rFonts w:ascii="Times New Roman" w:hAnsi="Times New Roman"/>
          <w:color w:val="000000" w:themeColor="text1"/>
          <w:szCs w:val="22"/>
          <w:lang w:eastAsia="sk-SK"/>
        </w:rPr>
        <w:t xml:space="preserve">vo výške 1 803 462 tis. eur. </w:t>
      </w:r>
      <w:bookmarkStart w:id="104" w:name="_Hlk210043987"/>
      <w:r w:rsidR="004B79BD" w:rsidRPr="00BB0D4F">
        <w:rPr>
          <w:rFonts w:ascii="Times New Roman" w:hAnsi="Times New Roman"/>
          <w:szCs w:val="22"/>
          <w:lang w:val="x-none" w:eastAsia="x-none"/>
        </w:rPr>
        <w:t>V rámci tejto hodnot</w:t>
      </w:r>
      <w:r w:rsidR="004B79BD" w:rsidRPr="00BB0D4F">
        <w:rPr>
          <w:rFonts w:ascii="Times New Roman" w:hAnsi="Times New Roman"/>
          <w:szCs w:val="22"/>
          <w:lang w:eastAsia="x-none"/>
        </w:rPr>
        <w:t>y</w:t>
      </w:r>
      <w:r w:rsidR="004B79BD" w:rsidRPr="00BB0D4F">
        <w:rPr>
          <w:rFonts w:ascii="Times New Roman" w:hAnsi="Times New Roman"/>
          <w:szCs w:val="22"/>
          <w:lang w:val="x-none" w:eastAsia="x-none"/>
        </w:rPr>
        <w:t xml:space="preserve"> sú zaznamenané nákladové úroky zo štátnych</w:t>
      </w:r>
      <w:r w:rsidR="004B79BD" w:rsidRPr="00BB0D4F">
        <w:rPr>
          <w:rFonts w:ascii="Times New Roman" w:hAnsi="Times New Roman"/>
          <w:szCs w:val="22"/>
          <w:lang w:eastAsia="x-none"/>
        </w:rPr>
        <w:t xml:space="preserve"> dlhopisov vo výške 1 550 997 tis. eur</w:t>
      </w:r>
      <w:r w:rsidR="004B79BD" w:rsidRPr="00BB0D4F">
        <w:rPr>
          <w:rFonts w:ascii="Times New Roman" w:hAnsi="Times New Roman"/>
          <w:szCs w:val="22"/>
          <w:lang w:val="x-none" w:eastAsia="x-none"/>
        </w:rPr>
        <w:t>, ďalej</w:t>
      </w:r>
      <w:r w:rsidR="004B79BD" w:rsidRPr="00BB0D4F">
        <w:rPr>
          <w:rFonts w:ascii="Times New Roman" w:hAnsi="Times New Roman"/>
          <w:szCs w:val="22"/>
          <w:lang w:eastAsia="x-none"/>
        </w:rPr>
        <w:t xml:space="preserve"> diskont zo štátnych dlhopisov vo výške 163</w:t>
      </w:r>
      <w:r w:rsidR="00D252B6">
        <w:rPr>
          <w:rFonts w:ascii="Times New Roman" w:hAnsi="Times New Roman"/>
          <w:szCs w:val="22"/>
          <w:lang w:eastAsia="x-none"/>
        </w:rPr>
        <w:t> </w:t>
      </w:r>
      <w:r w:rsidR="004B79BD" w:rsidRPr="00BB0D4F">
        <w:rPr>
          <w:rFonts w:ascii="Times New Roman" w:hAnsi="Times New Roman"/>
          <w:szCs w:val="22"/>
          <w:lang w:eastAsia="x-none"/>
        </w:rPr>
        <w:t>256</w:t>
      </w:r>
      <w:r w:rsidR="00D252B6">
        <w:rPr>
          <w:rFonts w:ascii="Times New Roman" w:hAnsi="Times New Roman"/>
          <w:szCs w:val="22"/>
          <w:lang w:eastAsia="x-none"/>
        </w:rPr>
        <w:t> </w:t>
      </w:r>
      <w:r w:rsidR="004B79BD" w:rsidRPr="00BB0D4F">
        <w:rPr>
          <w:rFonts w:ascii="Times New Roman" w:hAnsi="Times New Roman"/>
          <w:szCs w:val="22"/>
          <w:lang w:eastAsia="x-none"/>
        </w:rPr>
        <w:t xml:space="preserve">tis. eur, </w:t>
      </w:r>
      <w:r w:rsidR="004B79BD" w:rsidRPr="00BB0D4F">
        <w:rPr>
          <w:rFonts w:ascii="Times New Roman" w:hAnsi="Times New Roman"/>
          <w:szCs w:val="22"/>
          <w:lang w:val="x-none" w:eastAsia="x-none"/>
        </w:rPr>
        <w:t xml:space="preserve">úroky z úverov od medzinárodných </w:t>
      </w:r>
      <w:r w:rsidR="004B79BD" w:rsidRPr="00BB0D4F">
        <w:rPr>
          <w:rFonts w:ascii="Times New Roman" w:hAnsi="Times New Roman"/>
          <w:szCs w:val="22"/>
          <w:lang w:eastAsia="x-none"/>
        </w:rPr>
        <w:t xml:space="preserve">bánk a </w:t>
      </w:r>
      <w:r w:rsidR="004B79BD" w:rsidRPr="00BB0D4F">
        <w:rPr>
          <w:rFonts w:ascii="Times New Roman" w:hAnsi="Times New Roman"/>
          <w:szCs w:val="22"/>
          <w:lang w:val="x-none" w:eastAsia="x-none"/>
        </w:rPr>
        <w:t xml:space="preserve">inštitúcií </w:t>
      </w:r>
      <w:r w:rsidR="004B79BD" w:rsidRPr="00BB0D4F">
        <w:rPr>
          <w:rFonts w:ascii="Times New Roman" w:hAnsi="Times New Roman"/>
          <w:szCs w:val="22"/>
          <w:lang w:eastAsia="x-none"/>
        </w:rPr>
        <w:t>vo výške 63</w:t>
      </w:r>
      <w:r w:rsidR="00D252B6">
        <w:rPr>
          <w:rFonts w:ascii="Times New Roman" w:hAnsi="Times New Roman"/>
          <w:szCs w:val="22"/>
          <w:lang w:eastAsia="x-none"/>
        </w:rPr>
        <w:t> </w:t>
      </w:r>
      <w:r w:rsidR="004B79BD" w:rsidRPr="00BB0D4F">
        <w:rPr>
          <w:rFonts w:ascii="Times New Roman" w:hAnsi="Times New Roman"/>
          <w:szCs w:val="22"/>
          <w:lang w:eastAsia="x-none"/>
        </w:rPr>
        <w:t>843</w:t>
      </w:r>
      <w:r w:rsidR="00D252B6">
        <w:rPr>
          <w:rFonts w:ascii="Times New Roman" w:hAnsi="Times New Roman"/>
          <w:szCs w:val="22"/>
          <w:lang w:eastAsia="x-none"/>
        </w:rPr>
        <w:t> </w:t>
      </w:r>
      <w:r w:rsidR="004B79BD" w:rsidRPr="00BB0D4F">
        <w:rPr>
          <w:rFonts w:ascii="Times New Roman" w:hAnsi="Times New Roman"/>
          <w:szCs w:val="22"/>
          <w:lang w:eastAsia="x-none"/>
        </w:rPr>
        <w:t>tis. eur</w:t>
      </w:r>
      <w:r w:rsidR="004B79BD" w:rsidRPr="00BB0D4F">
        <w:rPr>
          <w:rFonts w:ascii="Times New Roman" w:hAnsi="Times New Roman"/>
          <w:szCs w:val="22"/>
          <w:lang w:val="x-none" w:eastAsia="x-none"/>
        </w:rPr>
        <w:t xml:space="preserve">, </w:t>
      </w:r>
      <w:r w:rsidR="004B79BD" w:rsidRPr="00BB0D4F">
        <w:rPr>
          <w:rFonts w:ascii="Times New Roman" w:hAnsi="Times New Roman"/>
          <w:szCs w:val="22"/>
          <w:lang w:eastAsia="x-none"/>
        </w:rPr>
        <w:t xml:space="preserve">úroky zo </w:t>
      </w:r>
      <w:proofErr w:type="spellStart"/>
      <w:r w:rsidR="004B79BD" w:rsidRPr="00BB0D4F">
        <w:rPr>
          <w:rFonts w:ascii="Times New Roman" w:hAnsi="Times New Roman"/>
          <w:szCs w:val="22"/>
          <w:lang w:eastAsia="x-none"/>
        </w:rPr>
        <w:t>swapových</w:t>
      </w:r>
      <w:proofErr w:type="spellEnd"/>
      <w:r w:rsidR="004B79BD" w:rsidRPr="00BB0D4F">
        <w:rPr>
          <w:rFonts w:ascii="Times New Roman" w:hAnsi="Times New Roman"/>
          <w:szCs w:val="22"/>
          <w:lang w:eastAsia="x-none"/>
        </w:rPr>
        <w:t xml:space="preserve"> operácií vo výške 23 922 tis. eur</w:t>
      </w:r>
      <w:r w:rsidR="004B79BD" w:rsidRPr="00BB0D4F">
        <w:rPr>
          <w:rFonts w:ascii="Times New Roman" w:hAnsi="Times New Roman"/>
          <w:szCs w:val="22"/>
          <w:lang w:val="x-none" w:eastAsia="x-none"/>
        </w:rPr>
        <w:t>.</w:t>
      </w:r>
      <w:r w:rsidR="004B79BD" w:rsidRPr="00BB0D4F">
        <w:rPr>
          <w:rFonts w:ascii="Times New Roman" w:hAnsi="Times New Roman"/>
          <w:szCs w:val="22"/>
          <w:lang w:eastAsia="x-none"/>
        </w:rPr>
        <w:t xml:space="preserve"> Nákladové ú</w:t>
      </w:r>
      <w:r w:rsidR="004B79BD" w:rsidRPr="00BB0D4F">
        <w:rPr>
          <w:rFonts w:ascii="Times New Roman" w:hAnsi="Times New Roman"/>
          <w:szCs w:val="22"/>
          <w:lang w:val="x-none" w:eastAsia="x-none"/>
        </w:rPr>
        <w:t xml:space="preserve">roky </w:t>
      </w:r>
      <w:r w:rsidR="004B79BD" w:rsidRPr="00BB0D4F">
        <w:rPr>
          <w:rFonts w:ascii="Times New Roman" w:hAnsi="Times New Roman"/>
          <w:szCs w:val="22"/>
          <w:lang w:eastAsia="x-none"/>
        </w:rPr>
        <w:t xml:space="preserve">Ministerstva financií SR </w:t>
      </w:r>
      <w:r w:rsidR="004B79BD" w:rsidRPr="00BB0D4F">
        <w:rPr>
          <w:rFonts w:ascii="Times New Roman" w:hAnsi="Times New Roman"/>
          <w:szCs w:val="22"/>
          <w:lang w:val="x-none" w:eastAsia="x-none"/>
        </w:rPr>
        <w:t xml:space="preserve">medziročne </w:t>
      </w:r>
      <w:r w:rsidR="004B79BD" w:rsidRPr="00BB0D4F">
        <w:rPr>
          <w:rFonts w:ascii="Times New Roman" w:hAnsi="Times New Roman"/>
          <w:szCs w:val="22"/>
          <w:lang w:eastAsia="x-none"/>
        </w:rPr>
        <w:t>zaznamenali nárast</w:t>
      </w:r>
      <w:r w:rsidR="004B79BD" w:rsidRPr="00BB0D4F">
        <w:rPr>
          <w:rFonts w:ascii="Times New Roman" w:hAnsi="Times New Roman"/>
          <w:szCs w:val="22"/>
          <w:lang w:val="x-none" w:eastAsia="x-none"/>
        </w:rPr>
        <w:t xml:space="preserve"> o 399</w:t>
      </w:r>
      <w:r w:rsidR="004B79BD" w:rsidRPr="00BB0D4F">
        <w:rPr>
          <w:rFonts w:ascii="Times New Roman" w:hAnsi="Times New Roman"/>
          <w:szCs w:val="22"/>
          <w:lang w:eastAsia="x-none"/>
        </w:rPr>
        <w:t> 709</w:t>
      </w:r>
      <w:r w:rsidR="00D252B6">
        <w:rPr>
          <w:rFonts w:ascii="Times New Roman" w:hAnsi="Times New Roman"/>
          <w:szCs w:val="22"/>
          <w:lang w:eastAsia="x-none"/>
        </w:rPr>
        <w:t> </w:t>
      </w:r>
      <w:r w:rsidR="004B79BD" w:rsidRPr="00BB0D4F">
        <w:rPr>
          <w:rFonts w:ascii="Times New Roman" w:hAnsi="Times New Roman"/>
          <w:szCs w:val="22"/>
          <w:lang w:eastAsia="x-none"/>
        </w:rPr>
        <w:t>tis.</w:t>
      </w:r>
      <w:r w:rsidR="004B79BD" w:rsidRPr="00BB0D4F">
        <w:rPr>
          <w:rFonts w:ascii="Times New Roman" w:hAnsi="Times New Roman"/>
          <w:szCs w:val="22"/>
          <w:lang w:val="x-none" w:eastAsia="x-none"/>
        </w:rPr>
        <w:t> </w:t>
      </w:r>
      <w:r w:rsidR="004B79BD" w:rsidRPr="00BB0D4F">
        <w:rPr>
          <w:rFonts w:ascii="Times New Roman" w:hAnsi="Times New Roman"/>
          <w:szCs w:val="22"/>
          <w:lang w:eastAsia="x-none"/>
        </w:rPr>
        <w:t>e</w:t>
      </w:r>
      <w:proofErr w:type="spellStart"/>
      <w:r w:rsidR="004B79BD" w:rsidRPr="00BB0D4F">
        <w:rPr>
          <w:rFonts w:ascii="Times New Roman" w:hAnsi="Times New Roman"/>
          <w:szCs w:val="22"/>
          <w:lang w:val="x-none" w:eastAsia="x-none"/>
        </w:rPr>
        <w:t>ur</w:t>
      </w:r>
      <w:proofErr w:type="spellEnd"/>
      <w:r w:rsidR="004B79BD" w:rsidRPr="00BB0D4F">
        <w:rPr>
          <w:rFonts w:ascii="Times New Roman" w:hAnsi="Times New Roman"/>
          <w:szCs w:val="22"/>
          <w:lang w:eastAsia="x-none"/>
        </w:rPr>
        <w:t xml:space="preserve"> v dôsledku</w:t>
      </w:r>
      <w:r w:rsidR="004B79BD" w:rsidRPr="00BB0D4F">
        <w:rPr>
          <w:rFonts w:ascii="Times New Roman" w:hAnsi="Times New Roman"/>
          <w:szCs w:val="22"/>
        </w:rPr>
        <w:t xml:space="preserve"> nárastu objemu emitovaných štátnych dlhopisov, rastu úrokov dlhopisov a úrokov v rámci refinančného systému. </w:t>
      </w:r>
    </w:p>
    <w:bookmarkEnd w:id="104"/>
    <w:p w14:paraId="0EE9AEE7" w14:textId="384346A5" w:rsidR="004B79BD" w:rsidRPr="00D252B6" w:rsidRDefault="004B79BD">
      <w:pPr>
        <w:pStyle w:val="Pismenka"/>
        <w:tabs>
          <w:tab w:val="clear" w:pos="426"/>
          <w:tab w:val="num" w:pos="0"/>
        </w:tabs>
        <w:spacing w:after="120"/>
        <w:ind w:left="0" w:firstLine="0"/>
        <w:rPr>
          <w:b w:val="0"/>
          <w:sz w:val="22"/>
          <w:szCs w:val="22"/>
        </w:rPr>
      </w:pPr>
      <w:r w:rsidRPr="00D252B6">
        <w:rPr>
          <w:b w:val="0"/>
          <w:sz w:val="22"/>
          <w:szCs w:val="22"/>
        </w:rPr>
        <w:t xml:space="preserve">Nákladové úroky vykazuje aj </w:t>
      </w:r>
      <w:r w:rsidRPr="0085799C">
        <w:rPr>
          <w:b w:val="0"/>
          <w:sz w:val="22"/>
          <w:szCs w:val="36"/>
          <w:u w:val="single"/>
          <w:lang w:eastAsia="en-US"/>
        </w:rPr>
        <w:t>Štátna pokladnica</w:t>
      </w:r>
      <w:r w:rsidRPr="00D252B6">
        <w:rPr>
          <w:b w:val="0"/>
          <w:sz w:val="22"/>
          <w:szCs w:val="22"/>
        </w:rPr>
        <w:t>, ktorá úročí prostriedky na účtoch klientov mimo konsolidovaného celku. Úhrnom tieto náklady Štátnej pokladnice boli vykázané v sume 87 611 tis. eur, čo predstavovalo zvýšenie o</w:t>
      </w:r>
      <w:r w:rsidR="00D252B6">
        <w:rPr>
          <w:b w:val="0"/>
          <w:bCs w:val="0"/>
          <w:sz w:val="22"/>
          <w:szCs w:val="22"/>
        </w:rPr>
        <w:t xml:space="preserve"> </w:t>
      </w:r>
      <w:r w:rsidRPr="00D252B6">
        <w:rPr>
          <w:b w:val="0"/>
          <w:sz w:val="22"/>
          <w:szCs w:val="22"/>
        </w:rPr>
        <w:t>19 233 tis. eur oproti predchádzajúcemu obdobiu. Nárast bol zaznamenaný najmä na účtoch z termínovaných vkladov klientov a bol spôsobený nárastom úrokových sadzieb.</w:t>
      </w:r>
    </w:p>
    <w:p w14:paraId="0BC51975" w14:textId="4583B5FA" w:rsidR="00647542" w:rsidRPr="00D252B6" w:rsidRDefault="00647542" w:rsidP="0085799C">
      <w:pPr>
        <w:spacing w:after="120" w:line="240" w:lineRule="auto"/>
        <w:jc w:val="both"/>
        <w:rPr>
          <w:rFonts w:ascii="Times New Roman" w:hAnsi="Times New Roman"/>
          <w:szCs w:val="22"/>
        </w:rPr>
      </w:pPr>
      <w:r w:rsidRPr="00D252B6">
        <w:rPr>
          <w:rFonts w:ascii="Times New Roman" w:hAnsi="Times New Roman"/>
          <w:szCs w:val="22"/>
        </w:rPr>
        <w:t xml:space="preserve">Obce a ich organizácie vykázali úrokové náklady spolu za </w:t>
      </w:r>
      <w:r w:rsidR="00BD6745" w:rsidRPr="0085799C">
        <w:rPr>
          <w:rFonts w:ascii="Times New Roman" w:hAnsi="Times New Roman"/>
          <w:bCs/>
          <w:szCs w:val="22"/>
        </w:rPr>
        <w:t>57</w:t>
      </w:r>
      <w:r w:rsidR="00D252B6">
        <w:rPr>
          <w:rFonts w:ascii="Times New Roman" w:hAnsi="Times New Roman"/>
          <w:bCs/>
          <w:szCs w:val="22"/>
        </w:rPr>
        <w:t> </w:t>
      </w:r>
      <w:r w:rsidR="00BD6745" w:rsidRPr="0085799C">
        <w:rPr>
          <w:rFonts w:ascii="Times New Roman" w:hAnsi="Times New Roman"/>
          <w:bCs/>
          <w:szCs w:val="22"/>
        </w:rPr>
        <w:t>441</w:t>
      </w:r>
      <w:r w:rsidRPr="00D252B6">
        <w:rPr>
          <w:rFonts w:ascii="Times New Roman" w:hAnsi="Times New Roman"/>
          <w:szCs w:val="22"/>
        </w:rPr>
        <w:t> tis. eur, a išlo najmä o úročenie prijatých bankových úverov.</w:t>
      </w:r>
    </w:p>
    <w:p w14:paraId="236E5088" w14:textId="1C839760" w:rsidR="00647542" w:rsidRPr="0085799C" w:rsidRDefault="00647542" w:rsidP="0085799C">
      <w:pPr>
        <w:pStyle w:val="Pismenka"/>
        <w:tabs>
          <w:tab w:val="clear" w:pos="426"/>
          <w:tab w:val="num" w:pos="0"/>
        </w:tabs>
        <w:spacing w:after="120"/>
        <w:ind w:left="0" w:firstLine="0"/>
        <w:rPr>
          <w:b w:val="0"/>
          <w:bCs w:val="0"/>
          <w:i/>
          <w:sz w:val="22"/>
          <w:szCs w:val="22"/>
          <w:u w:val="single"/>
        </w:rPr>
      </w:pPr>
      <w:r w:rsidRPr="0085799C">
        <w:rPr>
          <w:b w:val="0"/>
          <w:bCs w:val="0"/>
          <w:i/>
          <w:sz w:val="22"/>
          <w:szCs w:val="22"/>
          <w:u w:val="single"/>
        </w:rPr>
        <w:t>Náklady na derivátové operácie</w:t>
      </w:r>
    </w:p>
    <w:p w14:paraId="16CF2531" w14:textId="0766AB86" w:rsidR="00225C2A" w:rsidRPr="00BB0D4F" w:rsidRDefault="00647542">
      <w:pPr>
        <w:tabs>
          <w:tab w:val="num" w:pos="0"/>
        </w:tabs>
        <w:spacing w:after="120" w:line="240" w:lineRule="auto"/>
        <w:jc w:val="both"/>
        <w:rPr>
          <w:rFonts w:ascii="Times New Roman" w:hAnsi="Times New Roman"/>
          <w:color w:val="000000" w:themeColor="text1"/>
          <w:szCs w:val="22"/>
          <w:lang w:eastAsia="x-none"/>
        </w:rPr>
      </w:pPr>
      <w:r w:rsidRPr="0085799C">
        <w:rPr>
          <w:rFonts w:ascii="Times New Roman" w:hAnsi="Times New Roman"/>
        </w:rPr>
        <w:t>Náklady na derivátové operácie dosiahli sumu 3</w:t>
      </w:r>
      <w:r w:rsidR="00A46AD8" w:rsidRPr="0085799C">
        <w:rPr>
          <w:rFonts w:ascii="Times New Roman" w:hAnsi="Times New Roman"/>
        </w:rPr>
        <w:t>39</w:t>
      </w:r>
      <w:r w:rsidR="00D252B6">
        <w:rPr>
          <w:rFonts w:ascii="Times New Roman" w:hAnsi="Times New Roman"/>
          <w:szCs w:val="22"/>
        </w:rPr>
        <w:t> </w:t>
      </w:r>
      <w:r w:rsidR="00A46AD8" w:rsidRPr="0085799C">
        <w:rPr>
          <w:rFonts w:ascii="Times New Roman" w:hAnsi="Times New Roman"/>
        </w:rPr>
        <w:t>641</w:t>
      </w:r>
      <w:r w:rsidRPr="0085799C">
        <w:rPr>
          <w:rFonts w:ascii="Times New Roman" w:hAnsi="Times New Roman"/>
        </w:rPr>
        <w:t> tis. eur s</w:t>
      </w:r>
      <w:r w:rsidR="00E31123">
        <w:rPr>
          <w:rFonts w:ascii="Times New Roman" w:hAnsi="Times New Roman"/>
        </w:rPr>
        <w:t xml:space="preserve"> </w:t>
      </w:r>
      <w:r w:rsidRPr="0085799C">
        <w:rPr>
          <w:rFonts w:ascii="Times New Roman" w:hAnsi="Times New Roman"/>
        </w:rPr>
        <w:t>medziročným z</w:t>
      </w:r>
      <w:r w:rsidR="00A46AD8" w:rsidRPr="0085799C">
        <w:rPr>
          <w:rFonts w:ascii="Times New Roman" w:hAnsi="Times New Roman"/>
        </w:rPr>
        <w:t xml:space="preserve">nížením </w:t>
      </w:r>
      <w:r w:rsidR="00DD60C3">
        <w:rPr>
          <w:rFonts w:ascii="Times New Roman" w:hAnsi="Times New Roman"/>
        </w:rPr>
        <w:t>o</w:t>
      </w:r>
      <w:r w:rsidR="00D252B6">
        <w:rPr>
          <w:rFonts w:ascii="Times New Roman" w:hAnsi="Times New Roman"/>
          <w:szCs w:val="22"/>
        </w:rPr>
        <w:t> </w:t>
      </w:r>
      <w:r w:rsidR="00A46AD8" w:rsidRPr="0085799C">
        <w:rPr>
          <w:rFonts w:ascii="Times New Roman" w:hAnsi="Times New Roman"/>
        </w:rPr>
        <w:t>55</w:t>
      </w:r>
      <w:r w:rsidR="00D252B6">
        <w:rPr>
          <w:rFonts w:ascii="Times New Roman" w:hAnsi="Times New Roman"/>
          <w:szCs w:val="22"/>
        </w:rPr>
        <w:t> </w:t>
      </w:r>
      <w:r w:rsidR="00A46AD8" w:rsidRPr="0085799C">
        <w:rPr>
          <w:rFonts w:ascii="Times New Roman" w:hAnsi="Times New Roman"/>
        </w:rPr>
        <w:t>522</w:t>
      </w:r>
      <w:r w:rsidR="00D252B6">
        <w:rPr>
          <w:rFonts w:ascii="Times New Roman" w:hAnsi="Times New Roman"/>
          <w:szCs w:val="22"/>
        </w:rPr>
        <w:t> </w:t>
      </w:r>
      <w:r w:rsidRPr="0085799C">
        <w:rPr>
          <w:rFonts w:ascii="Times New Roman" w:hAnsi="Times New Roman"/>
        </w:rPr>
        <w:t>tis.</w:t>
      </w:r>
      <w:r w:rsidR="00D252B6">
        <w:rPr>
          <w:rFonts w:ascii="Times New Roman" w:hAnsi="Times New Roman"/>
          <w:szCs w:val="22"/>
        </w:rPr>
        <w:t> </w:t>
      </w:r>
      <w:r w:rsidRPr="0085799C">
        <w:rPr>
          <w:rFonts w:ascii="Times New Roman" w:hAnsi="Times New Roman"/>
        </w:rPr>
        <w:t>eur.</w:t>
      </w:r>
      <w:r w:rsidRPr="0085799C">
        <w:rPr>
          <w:rFonts w:ascii="Times New Roman" w:hAnsi="Times New Roman"/>
          <w:b/>
        </w:rPr>
        <w:t xml:space="preserve"> </w:t>
      </w:r>
      <w:r w:rsidR="009300EA" w:rsidRPr="00BB0D4F">
        <w:rPr>
          <w:rFonts w:ascii="Times New Roman" w:hAnsi="Times New Roman"/>
          <w:color w:val="000000" w:themeColor="text1"/>
          <w:szCs w:val="22"/>
        </w:rPr>
        <w:t xml:space="preserve">Objemovo najvýznamnejšiu sumu (317 981 tis. eur) vykázal </w:t>
      </w:r>
      <w:r w:rsidR="009300EA" w:rsidRPr="0085799C">
        <w:rPr>
          <w:rFonts w:ascii="Times New Roman" w:hAnsi="Times New Roman"/>
          <w:u w:val="single"/>
        </w:rPr>
        <w:t>Slovenský plynárenský priemysel, a.s.</w:t>
      </w:r>
      <w:r w:rsidR="009300EA" w:rsidRPr="00BB0D4F">
        <w:rPr>
          <w:rFonts w:ascii="Times New Roman" w:hAnsi="Times New Roman"/>
          <w:color w:val="000000" w:themeColor="text1"/>
          <w:szCs w:val="22"/>
        </w:rPr>
        <w:t>, ktorý tu vykazuje vysporiadanie derivátových komoditných obchodov a</w:t>
      </w:r>
      <w:r w:rsidR="00E31123">
        <w:rPr>
          <w:rFonts w:ascii="Times New Roman" w:hAnsi="Times New Roman"/>
          <w:color w:val="000000" w:themeColor="text1"/>
          <w:szCs w:val="22"/>
        </w:rPr>
        <w:t xml:space="preserve"> </w:t>
      </w:r>
      <w:r w:rsidR="009300EA" w:rsidRPr="00BB0D4F">
        <w:rPr>
          <w:rFonts w:ascii="Times New Roman" w:hAnsi="Times New Roman"/>
          <w:color w:val="000000" w:themeColor="text1"/>
          <w:szCs w:val="22"/>
        </w:rPr>
        <w:t>medziročný pokles súvisel s poklesom cien na komoditných trhoch.</w:t>
      </w:r>
    </w:p>
    <w:p w14:paraId="5E0D54EB" w14:textId="77777777" w:rsidR="00225C2A" w:rsidRDefault="00225C2A">
      <w:pPr>
        <w:tabs>
          <w:tab w:val="num" w:pos="0"/>
        </w:tabs>
        <w:spacing w:after="120" w:line="240" w:lineRule="auto"/>
        <w:jc w:val="both"/>
        <w:rPr>
          <w:rFonts w:ascii="Times New Roman" w:hAnsi="Times New Roman"/>
          <w:color w:val="000000" w:themeColor="text1"/>
          <w:lang w:eastAsia="x-none"/>
        </w:rPr>
      </w:pPr>
    </w:p>
    <w:p w14:paraId="7CD084A7" w14:textId="6692A97D" w:rsidR="00225C2A" w:rsidRPr="001567C8" w:rsidRDefault="00225C2A" w:rsidP="0085799C">
      <w:pPr>
        <w:pStyle w:val="Nadpis4"/>
        <w:numPr>
          <w:ilvl w:val="0"/>
          <w:numId w:val="54"/>
        </w:numPr>
        <w:ind w:left="426" w:hanging="426"/>
      </w:pPr>
      <w:bookmarkStart w:id="105" w:name="_Kurzové_straty"/>
      <w:bookmarkEnd w:id="105"/>
      <w:r>
        <w:t>Kurzové straty</w:t>
      </w:r>
    </w:p>
    <w:p w14:paraId="6D145C66" w14:textId="4EDF8DAA" w:rsidR="00647542" w:rsidRPr="00BB0D4F" w:rsidRDefault="00647542" w:rsidP="0085799C">
      <w:pPr>
        <w:spacing w:after="120" w:line="240" w:lineRule="auto"/>
        <w:jc w:val="both"/>
        <w:rPr>
          <w:rFonts w:ascii="Times New Roman" w:hAnsi="Times New Roman"/>
          <w:b/>
          <w:i/>
          <w:szCs w:val="22"/>
          <w:u w:val="single"/>
        </w:rPr>
      </w:pPr>
      <w:r w:rsidRPr="009E660C">
        <w:rPr>
          <w:rFonts w:ascii="Times New Roman" w:hAnsi="Times New Roman"/>
          <w:szCs w:val="22"/>
          <w:u w:val="single"/>
        </w:rPr>
        <w:t>Kurzové náklady</w:t>
      </w:r>
      <w:r w:rsidRPr="009E660C">
        <w:rPr>
          <w:rFonts w:ascii="Times New Roman" w:hAnsi="Times New Roman"/>
          <w:szCs w:val="22"/>
        </w:rPr>
        <w:t xml:space="preserve"> </w:t>
      </w:r>
      <w:r w:rsidR="00F8017A" w:rsidRPr="0085799C">
        <w:rPr>
          <w:rFonts w:ascii="Times New Roman" w:hAnsi="Times New Roman"/>
          <w:bCs/>
          <w:szCs w:val="22"/>
        </w:rPr>
        <w:t>sú vykázané v hodnote 66</w:t>
      </w:r>
      <w:r w:rsidR="00E31123" w:rsidRPr="009E660C">
        <w:rPr>
          <w:rFonts w:ascii="Times New Roman" w:hAnsi="Times New Roman"/>
          <w:szCs w:val="22"/>
        </w:rPr>
        <w:t> </w:t>
      </w:r>
      <w:r w:rsidR="00F8017A" w:rsidRPr="0085799C">
        <w:rPr>
          <w:rFonts w:ascii="Times New Roman" w:hAnsi="Times New Roman"/>
          <w:bCs/>
          <w:szCs w:val="22"/>
        </w:rPr>
        <w:t>000</w:t>
      </w:r>
      <w:r w:rsidRPr="009E660C">
        <w:rPr>
          <w:rFonts w:ascii="Times New Roman" w:hAnsi="Times New Roman"/>
          <w:szCs w:val="22"/>
        </w:rPr>
        <w:t xml:space="preserve"> tis. eur, čo predstavuje medziročné </w:t>
      </w:r>
      <w:r w:rsidR="00F8017A" w:rsidRPr="0085799C">
        <w:rPr>
          <w:rFonts w:ascii="Times New Roman" w:hAnsi="Times New Roman"/>
          <w:bCs/>
          <w:szCs w:val="22"/>
        </w:rPr>
        <w:t>zvýšeni</w:t>
      </w:r>
      <w:r w:rsidR="00F8017A" w:rsidRPr="009E660C">
        <w:rPr>
          <w:rFonts w:ascii="Times New Roman" w:hAnsi="Times New Roman"/>
          <w:szCs w:val="22"/>
        </w:rPr>
        <w:t xml:space="preserve">e </w:t>
      </w:r>
      <w:r w:rsidRPr="009E660C">
        <w:rPr>
          <w:rFonts w:ascii="Times New Roman" w:hAnsi="Times New Roman"/>
          <w:szCs w:val="22"/>
        </w:rPr>
        <w:t>o</w:t>
      </w:r>
      <w:r w:rsidR="0019557F" w:rsidRPr="0085799C">
        <w:rPr>
          <w:rFonts w:ascii="Times New Roman" w:hAnsi="Times New Roman"/>
          <w:bCs/>
          <w:szCs w:val="22"/>
        </w:rPr>
        <w:t> 4</w:t>
      </w:r>
      <w:r w:rsidR="00794827">
        <w:rPr>
          <w:rFonts w:ascii="Times New Roman" w:hAnsi="Times New Roman"/>
          <w:bCs/>
          <w:szCs w:val="22"/>
        </w:rPr>
        <w:t xml:space="preserve"> 280</w:t>
      </w:r>
      <w:r w:rsidRPr="009E660C">
        <w:rPr>
          <w:rFonts w:ascii="Times New Roman" w:hAnsi="Times New Roman"/>
          <w:szCs w:val="22"/>
        </w:rPr>
        <w:t xml:space="preserve"> tis. eur. </w:t>
      </w:r>
      <w:r w:rsidR="004F3823" w:rsidRPr="00BB0D4F">
        <w:rPr>
          <w:rFonts w:ascii="Times New Roman" w:hAnsi="Times New Roman"/>
          <w:color w:val="000000" w:themeColor="text1"/>
          <w:szCs w:val="22"/>
          <w:lang w:eastAsia="sk-SK"/>
        </w:rPr>
        <w:t xml:space="preserve">Z toho </w:t>
      </w:r>
      <w:r w:rsidR="004F3823" w:rsidRPr="0085799C">
        <w:rPr>
          <w:rFonts w:ascii="Times New Roman" w:hAnsi="Times New Roman"/>
          <w:u w:val="single"/>
        </w:rPr>
        <w:t>Ministerstvo financií SR</w:t>
      </w:r>
      <w:r w:rsidR="004F3823" w:rsidRPr="00BB0D4F">
        <w:rPr>
          <w:rFonts w:ascii="Times New Roman" w:hAnsi="Times New Roman"/>
          <w:color w:val="000000" w:themeColor="text1"/>
          <w:szCs w:val="22"/>
          <w:lang w:eastAsia="sk-SK"/>
        </w:rPr>
        <w:t xml:space="preserve"> vykázalo sumu 49 077</w:t>
      </w:r>
      <w:r w:rsidR="00E31123" w:rsidRPr="009E660C">
        <w:rPr>
          <w:rFonts w:ascii="Times New Roman" w:hAnsi="Times New Roman"/>
          <w:color w:val="000000" w:themeColor="text1"/>
          <w:szCs w:val="22"/>
          <w:lang w:eastAsia="sk-SK"/>
        </w:rPr>
        <w:t> </w:t>
      </w:r>
      <w:r w:rsidR="004F3823" w:rsidRPr="00BB0D4F">
        <w:rPr>
          <w:rFonts w:ascii="Times New Roman" w:hAnsi="Times New Roman"/>
          <w:color w:val="000000" w:themeColor="text1"/>
          <w:szCs w:val="22"/>
          <w:lang w:eastAsia="sk-SK"/>
        </w:rPr>
        <w:t>tis. eur</w:t>
      </w:r>
      <w:r w:rsidR="004F3823" w:rsidRPr="00BB0D4F">
        <w:rPr>
          <w:rFonts w:ascii="Times New Roman" w:hAnsi="Times New Roman"/>
          <w:color w:val="FF0000"/>
          <w:szCs w:val="22"/>
          <w:lang w:eastAsia="sk-SK"/>
        </w:rPr>
        <w:t xml:space="preserve"> </w:t>
      </w:r>
      <w:r w:rsidR="004F3823" w:rsidRPr="00BB0D4F">
        <w:rPr>
          <w:rFonts w:ascii="Times New Roman" w:hAnsi="Times New Roman"/>
          <w:color w:val="000000" w:themeColor="text1"/>
          <w:szCs w:val="22"/>
          <w:lang w:eastAsia="sk-SK"/>
        </w:rPr>
        <w:t>a</w:t>
      </w:r>
      <w:r w:rsidR="004F3823" w:rsidRPr="00BB0D4F">
        <w:rPr>
          <w:rFonts w:ascii="Times New Roman" w:hAnsi="Times New Roman"/>
          <w:color w:val="FF0000"/>
          <w:szCs w:val="22"/>
          <w:lang w:eastAsia="sk-SK"/>
        </w:rPr>
        <w:t xml:space="preserve"> </w:t>
      </w:r>
      <w:r w:rsidR="004F3823" w:rsidRPr="0085799C">
        <w:rPr>
          <w:rFonts w:ascii="Times New Roman" w:hAnsi="Times New Roman"/>
          <w:u w:val="single"/>
        </w:rPr>
        <w:t>Štátna pokladnica</w:t>
      </w:r>
      <w:r w:rsidR="004F3823" w:rsidRPr="00BB0D4F">
        <w:rPr>
          <w:rFonts w:ascii="Times New Roman" w:hAnsi="Times New Roman"/>
          <w:color w:val="FF0000"/>
          <w:szCs w:val="22"/>
          <w:lang w:eastAsia="sk-SK"/>
        </w:rPr>
        <w:t xml:space="preserve"> </w:t>
      </w:r>
      <w:r w:rsidR="004F3823" w:rsidRPr="00BB0D4F">
        <w:rPr>
          <w:rFonts w:ascii="Times New Roman" w:hAnsi="Times New Roman"/>
          <w:color w:val="000000" w:themeColor="text1"/>
          <w:szCs w:val="22"/>
          <w:lang w:eastAsia="sk-SK"/>
        </w:rPr>
        <w:t>sumu</w:t>
      </w:r>
      <w:r w:rsidR="004F3823" w:rsidRPr="00BB0D4F">
        <w:rPr>
          <w:rFonts w:ascii="Times New Roman" w:hAnsi="Times New Roman"/>
          <w:color w:val="FF0000"/>
          <w:szCs w:val="22"/>
          <w:lang w:eastAsia="sk-SK"/>
        </w:rPr>
        <w:t xml:space="preserve"> </w:t>
      </w:r>
      <w:r w:rsidR="004F3823" w:rsidRPr="00BB0D4F">
        <w:rPr>
          <w:rFonts w:ascii="Times New Roman" w:hAnsi="Times New Roman"/>
          <w:color w:val="000000" w:themeColor="text1"/>
          <w:szCs w:val="22"/>
          <w:lang w:eastAsia="sk-SK"/>
        </w:rPr>
        <w:t>6 846 tis. eur.</w:t>
      </w:r>
      <w:r w:rsidR="004F3823" w:rsidRPr="00BB0D4F">
        <w:rPr>
          <w:rFonts w:ascii="Times New Roman" w:hAnsi="Times New Roman"/>
          <w:color w:val="FF0000"/>
          <w:szCs w:val="22"/>
          <w:lang w:eastAsia="sk-SK"/>
        </w:rPr>
        <w:t xml:space="preserve"> </w:t>
      </w:r>
      <w:r w:rsidR="004F3823" w:rsidRPr="0085799C">
        <w:rPr>
          <w:rFonts w:ascii="Times New Roman" w:hAnsi="Times New Roman"/>
          <w:u w:val="single"/>
        </w:rPr>
        <w:t>Ministerstvo zahraničných vecí SR</w:t>
      </w:r>
      <w:r w:rsidR="004F3823" w:rsidRPr="00BB0D4F">
        <w:rPr>
          <w:rFonts w:ascii="Times New Roman" w:hAnsi="Times New Roman"/>
          <w:b/>
          <w:i/>
          <w:color w:val="000000" w:themeColor="text1"/>
          <w:szCs w:val="22"/>
          <w:lang w:eastAsia="sk-SK"/>
        </w:rPr>
        <w:t xml:space="preserve"> </w:t>
      </w:r>
      <w:r w:rsidR="004F3823" w:rsidRPr="00BB0D4F">
        <w:rPr>
          <w:rFonts w:ascii="Times New Roman" w:hAnsi="Times New Roman"/>
          <w:color w:val="000000" w:themeColor="text1"/>
          <w:szCs w:val="22"/>
          <w:lang w:eastAsia="sk-SK"/>
        </w:rPr>
        <w:t xml:space="preserve">vykázalo sumu </w:t>
      </w:r>
      <w:r w:rsidR="004F3823" w:rsidRPr="00BB0D4F">
        <w:rPr>
          <w:rFonts w:ascii="Times New Roman" w:hAnsi="Times New Roman"/>
          <w:color w:val="000000"/>
          <w:szCs w:val="22"/>
        </w:rPr>
        <w:t>7 459 tis. eur.</w:t>
      </w:r>
    </w:p>
    <w:p w14:paraId="4129AFF0" w14:textId="77777777" w:rsidR="00647542" w:rsidRPr="00A7107D" w:rsidRDefault="00647542" w:rsidP="0085799C">
      <w:pPr>
        <w:spacing w:after="120" w:line="240" w:lineRule="auto"/>
        <w:jc w:val="both"/>
        <w:rPr>
          <w:rFonts w:ascii="Times New Roman" w:hAnsi="Times New Roman"/>
          <w:b/>
          <w:i/>
          <w:szCs w:val="22"/>
          <w:u w:val="single"/>
        </w:rPr>
      </w:pPr>
      <w:r w:rsidRPr="00A7107D">
        <w:rPr>
          <w:rFonts w:ascii="Times New Roman" w:hAnsi="Times New Roman"/>
          <w:b/>
          <w:i/>
          <w:szCs w:val="22"/>
          <w:u w:val="single"/>
        </w:rPr>
        <w:t>Predané cenné papiere a podiely</w:t>
      </w:r>
    </w:p>
    <w:p w14:paraId="6F29046E" w14:textId="74C354A3" w:rsidR="00225C2A" w:rsidRPr="00BB0D4F" w:rsidRDefault="00647542">
      <w:pPr>
        <w:spacing w:after="120" w:line="240" w:lineRule="auto"/>
        <w:jc w:val="both"/>
        <w:rPr>
          <w:rFonts w:ascii="Times New Roman" w:hAnsi="Times New Roman"/>
          <w:color w:val="000000" w:themeColor="text1"/>
          <w:szCs w:val="22"/>
        </w:rPr>
      </w:pPr>
      <w:r w:rsidRPr="009E660C">
        <w:rPr>
          <w:rFonts w:ascii="Times New Roman" w:hAnsi="Times New Roman"/>
          <w:szCs w:val="22"/>
        </w:rPr>
        <w:t xml:space="preserve">Náklady na predané cenné papiere a podiely dosiahli sumu </w:t>
      </w:r>
      <w:r w:rsidR="00601FAC" w:rsidRPr="0085799C">
        <w:rPr>
          <w:rFonts w:ascii="Times New Roman" w:hAnsi="Times New Roman"/>
          <w:bCs/>
          <w:szCs w:val="22"/>
        </w:rPr>
        <w:t>44</w:t>
      </w:r>
      <w:r w:rsidR="00E31123" w:rsidRPr="009E660C">
        <w:rPr>
          <w:rFonts w:ascii="Times New Roman" w:hAnsi="Times New Roman"/>
          <w:szCs w:val="22"/>
        </w:rPr>
        <w:t> </w:t>
      </w:r>
      <w:r w:rsidR="00601FAC" w:rsidRPr="0085799C">
        <w:rPr>
          <w:rFonts w:ascii="Times New Roman" w:hAnsi="Times New Roman"/>
          <w:bCs/>
          <w:szCs w:val="22"/>
        </w:rPr>
        <w:t>265</w:t>
      </w:r>
      <w:r w:rsidRPr="009E660C">
        <w:rPr>
          <w:rFonts w:ascii="Times New Roman" w:hAnsi="Times New Roman"/>
          <w:szCs w:val="22"/>
        </w:rPr>
        <w:t> tis. eur s medziročným zvýšením o</w:t>
      </w:r>
      <w:r w:rsidR="00601FAC" w:rsidRPr="0085799C">
        <w:rPr>
          <w:rFonts w:ascii="Times New Roman" w:hAnsi="Times New Roman"/>
          <w:bCs/>
          <w:szCs w:val="22"/>
        </w:rPr>
        <w:t> 5</w:t>
      </w:r>
      <w:r w:rsidR="00E31123" w:rsidRPr="009E660C">
        <w:rPr>
          <w:rFonts w:ascii="Times New Roman" w:hAnsi="Times New Roman"/>
          <w:szCs w:val="22"/>
        </w:rPr>
        <w:t> </w:t>
      </w:r>
      <w:r w:rsidR="00601FAC" w:rsidRPr="0085799C">
        <w:rPr>
          <w:rFonts w:ascii="Times New Roman" w:hAnsi="Times New Roman"/>
          <w:bCs/>
          <w:szCs w:val="22"/>
        </w:rPr>
        <w:t>234</w:t>
      </w:r>
      <w:r w:rsidRPr="009E660C">
        <w:rPr>
          <w:rFonts w:ascii="Times New Roman" w:hAnsi="Times New Roman"/>
          <w:szCs w:val="22"/>
        </w:rPr>
        <w:t> tis. eur. Viac ako 9</w:t>
      </w:r>
      <w:r w:rsidR="006056A3" w:rsidRPr="0085799C">
        <w:rPr>
          <w:rFonts w:ascii="Times New Roman" w:hAnsi="Times New Roman"/>
          <w:bCs/>
          <w:szCs w:val="22"/>
        </w:rPr>
        <w:t>9</w:t>
      </w:r>
      <w:r w:rsidRPr="009E660C">
        <w:rPr>
          <w:rFonts w:ascii="Times New Roman" w:hAnsi="Times New Roman"/>
          <w:szCs w:val="22"/>
        </w:rPr>
        <w:t xml:space="preserve"> </w:t>
      </w:r>
      <w:r w:rsidRPr="009E660C">
        <w:rPr>
          <w:rFonts w:ascii="Times New Roman" w:hAnsi="Times New Roman"/>
          <w:color w:val="000000" w:themeColor="text1"/>
          <w:szCs w:val="22"/>
        </w:rPr>
        <w:t>% týchto nákladov sú náklady subjektov ústrednej správy</w:t>
      </w:r>
      <w:r w:rsidRPr="00BB0D4F">
        <w:rPr>
          <w:rFonts w:ascii="Times New Roman" w:hAnsi="Times New Roman"/>
          <w:color w:val="000000" w:themeColor="text1"/>
          <w:szCs w:val="22"/>
        </w:rPr>
        <w:t>.</w:t>
      </w:r>
    </w:p>
    <w:p w14:paraId="5D42D07E" w14:textId="77777777" w:rsidR="00225C2A" w:rsidRPr="00BB0D4F" w:rsidRDefault="00225C2A">
      <w:pPr>
        <w:spacing w:after="120" w:line="240" w:lineRule="auto"/>
        <w:jc w:val="both"/>
        <w:rPr>
          <w:rFonts w:ascii="Times New Roman" w:hAnsi="Times New Roman"/>
          <w:color w:val="000000" w:themeColor="text1"/>
          <w:szCs w:val="22"/>
        </w:rPr>
      </w:pPr>
    </w:p>
    <w:p w14:paraId="6B7D94A8" w14:textId="54D74C5E" w:rsidR="00225C2A" w:rsidRDefault="00225C2A" w:rsidP="0085799C">
      <w:pPr>
        <w:pStyle w:val="Nadpis4"/>
        <w:numPr>
          <w:ilvl w:val="0"/>
          <w:numId w:val="54"/>
        </w:numPr>
        <w:ind w:left="426" w:hanging="426"/>
      </w:pPr>
      <w:bookmarkStart w:id="106" w:name="_Podiel_na_výsledku_1"/>
      <w:bookmarkEnd w:id="106"/>
      <w:r>
        <w:lastRenderedPageBreak/>
        <w:t>Podiel na výsledku hospodárenia pridružených ÚJ</w:t>
      </w:r>
    </w:p>
    <w:p w14:paraId="533E4924" w14:textId="4C034392" w:rsidR="00225C2A" w:rsidRPr="00BB0D4F" w:rsidRDefault="00647542">
      <w:pPr>
        <w:tabs>
          <w:tab w:val="num" w:pos="0"/>
          <w:tab w:val="num" w:pos="426"/>
        </w:tabs>
        <w:spacing w:after="120" w:line="240" w:lineRule="auto"/>
        <w:jc w:val="both"/>
        <w:rPr>
          <w:rFonts w:ascii="Times New Roman" w:hAnsi="Times New Roman"/>
          <w:color w:val="000000" w:themeColor="text1"/>
          <w:szCs w:val="22"/>
        </w:rPr>
      </w:pPr>
      <w:r w:rsidRPr="009E660C">
        <w:rPr>
          <w:rFonts w:ascii="Times New Roman" w:hAnsi="Times New Roman"/>
          <w:szCs w:val="22"/>
        </w:rPr>
        <w:t>Podiel na nákladoch pridružených účtovných jednotiek sa z</w:t>
      </w:r>
      <w:r w:rsidR="00986FFA" w:rsidRPr="0085799C">
        <w:rPr>
          <w:rFonts w:ascii="Times New Roman" w:hAnsi="Times New Roman"/>
          <w:bCs/>
          <w:szCs w:val="22"/>
        </w:rPr>
        <w:t>níži</w:t>
      </w:r>
      <w:r w:rsidRPr="009E660C">
        <w:rPr>
          <w:rFonts w:ascii="Times New Roman" w:hAnsi="Times New Roman"/>
          <w:szCs w:val="22"/>
        </w:rPr>
        <w:t>l z minuloročných</w:t>
      </w:r>
      <w:r w:rsidR="00986FFA" w:rsidRPr="0085799C">
        <w:rPr>
          <w:rFonts w:ascii="Times New Roman" w:hAnsi="Times New Roman"/>
          <w:bCs/>
          <w:szCs w:val="22"/>
        </w:rPr>
        <w:t xml:space="preserve"> 18</w:t>
      </w:r>
      <w:r w:rsidR="00E31123" w:rsidRPr="009E660C">
        <w:rPr>
          <w:rFonts w:ascii="Times New Roman" w:hAnsi="Times New Roman"/>
          <w:szCs w:val="22"/>
        </w:rPr>
        <w:t> </w:t>
      </w:r>
      <w:r w:rsidR="00986FFA" w:rsidRPr="0085799C">
        <w:rPr>
          <w:rFonts w:ascii="Times New Roman" w:hAnsi="Times New Roman"/>
          <w:bCs/>
          <w:szCs w:val="22"/>
        </w:rPr>
        <w:t>999</w:t>
      </w:r>
      <w:r w:rsidRPr="009E660C">
        <w:rPr>
          <w:rFonts w:ascii="Times New Roman" w:hAnsi="Times New Roman"/>
          <w:szCs w:val="22"/>
        </w:rPr>
        <w:t> tis. eur na 1</w:t>
      </w:r>
      <w:r w:rsidR="00986FFA" w:rsidRPr="0085799C">
        <w:rPr>
          <w:rFonts w:ascii="Times New Roman" w:hAnsi="Times New Roman"/>
          <w:bCs/>
          <w:szCs w:val="22"/>
        </w:rPr>
        <w:t>2</w:t>
      </w:r>
      <w:r w:rsidR="00E31123" w:rsidRPr="009E660C">
        <w:rPr>
          <w:rFonts w:ascii="Times New Roman" w:hAnsi="Times New Roman"/>
          <w:szCs w:val="22"/>
        </w:rPr>
        <w:t> </w:t>
      </w:r>
      <w:r w:rsidR="00986FFA" w:rsidRPr="0085799C">
        <w:rPr>
          <w:rFonts w:ascii="Times New Roman" w:hAnsi="Times New Roman"/>
          <w:bCs/>
          <w:szCs w:val="22"/>
        </w:rPr>
        <w:t>755</w:t>
      </w:r>
      <w:r w:rsidRPr="009E660C">
        <w:rPr>
          <w:rFonts w:ascii="Times New Roman" w:hAnsi="Times New Roman"/>
          <w:szCs w:val="22"/>
        </w:rPr>
        <w:t xml:space="preserve"> tis. eur. </w:t>
      </w:r>
      <w:r w:rsidR="002800C7" w:rsidRPr="0085799C">
        <w:rPr>
          <w:rFonts w:ascii="Times New Roman" w:hAnsi="Times New Roman"/>
          <w:u w:val="single"/>
        </w:rPr>
        <w:t>Jadrová a vyraďovacia spoločnosť, a.s.</w:t>
      </w:r>
      <w:r w:rsidR="002800C7" w:rsidRPr="00BB0D4F">
        <w:rPr>
          <w:rFonts w:ascii="Times New Roman" w:hAnsi="Times New Roman"/>
          <w:b/>
          <w:i/>
          <w:color w:val="000000" w:themeColor="text1"/>
          <w:szCs w:val="22"/>
          <w:lang w:eastAsia="sk-SK"/>
        </w:rPr>
        <w:t xml:space="preserve"> </w:t>
      </w:r>
      <w:r w:rsidR="002800C7" w:rsidRPr="00BB0D4F">
        <w:rPr>
          <w:rFonts w:ascii="Times New Roman" w:hAnsi="Times New Roman"/>
          <w:color w:val="000000" w:themeColor="text1"/>
          <w:szCs w:val="22"/>
          <w:lang w:eastAsia="sk-SK"/>
        </w:rPr>
        <w:t>vykázala sumu 1</w:t>
      </w:r>
      <w:r w:rsidR="00E31123" w:rsidRPr="009E660C">
        <w:rPr>
          <w:rFonts w:ascii="Times New Roman" w:hAnsi="Times New Roman"/>
          <w:color w:val="000000" w:themeColor="text1"/>
          <w:szCs w:val="22"/>
          <w:lang w:eastAsia="sk-SK"/>
        </w:rPr>
        <w:t> </w:t>
      </w:r>
      <w:r w:rsidR="002800C7" w:rsidRPr="00BB0D4F">
        <w:rPr>
          <w:rFonts w:ascii="Times New Roman" w:hAnsi="Times New Roman"/>
          <w:color w:val="000000" w:themeColor="text1"/>
          <w:szCs w:val="22"/>
          <w:lang w:eastAsia="sk-SK"/>
        </w:rPr>
        <w:t>74</w:t>
      </w:r>
      <w:r w:rsidR="00986FFA" w:rsidRPr="00BB0D4F">
        <w:rPr>
          <w:rFonts w:ascii="Times New Roman" w:hAnsi="Times New Roman"/>
          <w:color w:val="000000" w:themeColor="text1"/>
          <w:szCs w:val="22"/>
          <w:lang w:eastAsia="sk-SK"/>
        </w:rPr>
        <w:t>4</w:t>
      </w:r>
      <w:r w:rsidR="00E31123" w:rsidRPr="009E660C">
        <w:rPr>
          <w:rFonts w:ascii="Times New Roman" w:hAnsi="Times New Roman"/>
          <w:color w:val="000000" w:themeColor="text1"/>
          <w:szCs w:val="22"/>
          <w:lang w:eastAsia="sk-SK"/>
        </w:rPr>
        <w:t> </w:t>
      </w:r>
      <w:r w:rsidR="00986FFA" w:rsidRPr="00BB0D4F">
        <w:rPr>
          <w:rFonts w:ascii="Times New Roman" w:hAnsi="Times New Roman"/>
          <w:color w:val="000000" w:themeColor="text1"/>
          <w:szCs w:val="22"/>
          <w:lang w:eastAsia="sk-SK"/>
        </w:rPr>
        <w:t>tis.</w:t>
      </w:r>
      <w:r w:rsidR="00E31123" w:rsidRPr="009E660C">
        <w:rPr>
          <w:rFonts w:ascii="Times New Roman" w:hAnsi="Times New Roman"/>
          <w:color w:val="000000" w:themeColor="text1"/>
          <w:szCs w:val="22"/>
          <w:lang w:eastAsia="sk-SK"/>
        </w:rPr>
        <w:t> </w:t>
      </w:r>
      <w:r w:rsidR="002800C7" w:rsidRPr="00BB0D4F">
        <w:rPr>
          <w:rFonts w:ascii="Times New Roman" w:hAnsi="Times New Roman"/>
          <w:color w:val="000000" w:themeColor="text1"/>
          <w:szCs w:val="22"/>
          <w:lang w:eastAsia="sk-SK"/>
        </w:rPr>
        <w:t>eur ako zaúčtovaný podiel na výsledku hospodárenia v Jadrovej energetickej spoločnosti Slovenska, a.s. Najvyšší medziročný pokles vo výške 8 597 </w:t>
      </w:r>
      <w:r w:rsidR="00986FFA" w:rsidRPr="00BB0D4F">
        <w:rPr>
          <w:rFonts w:ascii="Times New Roman" w:hAnsi="Times New Roman"/>
          <w:color w:val="000000" w:themeColor="text1"/>
          <w:szCs w:val="22"/>
          <w:lang w:eastAsia="sk-SK"/>
        </w:rPr>
        <w:t>tis.</w:t>
      </w:r>
      <w:r w:rsidR="00E31123" w:rsidRPr="009E660C">
        <w:rPr>
          <w:rFonts w:ascii="Times New Roman" w:hAnsi="Times New Roman"/>
          <w:color w:val="000000" w:themeColor="text1"/>
          <w:szCs w:val="22"/>
          <w:lang w:eastAsia="sk-SK"/>
        </w:rPr>
        <w:t> </w:t>
      </w:r>
      <w:r w:rsidR="002800C7" w:rsidRPr="00BB0D4F">
        <w:rPr>
          <w:rFonts w:ascii="Times New Roman" w:hAnsi="Times New Roman"/>
          <w:color w:val="000000" w:themeColor="text1"/>
          <w:szCs w:val="22"/>
          <w:lang w:eastAsia="sk-SK"/>
        </w:rPr>
        <w:t xml:space="preserve">eur zaznamenalo </w:t>
      </w:r>
      <w:r w:rsidR="002800C7" w:rsidRPr="0085799C">
        <w:rPr>
          <w:rFonts w:ascii="Times New Roman" w:hAnsi="Times New Roman"/>
          <w:u w:val="single"/>
        </w:rPr>
        <w:t xml:space="preserve">Ministerstvo hospodárstva SR </w:t>
      </w:r>
      <w:r w:rsidR="002800C7" w:rsidRPr="00BB0D4F">
        <w:rPr>
          <w:rFonts w:ascii="Times New Roman" w:hAnsi="Times New Roman"/>
          <w:color w:val="000000" w:themeColor="text1"/>
          <w:szCs w:val="22"/>
          <w:lang w:eastAsia="sk-SK"/>
        </w:rPr>
        <w:t xml:space="preserve">z dôvodu, že v roku 2023 tu vykazovalo </w:t>
      </w:r>
      <w:proofErr w:type="spellStart"/>
      <w:r w:rsidR="002800C7" w:rsidRPr="00BB0D4F">
        <w:rPr>
          <w:rFonts w:ascii="Times New Roman" w:hAnsi="Times New Roman"/>
          <w:color w:val="000000" w:themeColor="text1"/>
          <w:szCs w:val="22"/>
          <w:lang w:eastAsia="sk-SK"/>
        </w:rPr>
        <w:t>odkonsolidáciu</w:t>
      </w:r>
      <w:proofErr w:type="spellEnd"/>
      <w:r w:rsidR="002800C7" w:rsidRPr="00BB0D4F">
        <w:rPr>
          <w:rFonts w:ascii="Times New Roman" w:hAnsi="Times New Roman"/>
          <w:color w:val="000000" w:themeColor="text1"/>
          <w:szCs w:val="22"/>
          <w:lang w:eastAsia="sk-SK"/>
        </w:rPr>
        <w:t xml:space="preserve"> </w:t>
      </w:r>
      <w:r w:rsidR="002800C7" w:rsidRPr="00BB0D4F">
        <w:rPr>
          <w:rFonts w:ascii="Times New Roman" w:hAnsi="Times New Roman"/>
          <w:color w:val="000000" w:themeColor="text1"/>
          <w:szCs w:val="22"/>
        </w:rPr>
        <w:t>spoločnosti Východoslovenská energetika Holding, a.s., ktorá prešla pod Západoslovenskú energetiku, a.s.</w:t>
      </w:r>
    </w:p>
    <w:p w14:paraId="73AE8D1A" w14:textId="77777777" w:rsidR="00225C2A" w:rsidRPr="00BB0D4F" w:rsidRDefault="00225C2A">
      <w:pPr>
        <w:tabs>
          <w:tab w:val="num" w:pos="0"/>
          <w:tab w:val="num" w:pos="426"/>
        </w:tabs>
        <w:spacing w:after="120" w:line="240" w:lineRule="auto"/>
        <w:jc w:val="both"/>
        <w:rPr>
          <w:rFonts w:ascii="Times New Roman" w:hAnsi="Times New Roman"/>
          <w:color w:val="000000" w:themeColor="text1"/>
          <w:szCs w:val="22"/>
        </w:rPr>
      </w:pPr>
    </w:p>
    <w:p w14:paraId="567E02B6" w14:textId="3E2760DF" w:rsidR="00225C2A" w:rsidRDefault="00225C2A" w:rsidP="0085799C">
      <w:pPr>
        <w:pStyle w:val="Nadpis4"/>
        <w:numPr>
          <w:ilvl w:val="0"/>
          <w:numId w:val="54"/>
        </w:numPr>
        <w:ind w:left="426" w:hanging="426"/>
      </w:pPr>
      <w:bookmarkStart w:id="107" w:name="_Ostatné_finančné_náklady"/>
      <w:bookmarkEnd w:id="107"/>
      <w:r>
        <w:t>Ostatné finančné náklady</w:t>
      </w:r>
    </w:p>
    <w:p w14:paraId="56638749" w14:textId="4EED1562" w:rsidR="000C222F" w:rsidRPr="00E31123" w:rsidRDefault="000C222F">
      <w:pPr>
        <w:pStyle w:val="Pismenka"/>
        <w:tabs>
          <w:tab w:val="clear" w:pos="426"/>
        </w:tabs>
        <w:spacing w:after="120"/>
        <w:ind w:left="0" w:firstLine="0"/>
        <w:rPr>
          <w:b w:val="0"/>
          <w:sz w:val="22"/>
          <w:szCs w:val="22"/>
        </w:rPr>
      </w:pPr>
      <w:r w:rsidRPr="00E31123">
        <w:rPr>
          <w:b w:val="0"/>
          <w:color w:val="000000" w:themeColor="text1"/>
          <w:sz w:val="22"/>
          <w:szCs w:val="22"/>
        </w:rPr>
        <w:t>Z celkovej hodnoty 144</w:t>
      </w:r>
      <w:r w:rsidR="001822AD">
        <w:rPr>
          <w:b w:val="0"/>
          <w:color w:val="000000" w:themeColor="text1"/>
          <w:sz w:val="22"/>
          <w:szCs w:val="22"/>
        </w:rPr>
        <w:t> </w:t>
      </w:r>
      <w:r w:rsidRPr="00E31123">
        <w:rPr>
          <w:b w:val="0"/>
          <w:color w:val="000000" w:themeColor="text1"/>
          <w:sz w:val="22"/>
          <w:szCs w:val="22"/>
        </w:rPr>
        <w:t>167</w:t>
      </w:r>
      <w:r w:rsidR="001822AD">
        <w:rPr>
          <w:b w:val="0"/>
          <w:color w:val="000000" w:themeColor="text1"/>
          <w:sz w:val="22"/>
          <w:szCs w:val="22"/>
        </w:rPr>
        <w:t> </w:t>
      </w:r>
      <w:r w:rsidRPr="00E31123">
        <w:rPr>
          <w:b w:val="0"/>
          <w:color w:val="000000" w:themeColor="text1"/>
          <w:sz w:val="22"/>
          <w:szCs w:val="22"/>
        </w:rPr>
        <w:t>tis. eur vykázala za ústrednú správu najvyššiu hodnotu</w:t>
      </w:r>
      <w:r w:rsidRPr="00E31123">
        <w:rPr>
          <w:color w:val="000000" w:themeColor="text1"/>
          <w:sz w:val="22"/>
          <w:szCs w:val="22"/>
        </w:rPr>
        <w:t xml:space="preserve"> </w:t>
      </w:r>
      <w:r w:rsidRPr="0085799C">
        <w:rPr>
          <w:b w:val="0"/>
          <w:color w:val="000000" w:themeColor="text1"/>
          <w:sz w:val="22"/>
          <w:szCs w:val="22"/>
          <w:u w:val="single"/>
        </w:rPr>
        <w:t>kapitola</w:t>
      </w:r>
      <w:r w:rsidRPr="0085799C">
        <w:rPr>
          <w:color w:val="000000" w:themeColor="text1"/>
          <w:sz w:val="22"/>
          <w:szCs w:val="22"/>
          <w:u w:val="single"/>
        </w:rPr>
        <w:t xml:space="preserve"> </w:t>
      </w:r>
      <w:r w:rsidRPr="0085799C">
        <w:rPr>
          <w:b w:val="0"/>
          <w:sz w:val="22"/>
          <w:szCs w:val="22"/>
          <w:u w:val="single"/>
          <w:lang w:eastAsia="en-US"/>
        </w:rPr>
        <w:t>Ministerstva hospodárstva SR</w:t>
      </w:r>
      <w:r w:rsidRPr="00E31123">
        <w:rPr>
          <w:i/>
          <w:color w:val="000000" w:themeColor="text1"/>
          <w:sz w:val="22"/>
          <w:szCs w:val="22"/>
        </w:rPr>
        <w:t xml:space="preserve"> </w:t>
      </w:r>
      <w:r w:rsidRPr="00E31123">
        <w:rPr>
          <w:b w:val="0"/>
          <w:color w:val="000000" w:themeColor="text1"/>
          <w:sz w:val="22"/>
          <w:szCs w:val="22"/>
        </w:rPr>
        <w:t>v sume 61</w:t>
      </w:r>
      <w:r w:rsidR="001822AD">
        <w:rPr>
          <w:b w:val="0"/>
          <w:color w:val="000000" w:themeColor="text1"/>
          <w:sz w:val="22"/>
          <w:szCs w:val="22"/>
        </w:rPr>
        <w:t> </w:t>
      </w:r>
      <w:r w:rsidRPr="00E31123">
        <w:rPr>
          <w:b w:val="0"/>
          <w:color w:val="000000" w:themeColor="text1"/>
          <w:sz w:val="22"/>
          <w:szCs w:val="22"/>
        </w:rPr>
        <w:t>852</w:t>
      </w:r>
      <w:r w:rsidR="001822AD">
        <w:rPr>
          <w:b w:val="0"/>
          <w:color w:val="000000" w:themeColor="text1"/>
          <w:sz w:val="22"/>
          <w:szCs w:val="22"/>
        </w:rPr>
        <w:t> </w:t>
      </w:r>
      <w:r w:rsidRPr="00E31123">
        <w:rPr>
          <w:b w:val="0"/>
          <w:color w:val="000000" w:themeColor="text1"/>
          <w:sz w:val="22"/>
          <w:szCs w:val="22"/>
        </w:rPr>
        <w:t xml:space="preserve">tis. eur. </w:t>
      </w:r>
      <w:r w:rsidRPr="0085799C">
        <w:rPr>
          <w:b w:val="0"/>
          <w:bCs w:val="0"/>
          <w:iCs/>
          <w:color w:val="000000" w:themeColor="text1"/>
          <w:sz w:val="22"/>
          <w:szCs w:val="22"/>
          <w:u w:val="single"/>
        </w:rPr>
        <w:t>Jadrová a</w:t>
      </w:r>
      <w:r w:rsidR="001822AD">
        <w:rPr>
          <w:b w:val="0"/>
          <w:bCs w:val="0"/>
          <w:iCs/>
          <w:color w:val="000000" w:themeColor="text1"/>
          <w:sz w:val="22"/>
          <w:szCs w:val="22"/>
          <w:u w:val="single"/>
        </w:rPr>
        <w:t xml:space="preserve"> </w:t>
      </w:r>
      <w:r w:rsidRPr="0085799C">
        <w:rPr>
          <w:b w:val="0"/>
          <w:bCs w:val="0"/>
          <w:iCs/>
          <w:color w:val="000000" w:themeColor="text1"/>
          <w:sz w:val="22"/>
          <w:szCs w:val="22"/>
          <w:u w:val="single"/>
        </w:rPr>
        <w:t>vyraďovacia spoločnosť, a.s.</w:t>
      </w:r>
      <w:r w:rsidRPr="00E31123">
        <w:rPr>
          <w:b w:val="0"/>
          <w:i/>
          <w:color w:val="000000" w:themeColor="text1"/>
          <w:sz w:val="22"/>
          <w:szCs w:val="22"/>
        </w:rPr>
        <w:t xml:space="preserve"> </w:t>
      </w:r>
      <w:r w:rsidRPr="00E31123">
        <w:rPr>
          <w:b w:val="0"/>
          <w:color w:val="000000" w:themeColor="text1"/>
          <w:sz w:val="22"/>
          <w:szCs w:val="22"/>
        </w:rPr>
        <w:t>vykazovala sumu</w:t>
      </w:r>
      <w:r w:rsidRPr="00E31123">
        <w:rPr>
          <w:b w:val="0"/>
          <w:color w:val="FF0000"/>
          <w:sz w:val="22"/>
          <w:szCs w:val="22"/>
        </w:rPr>
        <w:t xml:space="preserve"> </w:t>
      </w:r>
      <w:r w:rsidRPr="00E31123">
        <w:rPr>
          <w:b w:val="0"/>
          <w:color w:val="000000" w:themeColor="text1"/>
          <w:sz w:val="22"/>
          <w:szCs w:val="22"/>
        </w:rPr>
        <w:t>58 782 tis. eur z dôvodu finančných nákladov spojených s vyraďovaním a likvidáciou jadrových elektrární A1 a V1.</w:t>
      </w:r>
      <w:r w:rsidRPr="00E31123">
        <w:rPr>
          <w:color w:val="000000" w:themeColor="text1"/>
          <w:sz w:val="22"/>
          <w:szCs w:val="22"/>
        </w:rPr>
        <w:t xml:space="preserve"> </w:t>
      </w:r>
      <w:r w:rsidRPr="0085799C">
        <w:rPr>
          <w:b w:val="0"/>
          <w:sz w:val="22"/>
          <w:szCs w:val="22"/>
          <w:u w:val="single"/>
          <w:lang w:eastAsia="en-US"/>
        </w:rPr>
        <w:t>Kapitola Ministerstva financií SR</w:t>
      </w:r>
      <w:r w:rsidRPr="00E31123">
        <w:rPr>
          <w:color w:val="000000" w:themeColor="text1"/>
          <w:sz w:val="22"/>
          <w:szCs w:val="22"/>
        </w:rPr>
        <w:t xml:space="preserve"> </w:t>
      </w:r>
      <w:r w:rsidRPr="00E31123">
        <w:rPr>
          <w:b w:val="0"/>
          <w:color w:val="000000" w:themeColor="text1"/>
          <w:sz w:val="22"/>
          <w:szCs w:val="22"/>
        </w:rPr>
        <w:t>vynaložila náklady vo výške  45 763 tis. eur</w:t>
      </w:r>
      <w:r w:rsidRPr="00E31123">
        <w:rPr>
          <w:color w:val="000000" w:themeColor="text1"/>
          <w:sz w:val="22"/>
          <w:szCs w:val="22"/>
        </w:rPr>
        <w:t xml:space="preserve">, </w:t>
      </w:r>
      <w:r w:rsidRPr="00E31123">
        <w:rPr>
          <w:b w:val="0"/>
          <w:color w:val="000000" w:themeColor="text1"/>
          <w:sz w:val="22"/>
          <w:szCs w:val="22"/>
        </w:rPr>
        <w:t>z toho</w:t>
      </w:r>
      <w:r w:rsidRPr="00E31123">
        <w:rPr>
          <w:color w:val="000000" w:themeColor="text1"/>
          <w:sz w:val="22"/>
          <w:szCs w:val="22"/>
        </w:rPr>
        <w:t xml:space="preserve"> </w:t>
      </w:r>
      <w:r w:rsidRPr="0085799C">
        <w:rPr>
          <w:b w:val="0"/>
          <w:sz w:val="22"/>
          <w:szCs w:val="22"/>
          <w:u w:val="single"/>
          <w:lang w:eastAsia="en-US"/>
        </w:rPr>
        <w:t>E</w:t>
      </w:r>
      <w:r w:rsidR="00A15561" w:rsidRPr="00E31123">
        <w:rPr>
          <w:b w:val="0"/>
          <w:sz w:val="22"/>
          <w:szCs w:val="22"/>
          <w:u w:val="single"/>
          <w:lang w:eastAsia="en-US"/>
        </w:rPr>
        <w:t>XIMBANKA</w:t>
      </w:r>
      <w:r w:rsidR="00CC539E" w:rsidRPr="0085799C">
        <w:rPr>
          <w:b w:val="0"/>
          <w:sz w:val="22"/>
          <w:szCs w:val="22"/>
          <w:u w:val="single"/>
          <w:lang w:eastAsia="en-US"/>
        </w:rPr>
        <w:t xml:space="preserve"> SR</w:t>
      </w:r>
      <w:r w:rsidRPr="00E31123">
        <w:rPr>
          <w:b w:val="0"/>
          <w:sz w:val="22"/>
          <w:szCs w:val="22"/>
        </w:rPr>
        <w:t xml:space="preserve"> hodnotu 23 626 tis. eur, </w:t>
      </w:r>
      <w:r w:rsidRPr="0085799C">
        <w:rPr>
          <w:b w:val="0"/>
          <w:sz w:val="22"/>
          <w:szCs w:val="22"/>
          <w:u w:val="single"/>
          <w:lang w:eastAsia="en-US"/>
        </w:rPr>
        <w:t>Ministerstvo financií SR</w:t>
      </w:r>
      <w:r w:rsidRPr="00E31123">
        <w:rPr>
          <w:b w:val="0"/>
          <w:sz w:val="22"/>
          <w:szCs w:val="22"/>
        </w:rPr>
        <w:t xml:space="preserve"> hodnotu 18 390 tis. eur  a</w:t>
      </w:r>
      <w:r w:rsidR="001822AD">
        <w:rPr>
          <w:b w:val="0"/>
          <w:bCs w:val="0"/>
          <w:sz w:val="22"/>
          <w:szCs w:val="22"/>
        </w:rPr>
        <w:t xml:space="preserve"> </w:t>
      </w:r>
      <w:r w:rsidRPr="0085799C">
        <w:rPr>
          <w:b w:val="0"/>
          <w:sz w:val="22"/>
          <w:szCs w:val="22"/>
          <w:u w:val="single"/>
          <w:lang w:eastAsia="en-US"/>
        </w:rPr>
        <w:t>Štátna pokladnica</w:t>
      </w:r>
      <w:r w:rsidRPr="00E31123">
        <w:rPr>
          <w:b w:val="0"/>
          <w:sz w:val="22"/>
          <w:szCs w:val="22"/>
        </w:rPr>
        <w:t xml:space="preserve"> hodnotu 2</w:t>
      </w:r>
      <w:r w:rsidR="001822AD">
        <w:rPr>
          <w:b w:val="0"/>
          <w:bCs w:val="0"/>
          <w:sz w:val="22"/>
          <w:szCs w:val="22"/>
        </w:rPr>
        <w:t> </w:t>
      </w:r>
      <w:r w:rsidRPr="00E31123">
        <w:rPr>
          <w:b w:val="0"/>
          <w:sz w:val="22"/>
          <w:szCs w:val="22"/>
        </w:rPr>
        <w:t>448</w:t>
      </w:r>
      <w:r w:rsidR="001822AD">
        <w:rPr>
          <w:b w:val="0"/>
          <w:bCs w:val="0"/>
          <w:sz w:val="22"/>
          <w:szCs w:val="22"/>
        </w:rPr>
        <w:t> </w:t>
      </w:r>
      <w:r w:rsidRPr="00E31123">
        <w:rPr>
          <w:b w:val="0"/>
          <w:sz w:val="22"/>
          <w:szCs w:val="22"/>
        </w:rPr>
        <w:t>tis. eur. Ide najmä o poplatky tuzemským bankám, Centrálnemu depozitáru cenných papierov, Burze cenných papierov, poplatky zahraničným bankám a finančným sprostredkovateľom obchodov so štátnymi cennými papiermi. Ďalej sa tu zaznamenávajú poplatky za vedenie účtov a platobný styk. Ministerstvo financií SR tu vykázalo aj poplatok za sprostredkovanie predaja štátneho dlhu syndikátom a výplatu provízií primárnym dílerom vo výške 10 302 tis. eur.</w:t>
      </w:r>
    </w:p>
    <w:p w14:paraId="0AD41054" w14:textId="0E6CD759" w:rsidR="00CC539E" w:rsidRPr="00E31123" w:rsidRDefault="00647542">
      <w:pPr>
        <w:spacing w:after="120" w:line="240" w:lineRule="auto"/>
        <w:jc w:val="both"/>
        <w:rPr>
          <w:rFonts w:ascii="Times New Roman" w:hAnsi="Times New Roman"/>
          <w:szCs w:val="22"/>
        </w:rPr>
      </w:pPr>
      <w:r w:rsidRPr="00E31123">
        <w:rPr>
          <w:rFonts w:ascii="Times New Roman" w:hAnsi="Times New Roman"/>
          <w:szCs w:val="22"/>
        </w:rPr>
        <w:t>Iné finančné náklady dosiahli sumu 1</w:t>
      </w:r>
      <w:r w:rsidR="00100A8D" w:rsidRPr="0085799C">
        <w:rPr>
          <w:rFonts w:ascii="Times New Roman" w:hAnsi="Times New Roman"/>
        </w:rPr>
        <w:t>23</w:t>
      </w:r>
      <w:r w:rsidR="001822AD">
        <w:rPr>
          <w:rFonts w:ascii="Times New Roman" w:hAnsi="Times New Roman"/>
        </w:rPr>
        <w:t> </w:t>
      </w:r>
      <w:r w:rsidR="00100A8D" w:rsidRPr="0085799C">
        <w:rPr>
          <w:rFonts w:ascii="Times New Roman" w:hAnsi="Times New Roman"/>
        </w:rPr>
        <w:t>289</w:t>
      </w:r>
      <w:r w:rsidRPr="00E31123">
        <w:rPr>
          <w:rFonts w:ascii="Times New Roman" w:hAnsi="Times New Roman"/>
          <w:szCs w:val="22"/>
        </w:rPr>
        <w:t xml:space="preserve"> tis. eur, z toho ústredná správa </w:t>
      </w:r>
      <w:r w:rsidR="004E67BE" w:rsidRPr="0085799C">
        <w:rPr>
          <w:rFonts w:ascii="Times New Roman" w:hAnsi="Times New Roman"/>
        </w:rPr>
        <w:t>96</w:t>
      </w:r>
      <w:r w:rsidR="001822AD">
        <w:rPr>
          <w:rFonts w:ascii="Times New Roman" w:hAnsi="Times New Roman"/>
        </w:rPr>
        <w:t> </w:t>
      </w:r>
      <w:r w:rsidR="004E67BE" w:rsidRPr="0085799C">
        <w:rPr>
          <w:rFonts w:ascii="Times New Roman" w:hAnsi="Times New Roman"/>
        </w:rPr>
        <w:t>856</w:t>
      </w:r>
      <w:r w:rsidRPr="00E31123">
        <w:rPr>
          <w:rFonts w:ascii="Times New Roman" w:hAnsi="Times New Roman"/>
          <w:szCs w:val="22"/>
        </w:rPr>
        <w:t xml:space="preserve"> tis. eur, územná samospráva </w:t>
      </w:r>
      <w:r w:rsidR="006722B2" w:rsidRPr="0085799C">
        <w:rPr>
          <w:rFonts w:ascii="Times New Roman" w:hAnsi="Times New Roman"/>
        </w:rPr>
        <w:t>19 174</w:t>
      </w:r>
      <w:r w:rsidRPr="00E31123">
        <w:rPr>
          <w:rFonts w:ascii="Times New Roman" w:hAnsi="Times New Roman"/>
          <w:szCs w:val="22"/>
        </w:rPr>
        <w:t xml:space="preserve"> tis. eur a ostatné subjekty ústrednej správy </w:t>
      </w:r>
      <w:r w:rsidR="006722B2" w:rsidRPr="0085799C">
        <w:rPr>
          <w:rFonts w:ascii="Times New Roman" w:hAnsi="Times New Roman"/>
        </w:rPr>
        <w:t>8</w:t>
      </w:r>
      <w:r w:rsidR="001822AD">
        <w:rPr>
          <w:rFonts w:ascii="Times New Roman" w:hAnsi="Times New Roman"/>
        </w:rPr>
        <w:t> </w:t>
      </w:r>
      <w:r w:rsidR="006722B2" w:rsidRPr="0085799C">
        <w:rPr>
          <w:rFonts w:ascii="Times New Roman" w:hAnsi="Times New Roman"/>
        </w:rPr>
        <w:t>428</w:t>
      </w:r>
      <w:r w:rsidRPr="00E31123">
        <w:rPr>
          <w:rFonts w:ascii="Times New Roman" w:hAnsi="Times New Roman"/>
          <w:szCs w:val="22"/>
        </w:rPr>
        <w:t> tis. eur. Tvoria ich náklady napríklad na precenenie cenných papierov, náklady na krátkodobý finančný majetok, manká a škody na finančnom majetku.</w:t>
      </w:r>
    </w:p>
    <w:p w14:paraId="32A60CAC" w14:textId="77777777" w:rsidR="00CC539E" w:rsidRPr="00E31123" w:rsidRDefault="00CC539E">
      <w:pPr>
        <w:spacing w:after="120" w:line="240" w:lineRule="auto"/>
        <w:jc w:val="both"/>
        <w:rPr>
          <w:rFonts w:ascii="Times New Roman" w:hAnsi="Times New Roman"/>
          <w:szCs w:val="22"/>
        </w:rPr>
      </w:pPr>
    </w:p>
    <w:p w14:paraId="2582E9E9" w14:textId="5216E7D5" w:rsidR="00272350" w:rsidRDefault="00CC539E" w:rsidP="0085799C">
      <w:pPr>
        <w:pStyle w:val="Nadpis3"/>
        <w:numPr>
          <w:ilvl w:val="0"/>
          <w:numId w:val="10"/>
        </w:numPr>
        <w:ind w:left="709"/>
      </w:pPr>
      <w:r>
        <w:t xml:space="preserve">Dane a </w:t>
      </w:r>
      <w:r w:rsidR="00272350">
        <w:t>poplatky</w:t>
      </w:r>
    </w:p>
    <w:p w14:paraId="749CE922" w14:textId="45244418" w:rsidR="00AC743A" w:rsidRDefault="00647542" w:rsidP="006A3374">
      <w:pPr>
        <w:spacing w:after="120" w:line="240" w:lineRule="auto"/>
        <w:jc w:val="both"/>
        <w:rPr>
          <w:rFonts w:ascii="Times New Roman" w:hAnsi="Times New Roman"/>
          <w:szCs w:val="22"/>
          <w:u w:val="single"/>
        </w:rPr>
      </w:pPr>
      <w:r w:rsidRPr="006A3374">
        <w:rPr>
          <w:rFonts w:ascii="Times New Roman" w:hAnsi="Times New Roman"/>
          <w:szCs w:val="22"/>
        </w:rPr>
        <w:t>Dane a</w:t>
      </w:r>
      <w:r w:rsidR="006A3374">
        <w:rPr>
          <w:rFonts w:ascii="Times New Roman" w:hAnsi="Times New Roman"/>
          <w:szCs w:val="22"/>
        </w:rPr>
        <w:t xml:space="preserve"> </w:t>
      </w:r>
      <w:r w:rsidRPr="006A3374">
        <w:rPr>
          <w:rFonts w:ascii="Times New Roman" w:hAnsi="Times New Roman"/>
          <w:szCs w:val="22"/>
        </w:rPr>
        <w:t xml:space="preserve">poplatky dosiahli sumu </w:t>
      </w:r>
      <w:r w:rsidR="002F4C47" w:rsidRPr="0085799C">
        <w:rPr>
          <w:rFonts w:ascii="Times New Roman" w:hAnsi="Times New Roman"/>
          <w:bCs/>
          <w:szCs w:val="22"/>
        </w:rPr>
        <w:t>36</w:t>
      </w:r>
      <w:r w:rsidR="006A3374">
        <w:rPr>
          <w:rFonts w:ascii="Times New Roman" w:hAnsi="Times New Roman"/>
          <w:bCs/>
          <w:szCs w:val="22"/>
        </w:rPr>
        <w:t> </w:t>
      </w:r>
      <w:r w:rsidR="002F4C47" w:rsidRPr="0085799C">
        <w:rPr>
          <w:rFonts w:ascii="Times New Roman" w:hAnsi="Times New Roman"/>
          <w:bCs/>
          <w:szCs w:val="22"/>
        </w:rPr>
        <w:t>001</w:t>
      </w:r>
      <w:r w:rsidRPr="006A3374">
        <w:rPr>
          <w:rFonts w:ascii="Times New Roman" w:hAnsi="Times New Roman"/>
          <w:szCs w:val="22"/>
        </w:rPr>
        <w:t> tis. eur a oproti roku 202</w:t>
      </w:r>
      <w:r w:rsidR="002F4C47" w:rsidRPr="0085799C">
        <w:rPr>
          <w:rFonts w:ascii="Times New Roman" w:hAnsi="Times New Roman"/>
          <w:bCs/>
          <w:szCs w:val="22"/>
        </w:rPr>
        <w:t>3</w:t>
      </w:r>
      <w:r w:rsidRPr="006A3374">
        <w:rPr>
          <w:rFonts w:ascii="Times New Roman" w:hAnsi="Times New Roman"/>
          <w:szCs w:val="22"/>
        </w:rPr>
        <w:t xml:space="preserve"> sa z</w:t>
      </w:r>
      <w:r w:rsidR="002F4C47" w:rsidRPr="0085799C">
        <w:rPr>
          <w:rFonts w:ascii="Times New Roman" w:hAnsi="Times New Roman"/>
          <w:bCs/>
          <w:szCs w:val="22"/>
        </w:rPr>
        <w:t>níž</w:t>
      </w:r>
      <w:r w:rsidRPr="006A3374">
        <w:rPr>
          <w:rFonts w:ascii="Times New Roman" w:hAnsi="Times New Roman"/>
          <w:szCs w:val="22"/>
        </w:rPr>
        <w:t>ili o</w:t>
      </w:r>
      <w:r w:rsidR="006A3374">
        <w:rPr>
          <w:rFonts w:ascii="Times New Roman" w:hAnsi="Times New Roman"/>
          <w:bCs/>
          <w:szCs w:val="22"/>
        </w:rPr>
        <w:t xml:space="preserve"> </w:t>
      </w:r>
      <w:r w:rsidR="002F4C47" w:rsidRPr="0085799C">
        <w:rPr>
          <w:rFonts w:ascii="Times New Roman" w:hAnsi="Times New Roman"/>
          <w:bCs/>
          <w:szCs w:val="22"/>
        </w:rPr>
        <w:t>4</w:t>
      </w:r>
      <w:r w:rsidR="006A3374">
        <w:rPr>
          <w:rFonts w:ascii="Times New Roman" w:hAnsi="Times New Roman"/>
          <w:bCs/>
          <w:szCs w:val="22"/>
        </w:rPr>
        <w:t> </w:t>
      </w:r>
      <w:r w:rsidR="002F4C47" w:rsidRPr="0085799C">
        <w:rPr>
          <w:rFonts w:ascii="Times New Roman" w:hAnsi="Times New Roman"/>
          <w:bCs/>
          <w:szCs w:val="22"/>
        </w:rPr>
        <w:t>432</w:t>
      </w:r>
      <w:r w:rsidRPr="006A3374">
        <w:rPr>
          <w:rFonts w:ascii="Times New Roman" w:hAnsi="Times New Roman"/>
          <w:szCs w:val="22"/>
        </w:rPr>
        <w:t> tis. eur</w:t>
      </w:r>
      <w:r w:rsidR="006A3374">
        <w:rPr>
          <w:rFonts w:ascii="Times New Roman" w:hAnsi="Times New Roman"/>
          <w:szCs w:val="22"/>
          <w:u w:val="single"/>
        </w:rPr>
        <w:t>.</w:t>
      </w:r>
    </w:p>
    <w:p w14:paraId="23E367FA" w14:textId="47BBFE10" w:rsidR="00AC743A" w:rsidRDefault="00647542" w:rsidP="006A3374">
      <w:pPr>
        <w:spacing w:after="120" w:line="240" w:lineRule="auto"/>
        <w:jc w:val="both"/>
        <w:rPr>
          <w:rFonts w:ascii="Times New Roman" w:hAnsi="Times New Roman"/>
          <w:color w:val="FF0000"/>
          <w:szCs w:val="22"/>
        </w:rPr>
      </w:pPr>
      <w:r w:rsidRPr="006A3374">
        <w:rPr>
          <w:rFonts w:ascii="Times New Roman" w:hAnsi="Times New Roman"/>
          <w:szCs w:val="22"/>
          <w:u w:val="single"/>
        </w:rPr>
        <w:t>Daň z</w:t>
      </w:r>
      <w:r w:rsidR="00AC743A">
        <w:rPr>
          <w:rFonts w:ascii="Times New Roman" w:hAnsi="Times New Roman"/>
          <w:szCs w:val="22"/>
          <w:u w:val="single"/>
        </w:rPr>
        <w:t xml:space="preserve"> </w:t>
      </w:r>
      <w:r w:rsidRPr="006A3374">
        <w:rPr>
          <w:rFonts w:ascii="Times New Roman" w:hAnsi="Times New Roman"/>
          <w:szCs w:val="22"/>
          <w:u w:val="single"/>
        </w:rPr>
        <w:t>motorových vozidiel</w:t>
      </w:r>
      <w:r w:rsidRPr="006A3374">
        <w:rPr>
          <w:rFonts w:ascii="Times New Roman" w:hAnsi="Times New Roman"/>
          <w:szCs w:val="22"/>
        </w:rPr>
        <w:t xml:space="preserve"> bola vykázaná v hodnote </w:t>
      </w:r>
      <w:r w:rsidR="0094779E" w:rsidRPr="0085799C">
        <w:rPr>
          <w:rFonts w:ascii="Times New Roman" w:hAnsi="Times New Roman"/>
          <w:bCs/>
          <w:szCs w:val="22"/>
        </w:rPr>
        <w:t>1</w:t>
      </w:r>
      <w:r w:rsidR="006A3374">
        <w:rPr>
          <w:rFonts w:ascii="Times New Roman" w:hAnsi="Times New Roman"/>
          <w:bCs/>
          <w:szCs w:val="22"/>
        </w:rPr>
        <w:t> </w:t>
      </w:r>
      <w:r w:rsidR="0094779E" w:rsidRPr="0085799C">
        <w:rPr>
          <w:rFonts w:ascii="Times New Roman" w:hAnsi="Times New Roman"/>
          <w:bCs/>
          <w:szCs w:val="22"/>
        </w:rPr>
        <w:t>433</w:t>
      </w:r>
      <w:r w:rsidR="006A3374">
        <w:rPr>
          <w:rFonts w:ascii="Times New Roman" w:hAnsi="Times New Roman"/>
          <w:szCs w:val="22"/>
        </w:rPr>
        <w:t> </w:t>
      </w:r>
      <w:r w:rsidRPr="006A3374">
        <w:rPr>
          <w:rFonts w:ascii="Times New Roman" w:hAnsi="Times New Roman"/>
          <w:szCs w:val="22"/>
        </w:rPr>
        <w:t>tis.</w:t>
      </w:r>
      <w:r w:rsidR="006A3374">
        <w:rPr>
          <w:rFonts w:ascii="Times New Roman" w:hAnsi="Times New Roman"/>
          <w:szCs w:val="22"/>
        </w:rPr>
        <w:t> </w:t>
      </w:r>
      <w:r w:rsidRPr="006A3374">
        <w:rPr>
          <w:rFonts w:ascii="Times New Roman" w:hAnsi="Times New Roman"/>
          <w:szCs w:val="22"/>
        </w:rPr>
        <w:t>eur ako nekonsolidovaná časť nákladov v rámci súhrnného celku, z</w:t>
      </w:r>
      <w:r w:rsidR="005D6E82">
        <w:rPr>
          <w:rFonts w:ascii="Times New Roman" w:hAnsi="Times New Roman"/>
          <w:szCs w:val="22"/>
        </w:rPr>
        <w:t xml:space="preserve"> </w:t>
      </w:r>
      <w:r w:rsidRPr="006A3374">
        <w:rPr>
          <w:rFonts w:ascii="Times New Roman" w:hAnsi="Times New Roman"/>
          <w:szCs w:val="22"/>
        </w:rPr>
        <w:t>toho najviac vykázali obce 1 </w:t>
      </w:r>
      <w:r w:rsidR="0094779E" w:rsidRPr="0085799C">
        <w:rPr>
          <w:rFonts w:ascii="Times New Roman" w:hAnsi="Times New Roman"/>
          <w:bCs/>
          <w:szCs w:val="22"/>
        </w:rPr>
        <w:t>033</w:t>
      </w:r>
      <w:r w:rsidRPr="006A3374">
        <w:rPr>
          <w:rFonts w:ascii="Times New Roman" w:hAnsi="Times New Roman"/>
          <w:szCs w:val="22"/>
        </w:rPr>
        <w:t> tis. eur.</w:t>
      </w:r>
    </w:p>
    <w:p w14:paraId="63637C48" w14:textId="160DE2D4" w:rsidR="00AC743A" w:rsidRDefault="00647542" w:rsidP="006A3374">
      <w:pPr>
        <w:spacing w:after="120" w:line="240" w:lineRule="auto"/>
        <w:jc w:val="both"/>
        <w:rPr>
          <w:rFonts w:ascii="Times New Roman" w:hAnsi="Times New Roman"/>
          <w:szCs w:val="22"/>
        </w:rPr>
      </w:pPr>
      <w:r w:rsidRPr="0085799C">
        <w:rPr>
          <w:rFonts w:ascii="Times New Roman" w:hAnsi="Times New Roman"/>
          <w:szCs w:val="22"/>
          <w:u w:val="single"/>
        </w:rPr>
        <w:t>Daň z</w:t>
      </w:r>
      <w:r w:rsidR="00AC743A">
        <w:rPr>
          <w:rFonts w:ascii="Times New Roman" w:hAnsi="Times New Roman"/>
          <w:szCs w:val="22"/>
          <w:u w:val="single"/>
        </w:rPr>
        <w:t xml:space="preserve"> </w:t>
      </w:r>
      <w:r w:rsidRPr="0085799C">
        <w:rPr>
          <w:rFonts w:ascii="Times New Roman" w:hAnsi="Times New Roman"/>
          <w:szCs w:val="22"/>
          <w:u w:val="single"/>
        </w:rPr>
        <w:t>nehnuteľností</w:t>
      </w:r>
      <w:r w:rsidRPr="006A3374">
        <w:rPr>
          <w:rFonts w:ascii="Times New Roman" w:hAnsi="Times New Roman"/>
          <w:szCs w:val="22"/>
        </w:rPr>
        <w:t>, ktorej príjemcom sú mestá a obce SR, bola úplne eliminovaná v identifikovanej výške, a</w:t>
      </w:r>
      <w:r w:rsidR="005D6E82">
        <w:rPr>
          <w:rFonts w:ascii="Times New Roman" w:hAnsi="Times New Roman"/>
          <w:szCs w:val="22"/>
        </w:rPr>
        <w:t xml:space="preserve"> </w:t>
      </w:r>
      <w:r w:rsidRPr="006A3374">
        <w:rPr>
          <w:rFonts w:ascii="Times New Roman" w:hAnsi="Times New Roman"/>
          <w:szCs w:val="22"/>
        </w:rPr>
        <w:t xml:space="preserve">to </w:t>
      </w:r>
      <w:r w:rsidR="003245FE" w:rsidRPr="0085799C">
        <w:rPr>
          <w:rFonts w:ascii="Times New Roman" w:hAnsi="Times New Roman"/>
          <w:bCs/>
          <w:szCs w:val="22"/>
        </w:rPr>
        <w:t>52</w:t>
      </w:r>
      <w:r w:rsidR="006A3374">
        <w:rPr>
          <w:rFonts w:ascii="Times New Roman" w:hAnsi="Times New Roman"/>
          <w:bCs/>
          <w:szCs w:val="22"/>
        </w:rPr>
        <w:t> </w:t>
      </w:r>
      <w:r w:rsidR="003245FE" w:rsidRPr="0085799C">
        <w:rPr>
          <w:rFonts w:ascii="Times New Roman" w:hAnsi="Times New Roman"/>
          <w:bCs/>
          <w:szCs w:val="22"/>
        </w:rPr>
        <w:t>058</w:t>
      </w:r>
      <w:r w:rsidRPr="006A3374">
        <w:rPr>
          <w:rFonts w:ascii="Times New Roman" w:hAnsi="Times New Roman"/>
          <w:szCs w:val="22"/>
        </w:rPr>
        <w:t xml:space="preserve"> tis. eur. </w:t>
      </w:r>
    </w:p>
    <w:p w14:paraId="2E5D42EC" w14:textId="3626EC43" w:rsidR="006A3374" w:rsidRPr="006A3374" w:rsidRDefault="00647542">
      <w:pPr>
        <w:spacing w:after="120" w:line="240" w:lineRule="auto"/>
        <w:jc w:val="both"/>
        <w:rPr>
          <w:rFonts w:ascii="Times New Roman" w:hAnsi="Times New Roman"/>
          <w:szCs w:val="22"/>
        </w:rPr>
      </w:pPr>
      <w:r w:rsidRPr="006A3374">
        <w:rPr>
          <w:rFonts w:ascii="Times New Roman" w:hAnsi="Times New Roman"/>
          <w:szCs w:val="22"/>
          <w:u w:val="single"/>
        </w:rPr>
        <w:t>Ostatné dane a</w:t>
      </w:r>
      <w:r w:rsidR="006A3374">
        <w:rPr>
          <w:rFonts w:ascii="Times New Roman" w:hAnsi="Times New Roman"/>
          <w:szCs w:val="22"/>
          <w:u w:val="single"/>
        </w:rPr>
        <w:t xml:space="preserve"> </w:t>
      </w:r>
      <w:r w:rsidRPr="006A3374">
        <w:rPr>
          <w:rFonts w:ascii="Times New Roman" w:hAnsi="Times New Roman"/>
          <w:szCs w:val="22"/>
          <w:u w:val="single"/>
        </w:rPr>
        <w:t>poplatky</w:t>
      </w:r>
      <w:r w:rsidRPr="006A3374">
        <w:rPr>
          <w:rFonts w:ascii="Times New Roman" w:hAnsi="Times New Roman"/>
          <w:szCs w:val="22"/>
        </w:rPr>
        <w:t xml:space="preserve"> boli vykázané v</w:t>
      </w:r>
      <w:r w:rsidR="005D6E82">
        <w:rPr>
          <w:rFonts w:ascii="Times New Roman" w:hAnsi="Times New Roman"/>
          <w:szCs w:val="22"/>
        </w:rPr>
        <w:t xml:space="preserve"> </w:t>
      </w:r>
      <w:r w:rsidRPr="006A3374">
        <w:rPr>
          <w:rFonts w:ascii="Times New Roman" w:hAnsi="Times New Roman"/>
          <w:szCs w:val="22"/>
        </w:rPr>
        <w:t xml:space="preserve">sume </w:t>
      </w:r>
      <w:r w:rsidR="003245FE" w:rsidRPr="0085799C">
        <w:rPr>
          <w:rFonts w:ascii="Times New Roman" w:hAnsi="Times New Roman"/>
          <w:bCs/>
          <w:szCs w:val="22"/>
        </w:rPr>
        <w:t>34</w:t>
      </w:r>
      <w:r w:rsidR="006A3374">
        <w:rPr>
          <w:rFonts w:ascii="Times New Roman" w:hAnsi="Times New Roman"/>
          <w:bCs/>
          <w:szCs w:val="22"/>
        </w:rPr>
        <w:t> </w:t>
      </w:r>
      <w:r w:rsidR="003245FE" w:rsidRPr="0085799C">
        <w:rPr>
          <w:rFonts w:ascii="Times New Roman" w:hAnsi="Times New Roman"/>
          <w:bCs/>
          <w:szCs w:val="22"/>
        </w:rPr>
        <w:t>568</w:t>
      </w:r>
      <w:r w:rsidRPr="006A3374">
        <w:rPr>
          <w:rFonts w:ascii="Times New Roman" w:hAnsi="Times New Roman"/>
          <w:szCs w:val="22"/>
        </w:rPr>
        <w:t xml:space="preserve"> tis. eur, čo je medziročný </w:t>
      </w:r>
      <w:r w:rsidR="001B72F3" w:rsidRPr="0085799C">
        <w:rPr>
          <w:rFonts w:ascii="Times New Roman" w:hAnsi="Times New Roman"/>
          <w:bCs/>
          <w:szCs w:val="22"/>
        </w:rPr>
        <w:t>pokles</w:t>
      </w:r>
      <w:r w:rsidRPr="006A3374">
        <w:rPr>
          <w:rFonts w:ascii="Times New Roman" w:hAnsi="Times New Roman"/>
          <w:szCs w:val="22"/>
        </w:rPr>
        <w:t xml:space="preserve"> o</w:t>
      </w:r>
      <w:r w:rsidR="006A3374">
        <w:rPr>
          <w:rFonts w:ascii="Times New Roman" w:hAnsi="Times New Roman"/>
          <w:szCs w:val="22"/>
        </w:rPr>
        <w:t xml:space="preserve"> </w:t>
      </w:r>
      <w:r w:rsidR="001B72F3" w:rsidRPr="0085799C">
        <w:rPr>
          <w:rFonts w:ascii="Times New Roman" w:hAnsi="Times New Roman"/>
          <w:bCs/>
          <w:szCs w:val="22"/>
        </w:rPr>
        <w:t>4 408</w:t>
      </w:r>
      <w:r w:rsidR="006A3374">
        <w:rPr>
          <w:rFonts w:ascii="Times New Roman" w:hAnsi="Times New Roman"/>
          <w:bCs/>
          <w:szCs w:val="22"/>
        </w:rPr>
        <w:t> </w:t>
      </w:r>
      <w:r w:rsidRPr="006A3374">
        <w:rPr>
          <w:rFonts w:ascii="Times New Roman" w:hAnsi="Times New Roman"/>
          <w:szCs w:val="22"/>
        </w:rPr>
        <w:t>tis. eur. Ide najmä o miestne dane a poplatky, ktoré neboli predmetom eliminácie.</w:t>
      </w:r>
    </w:p>
    <w:p w14:paraId="219B9366" w14:textId="77777777" w:rsidR="006A3374" w:rsidRPr="006A3374" w:rsidRDefault="006A3374">
      <w:pPr>
        <w:spacing w:after="120" w:line="240" w:lineRule="auto"/>
        <w:jc w:val="both"/>
        <w:rPr>
          <w:rFonts w:ascii="Times New Roman" w:hAnsi="Times New Roman"/>
          <w:szCs w:val="22"/>
        </w:rPr>
      </w:pPr>
    </w:p>
    <w:p w14:paraId="07AEC697" w14:textId="77777777" w:rsidR="006A3374" w:rsidRPr="006A3374" w:rsidRDefault="006A3374">
      <w:pPr>
        <w:spacing w:after="120" w:line="240" w:lineRule="auto"/>
        <w:jc w:val="both"/>
        <w:rPr>
          <w:rFonts w:ascii="Times New Roman" w:hAnsi="Times New Roman"/>
          <w:szCs w:val="22"/>
        </w:rPr>
      </w:pPr>
    </w:p>
    <w:p w14:paraId="004FE2BC" w14:textId="77777777" w:rsidR="006A3374" w:rsidRPr="006A3374" w:rsidRDefault="006A3374">
      <w:pPr>
        <w:spacing w:after="120" w:line="240" w:lineRule="auto"/>
        <w:jc w:val="both"/>
        <w:rPr>
          <w:rFonts w:ascii="Times New Roman" w:hAnsi="Times New Roman"/>
          <w:szCs w:val="22"/>
        </w:rPr>
      </w:pPr>
    </w:p>
    <w:p w14:paraId="61930862" w14:textId="77777777" w:rsidR="006A3374" w:rsidRPr="006A3374" w:rsidRDefault="006A3374">
      <w:pPr>
        <w:spacing w:after="120" w:line="240" w:lineRule="auto"/>
        <w:jc w:val="both"/>
        <w:rPr>
          <w:rFonts w:ascii="Times New Roman" w:hAnsi="Times New Roman"/>
          <w:szCs w:val="22"/>
        </w:rPr>
      </w:pPr>
    </w:p>
    <w:p w14:paraId="30D7BBB5" w14:textId="77777777" w:rsidR="006A3374" w:rsidRPr="006A3374" w:rsidRDefault="006A3374">
      <w:pPr>
        <w:spacing w:after="120" w:line="240" w:lineRule="auto"/>
        <w:jc w:val="both"/>
        <w:rPr>
          <w:rFonts w:ascii="Times New Roman" w:hAnsi="Times New Roman"/>
          <w:szCs w:val="22"/>
        </w:rPr>
      </w:pPr>
    </w:p>
    <w:p w14:paraId="0A12EC46" w14:textId="77777777" w:rsidR="006A3374" w:rsidRPr="006A3374" w:rsidRDefault="006A3374">
      <w:pPr>
        <w:spacing w:after="120" w:line="240" w:lineRule="auto"/>
        <w:jc w:val="both"/>
        <w:rPr>
          <w:rFonts w:ascii="Times New Roman" w:hAnsi="Times New Roman"/>
          <w:szCs w:val="22"/>
        </w:rPr>
      </w:pPr>
    </w:p>
    <w:p w14:paraId="5B5CF4B9" w14:textId="77777777" w:rsidR="006A3374" w:rsidRPr="006A3374" w:rsidRDefault="006A3374">
      <w:pPr>
        <w:spacing w:after="120" w:line="240" w:lineRule="auto"/>
        <w:jc w:val="both"/>
        <w:rPr>
          <w:rFonts w:ascii="Times New Roman" w:hAnsi="Times New Roman"/>
          <w:szCs w:val="22"/>
        </w:rPr>
      </w:pPr>
    </w:p>
    <w:p w14:paraId="6AD3E9F4" w14:textId="77777777" w:rsidR="006A3374" w:rsidRPr="006A3374" w:rsidRDefault="006A3374">
      <w:pPr>
        <w:spacing w:after="120" w:line="240" w:lineRule="auto"/>
        <w:jc w:val="both"/>
        <w:rPr>
          <w:rFonts w:ascii="Times New Roman" w:hAnsi="Times New Roman"/>
          <w:szCs w:val="22"/>
        </w:rPr>
      </w:pPr>
    </w:p>
    <w:p w14:paraId="014EB8B8" w14:textId="77777777" w:rsidR="006A3374" w:rsidRPr="006A3374" w:rsidRDefault="006A3374">
      <w:pPr>
        <w:spacing w:after="120" w:line="240" w:lineRule="auto"/>
        <w:jc w:val="both"/>
        <w:rPr>
          <w:rFonts w:ascii="Times New Roman" w:hAnsi="Times New Roman"/>
          <w:szCs w:val="22"/>
        </w:rPr>
      </w:pPr>
    </w:p>
    <w:p w14:paraId="621246F3" w14:textId="77777777" w:rsidR="006A3374" w:rsidRPr="006A3374" w:rsidRDefault="006A3374">
      <w:pPr>
        <w:spacing w:after="120" w:line="240" w:lineRule="auto"/>
        <w:jc w:val="both"/>
        <w:rPr>
          <w:rFonts w:ascii="Times New Roman" w:hAnsi="Times New Roman"/>
          <w:szCs w:val="22"/>
        </w:rPr>
      </w:pPr>
    </w:p>
    <w:p w14:paraId="059CE8FC" w14:textId="77777777" w:rsidR="006A3374" w:rsidRPr="006A3374" w:rsidRDefault="006A3374">
      <w:pPr>
        <w:spacing w:after="120" w:line="240" w:lineRule="auto"/>
        <w:jc w:val="both"/>
        <w:rPr>
          <w:rFonts w:ascii="Times New Roman" w:hAnsi="Times New Roman"/>
          <w:szCs w:val="22"/>
        </w:rPr>
      </w:pPr>
    </w:p>
    <w:p w14:paraId="1D540172" w14:textId="695DBFA8" w:rsidR="00647542" w:rsidRPr="00E54A45" w:rsidRDefault="00F7237A" w:rsidP="0085799C">
      <w:pPr>
        <w:pStyle w:val="IHLAVN"/>
      </w:pPr>
      <w:r w:rsidRPr="00E54A45">
        <w:lastRenderedPageBreak/>
        <w:t xml:space="preserve">IV. </w:t>
      </w:r>
      <w:r w:rsidR="00647542" w:rsidRPr="00E54A45">
        <w:t>Informácie o</w:t>
      </w:r>
      <w:r w:rsidR="005D6E82">
        <w:t xml:space="preserve"> </w:t>
      </w:r>
      <w:r w:rsidR="00272350" w:rsidRPr="00E54A45">
        <w:t>iných aktívach a</w:t>
      </w:r>
      <w:r w:rsidR="005D6E82">
        <w:t xml:space="preserve"> </w:t>
      </w:r>
      <w:r w:rsidR="00272350" w:rsidRPr="00E54A45">
        <w:t>iných pasívach</w:t>
      </w:r>
    </w:p>
    <w:p w14:paraId="0F2A2003" w14:textId="32A7FD68" w:rsidR="00C86D48" w:rsidRPr="0085799C" w:rsidRDefault="00C86D48" w:rsidP="0085799C">
      <w:pPr>
        <w:pStyle w:val="Nadpis2"/>
        <w:rPr>
          <w:b w:val="0"/>
        </w:rPr>
      </w:pPr>
      <w:r w:rsidRPr="0085799C">
        <w:t>Iné aktíva</w:t>
      </w:r>
    </w:p>
    <w:p w14:paraId="63477299" w14:textId="04A84719" w:rsidR="00647542" w:rsidRPr="00BB0D4F" w:rsidRDefault="00647542" w:rsidP="0085799C">
      <w:pPr>
        <w:spacing w:after="120" w:line="240" w:lineRule="auto"/>
        <w:jc w:val="both"/>
        <w:rPr>
          <w:rFonts w:ascii="Times New Roman" w:hAnsi="Times New Roman"/>
          <w:szCs w:val="22"/>
        </w:rPr>
      </w:pPr>
      <w:r w:rsidRPr="00BB0D4F">
        <w:rPr>
          <w:rFonts w:ascii="Times New Roman" w:hAnsi="Times New Roman"/>
          <w:szCs w:val="22"/>
        </w:rPr>
        <w:t>Ako iné aktíva sa vykazuje hodnota aktív, ktorými sa rozumie možný majetok, ktorý vznikol v dôsledku minulých udalostí, a ktorého existencia alebo ekonomický benefit plynúci z neho závisí od toho, či nastane alebo nenastane jedna alebo viac neistých udalostí v budúcnosti. Vznik týchto udalostí pritom nezávisí o</w:t>
      </w:r>
      <w:r w:rsidR="00145C48" w:rsidRPr="00BB0D4F">
        <w:rPr>
          <w:rFonts w:ascii="Times New Roman" w:hAnsi="Times New Roman"/>
          <w:szCs w:val="22"/>
        </w:rPr>
        <w:t>d</w:t>
      </w:r>
      <w:r w:rsidR="00615E48" w:rsidRPr="00BB0D4F">
        <w:rPr>
          <w:rFonts w:ascii="Times New Roman" w:hAnsi="Times New Roman"/>
          <w:szCs w:val="22"/>
        </w:rPr>
        <w:t> </w:t>
      </w:r>
      <w:r w:rsidRPr="00BB0D4F">
        <w:rPr>
          <w:rFonts w:ascii="Times New Roman" w:hAnsi="Times New Roman"/>
          <w:szCs w:val="22"/>
        </w:rPr>
        <w:t>účtovnej</w:t>
      </w:r>
      <w:r w:rsidR="00615E48" w:rsidRPr="00BB0D4F">
        <w:rPr>
          <w:rFonts w:ascii="Times New Roman" w:hAnsi="Times New Roman"/>
          <w:szCs w:val="22"/>
        </w:rPr>
        <w:t xml:space="preserve"> </w:t>
      </w:r>
      <w:r w:rsidRPr="00BB0D4F">
        <w:rPr>
          <w:rFonts w:ascii="Times New Roman" w:hAnsi="Times New Roman"/>
          <w:szCs w:val="22"/>
        </w:rPr>
        <w:t>jednotky.</w:t>
      </w:r>
      <w:r w:rsidR="00923242">
        <w:rPr>
          <w:rFonts w:ascii="Times New Roman" w:hAnsi="Times New Roman"/>
          <w:szCs w:val="22"/>
        </w:rPr>
        <w:t xml:space="preserve"> </w:t>
      </w:r>
      <w:r w:rsidR="00923242" w:rsidRPr="0085799C">
        <w:rPr>
          <w:rFonts w:ascii="Times New Roman" w:hAnsi="Times New Roman"/>
          <w:bCs/>
          <w:szCs w:val="22"/>
        </w:rPr>
        <w:t>Iné aktíva</w:t>
      </w:r>
      <w:r w:rsidR="00923242" w:rsidRPr="00BB0D4F">
        <w:rPr>
          <w:rFonts w:ascii="Times New Roman" w:hAnsi="Times New Roman"/>
          <w:szCs w:val="22"/>
        </w:rPr>
        <w:t xml:space="preserve"> súhrnného celku predstavujú najmä možné príjmy zo súdnych sporov, finančné nároky zo zmlúv, prírodné bohatstvo, historické a kultúrne pamiatky, ktorých hodnota sa však ťažko vyčísluje.</w:t>
      </w:r>
    </w:p>
    <w:p w14:paraId="46F53538" w14:textId="1C3ACB3A" w:rsidR="00CB0A1F" w:rsidRPr="00BB0D4F" w:rsidRDefault="00CB0A1F" w:rsidP="0085799C">
      <w:pPr>
        <w:spacing w:after="120" w:line="240" w:lineRule="auto"/>
        <w:jc w:val="both"/>
        <w:rPr>
          <w:rFonts w:ascii="Times New Roman" w:hAnsi="Times New Roman"/>
          <w:szCs w:val="22"/>
        </w:rPr>
      </w:pPr>
      <w:r w:rsidRPr="00BB0D4F">
        <w:rPr>
          <w:rFonts w:ascii="Times New Roman" w:hAnsi="Times New Roman"/>
          <w:szCs w:val="22"/>
        </w:rPr>
        <w:t xml:space="preserve">Od roku 2017 je súčasťou podmienených aktív aj hodnota lesných porastov uvedená v poznámkach účtovnej závierky </w:t>
      </w:r>
      <w:r w:rsidR="00C9653B" w:rsidRPr="00BB0D4F">
        <w:rPr>
          <w:rFonts w:ascii="Times New Roman" w:hAnsi="Times New Roman"/>
          <w:szCs w:val="22"/>
        </w:rPr>
        <w:t>účtovnej jednotky LESY Slovenskej republiky, štátny podnik</w:t>
      </w:r>
      <w:r w:rsidRPr="00BB0D4F">
        <w:rPr>
          <w:rFonts w:ascii="Times New Roman" w:hAnsi="Times New Roman"/>
          <w:szCs w:val="22"/>
        </w:rPr>
        <w:t xml:space="preserve">, ktorá je pravidelne aktualizovaná znalcom Národného lesníckeho centra. Toto iné aktívum tvorí 34,2 % doteraz identifikovaných </w:t>
      </w:r>
      <w:proofErr w:type="spellStart"/>
      <w:r w:rsidRPr="00BB0D4F">
        <w:rPr>
          <w:rFonts w:ascii="Times New Roman" w:hAnsi="Times New Roman"/>
          <w:szCs w:val="22"/>
        </w:rPr>
        <w:t>mimobilančných</w:t>
      </w:r>
      <w:proofErr w:type="spellEnd"/>
      <w:r w:rsidRPr="00BB0D4F">
        <w:rPr>
          <w:rFonts w:ascii="Times New Roman" w:hAnsi="Times New Roman"/>
          <w:szCs w:val="22"/>
        </w:rPr>
        <w:t xml:space="preserve"> aktív verejnej správy. Druhým najväčším podmieneným aktívom – 30,8 %, sú pohľadávky postúpené z bankových inštitúcií alebo verejných inštitúcií na vymáhanie Slovenskej konsolidačnej, a. s., ktorá ich na základe príslušnej legislatívy vymáha a uplatňuje si z nich exekučné nároky.</w:t>
      </w:r>
    </w:p>
    <w:p w14:paraId="52830F91" w14:textId="120D2373" w:rsidR="00BB37B3" w:rsidRPr="0085799C" w:rsidRDefault="00D0380F" w:rsidP="0085799C">
      <w:pPr>
        <w:spacing w:after="120" w:line="240" w:lineRule="auto"/>
        <w:jc w:val="both"/>
        <w:rPr>
          <w:rFonts w:ascii="Times New Roman" w:hAnsi="Times New Roman"/>
          <w:b/>
          <w:bCs/>
          <w:sz w:val="18"/>
          <w:szCs w:val="18"/>
        </w:rPr>
      </w:pPr>
      <w:r w:rsidRPr="0085799C">
        <w:rPr>
          <w:rFonts w:ascii="Times New Roman" w:hAnsi="Times New Roman"/>
          <w:b/>
          <w:bCs/>
          <w:sz w:val="18"/>
          <w:szCs w:val="18"/>
        </w:rPr>
        <w:t>Tabuľka 26</w:t>
      </w:r>
    </w:p>
    <w:tbl>
      <w:tblPr>
        <w:tblW w:w="9072" w:type="dxa"/>
        <w:jc w:val="center"/>
        <w:tblCellMar>
          <w:left w:w="70" w:type="dxa"/>
          <w:right w:w="70" w:type="dxa"/>
        </w:tblCellMar>
        <w:tblLook w:val="04A0" w:firstRow="1" w:lastRow="0" w:firstColumn="1" w:lastColumn="0" w:noHBand="0" w:noVBand="1"/>
      </w:tblPr>
      <w:tblGrid>
        <w:gridCol w:w="5618"/>
        <w:gridCol w:w="1152"/>
        <w:gridCol w:w="1152"/>
        <w:gridCol w:w="1150"/>
      </w:tblGrid>
      <w:tr w:rsidR="00B17EE3" w:rsidRPr="001567C8" w14:paraId="65E89043" w14:textId="77777777" w:rsidTr="0085799C">
        <w:trPr>
          <w:trHeight w:val="227"/>
          <w:jc w:val="center"/>
        </w:trPr>
        <w:tc>
          <w:tcPr>
            <w:tcW w:w="3096" w:type="pct"/>
            <w:tcBorders>
              <w:top w:val="single" w:sz="4" w:space="0" w:color="auto"/>
              <w:left w:val="nil"/>
              <w:bottom w:val="single" w:sz="4" w:space="0" w:color="auto"/>
              <w:right w:val="nil"/>
            </w:tcBorders>
            <w:shd w:val="clear" w:color="000000" w:fill="FABF8F"/>
            <w:vAlign w:val="center"/>
            <w:hideMark/>
          </w:tcPr>
          <w:p w14:paraId="617335F0" w14:textId="77777777" w:rsidR="00B17EE3" w:rsidRPr="00B17EE3" w:rsidRDefault="00B17EE3" w:rsidP="00B17EE3">
            <w:pPr>
              <w:spacing w:after="0" w:line="240" w:lineRule="auto"/>
              <w:rPr>
                <w:rFonts w:ascii="Times New Roman" w:hAnsi="Times New Roman"/>
                <w:b/>
                <w:bCs/>
                <w:color w:val="000000"/>
                <w:sz w:val="18"/>
                <w:szCs w:val="18"/>
                <w:lang w:eastAsia="sk-SK"/>
              </w:rPr>
            </w:pPr>
            <w:r w:rsidRPr="00B17EE3">
              <w:rPr>
                <w:rFonts w:ascii="Times New Roman" w:hAnsi="Times New Roman"/>
                <w:b/>
                <w:bCs/>
                <w:color w:val="000000"/>
                <w:sz w:val="18"/>
                <w:szCs w:val="18"/>
                <w:lang w:eastAsia="sk-SK"/>
              </w:rPr>
              <w:t>Podmienené aktíva podľa zložiek verejného sektora</w:t>
            </w:r>
          </w:p>
        </w:tc>
        <w:tc>
          <w:tcPr>
            <w:tcW w:w="635" w:type="pct"/>
            <w:tcBorders>
              <w:top w:val="single" w:sz="4" w:space="0" w:color="auto"/>
              <w:left w:val="nil"/>
              <w:bottom w:val="single" w:sz="4" w:space="0" w:color="auto"/>
              <w:right w:val="nil"/>
            </w:tcBorders>
            <w:shd w:val="clear" w:color="000000" w:fill="FABF8F"/>
            <w:vAlign w:val="center"/>
            <w:hideMark/>
          </w:tcPr>
          <w:p w14:paraId="1BE93086" w14:textId="77777777" w:rsidR="00B17EE3" w:rsidRPr="00B17EE3" w:rsidRDefault="00B17EE3" w:rsidP="00B17EE3">
            <w:pPr>
              <w:spacing w:after="0" w:line="240" w:lineRule="auto"/>
              <w:jc w:val="center"/>
              <w:rPr>
                <w:rFonts w:ascii="Times New Roman" w:hAnsi="Times New Roman"/>
                <w:b/>
                <w:bCs/>
                <w:color w:val="000000"/>
                <w:sz w:val="18"/>
                <w:szCs w:val="18"/>
                <w:lang w:eastAsia="sk-SK"/>
              </w:rPr>
            </w:pPr>
            <w:r w:rsidRPr="00B17EE3">
              <w:rPr>
                <w:rFonts w:ascii="Times New Roman" w:hAnsi="Times New Roman"/>
                <w:b/>
                <w:bCs/>
                <w:color w:val="000000"/>
                <w:sz w:val="18"/>
                <w:szCs w:val="18"/>
                <w:lang w:eastAsia="sk-SK"/>
              </w:rPr>
              <w:t> </w:t>
            </w:r>
          </w:p>
        </w:tc>
        <w:tc>
          <w:tcPr>
            <w:tcW w:w="635" w:type="pct"/>
            <w:tcBorders>
              <w:top w:val="single" w:sz="4" w:space="0" w:color="auto"/>
              <w:left w:val="nil"/>
              <w:bottom w:val="single" w:sz="4" w:space="0" w:color="auto"/>
              <w:right w:val="nil"/>
            </w:tcBorders>
            <w:shd w:val="clear" w:color="000000" w:fill="FABF8F"/>
            <w:vAlign w:val="center"/>
            <w:hideMark/>
          </w:tcPr>
          <w:p w14:paraId="5BF75394" w14:textId="77777777" w:rsidR="00B17EE3" w:rsidRPr="00B17EE3" w:rsidRDefault="00B17EE3" w:rsidP="00B17EE3">
            <w:pPr>
              <w:spacing w:after="0" w:line="240" w:lineRule="auto"/>
              <w:jc w:val="center"/>
              <w:rPr>
                <w:rFonts w:ascii="Times New Roman" w:hAnsi="Times New Roman"/>
                <w:b/>
                <w:bCs/>
                <w:color w:val="000000"/>
                <w:sz w:val="18"/>
                <w:szCs w:val="18"/>
                <w:lang w:eastAsia="sk-SK"/>
              </w:rPr>
            </w:pPr>
            <w:r w:rsidRPr="00B17EE3">
              <w:rPr>
                <w:rFonts w:ascii="Times New Roman" w:hAnsi="Times New Roman"/>
                <w:b/>
                <w:bCs/>
                <w:color w:val="000000"/>
                <w:sz w:val="18"/>
                <w:szCs w:val="18"/>
                <w:lang w:eastAsia="sk-SK"/>
              </w:rPr>
              <w:t>(v tis. eur)</w:t>
            </w:r>
          </w:p>
        </w:tc>
        <w:tc>
          <w:tcPr>
            <w:tcW w:w="635" w:type="pct"/>
            <w:tcBorders>
              <w:top w:val="single" w:sz="4" w:space="0" w:color="auto"/>
              <w:left w:val="nil"/>
              <w:bottom w:val="single" w:sz="4" w:space="0" w:color="auto"/>
              <w:right w:val="nil"/>
            </w:tcBorders>
            <w:shd w:val="clear" w:color="000000" w:fill="FABF8F"/>
            <w:vAlign w:val="center"/>
            <w:hideMark/>
          </w:tcPr>
          <w:p w14:paraId="3A4E38DF" w14:textId="77777777" w:rsidR="00B17EE3" w:rsidRPr="00B17EE3" w:rsidRDefault="00B17EE3" w:rsidP="00B17EE3">
            <w:pPr>
              <w:spacing w:after="0" w:line="240" w:lineRule="auto"/>
              <w:jc w:val="center"/>
              <w:rPr>
                <w:rFonts w:ascii="Times New Roman" w:hAnsi="Times New Roman"/>
                <w:b/>
                <w:bCs/>
                <w:color w:val="000000"/>
                <w:sz w:val="18"/>
                <w:szCs w:val="18"/>
                <w:lang w:eastAsia="sk-SK"/>
              </w:rPr>
            </w:pPr>
            <w:r w:rsidRPr="00B17EE3">
              <w:rPr>
                <w:rFonts w:ascii="Times New Roman" w:hAnsi="Times New Roman"/>
                <w:b/>
                <w:bCs/>
                <w:color w:val="000000"/>
                <w:sz w:val="18"/>
                <w:szCs w:val="18"/>
                <w:lang w:eastAsia="sk-SK"/>
              </w:rPr>
              <w:t> </w:t>
            </w:r>
          </w:p>
        </w:tc>
      </w:tr>
      <w:tr w:rsidR="00B17EE3" w:rsidRPr="001567C8" w14:paraId="7BF55A8A" w14:textId="77777777" w:rsidTr="0085799C">
        <w:trPr>
          <w:trHeight w:val="227"/>
          <w:jc w:val="center"/>
        </w:trPr>
        <w:tc>
          <w:tcPr>
            <w:tcW w:w="3096" w:type="pct"/>
            <w:tcBorders>
              <w:top w:val="nil"/>
              <w:left w:val="nil"/>
              <w:bottom w:val="single" w:sz="4" w:space="0" w:color="auto"/>
              <w:right w:val="nil"/>
            </w:tcBorders>
            <w:shd w:val="clear" w:color="000000" w:fill="B8CCE4"/>
            <w:vAlign w:val="center"/>
            <w:hideMark/>
          </w:tcPr>
          <w:p w14:paraId="25F33E99" w14:textId="77777777" w:rsidR="00B17EE3" w:rsidRPr="00B17EE3" w:rsidRDefault="00B17EE3" w:rsidP="00B17EE3">
            <w:pPr>
              <w:spacing w:after="0" w:line="240" w:lineRule="auto"/>
              <w:rPr>
                <w:rFonts w:ascii="Times New Roman" w:hAnsi="Times New Roman"/>
                <w:color w:val="000000"/>
                <w:sz w:val="20"/>
                <w:szCs w:val="20"/>
                <w:lang w:eastAsia="sk-SK"/>
              </w:rPr>
            </w:pPr>
            <w:r w:rsidRPr="00B17EE3">
              <w:rPr>
                <w:rFonts w:ascii="Times New Roman" w:hAnsi="Times New Roman"/>
                <w:color w:val="000000"/>
                <w:sz w:val="20"/>
                <w:szCs w:val="20"/>
                <w:lang w:eastAsia="sk-SK"/>
              </w:rPr>
              <w:t> </w:t>
            </w:r>
          </w:p>
        </w:tc>
        <w:tc>
          <w:tcPr>
            <w:tcW w:w="635" w:type="pct"/>
            <w:tcBorders>
              <w:top w:val="nil"/>
              <w:left w:val="nil"/>
              <w:bottom w:val="single" w:sz="4" w:space="0" w:color="auto"/>
              <w:right w:val="nil"/>
            </w:tcBorders>
            <w:shd w:val="clear" w:color="000000" w:fill="B8CCE4"/>
            <w:vAlign w:val="center"/>
            <w:hideMark/>
          </w:tcPr>
          <w:p w14:paraId="7FB52867" w14:textId="77777777" w:rsidR="00B17EE3" w:rsidRPr="00B17EE3" w:rsidRDefault="00B17EE3" w:rsidP="00B17EE3">
            <w:pPr>
              <w:spacing w:after="0" w:line="240" w:lineRule="auto"/>
              <w:jc w:val="center"/>
              <w:rPr>
                <w:rFonts w:ascii="Times New Roman" w:hAnsi="Times New Roman"/>
                <w:b/>
                <w:bCs/>
                <w:color w:val="000000"/>
                <w:sz w:val="18"/>
                <w:szCs w:val="18"/>
                <w:lang w:eastAsia="sk-SK"/>
              </w:rPr>
            </w:pPr>
            <w:r w:rsidRPr="00B17EE3">
              <w:rPr>
                <w:rFonts w:ascii="Times New Roman" w:hAnsi="Times New Roman"/>
                <w:b/>
                <w:bCs/>
                <w:color w:val="000000"/>
                <w:sz w:val="18"/>
                <w:szCs w:val="18"/>
                <w:lang w:eastAsia="sk-SK"/>
              </w:rPr>
              <w:t>2024</w:t>
            </w:r>
          </w:p>
        </w:tc>
        <w:tc>
          <w:tcPr>
            <w:tcW w:w="635" w:type="pct"/>
            <w:tcBorders>
              <w:top w:val="nil"/>
              <w:left w:val="nil"/>
              <w:bottom w:val="single" w:sz="4" w:space="0" w:color="auto"/>
              <w:right w:val="nil"/>
            </w:tcBorders>
            <w:shd w:val="clear" w:color="000000" w:fill="B8CCE4"/>
            <w:vAlign w:val="center"/>
            <w:hideMark/>
          </w:tcPr>
          <w:p w14:paraId="63DBF9CB" w14:textId="77777777" w:rsidR="00B17EE3" w:rsidRPr="00B17EE3" w:rsidRDefault="00B17EE3" w:rsidP="00B17EE3">
            <w:pPr>
              <w:spacing w:after="0" w:line="240" w:lineRule="auto"/>
              <w:jc w:val="center"/>
              <w:rPr>
                <w:rFonts w:ascii="Times New Roman" w:hAnsi="Times New Roman"/>
                <w:b/>
                <w:bCs/>
                <w:color w:val="000000"/>
                <w:sz w:val="18"/>
                <w:szCs w:val="18"/>
                <w:lang w:eastAsia="sk-SK"/>
              </w:rPr>
            </w:pPr>
            <w:r w:rsidRPr="00B17EE3">
              <w:rPr>
                <w:rFonts w:ascii="Times New Roman" w:hAnsi="Times New Roman"/>
                <w:b/>
                <w:bCs/>
                <w:color w:val="000000"/>
                <w:sz w:val="18"/>
                <w:szCs w:val="18"/>
                <w:lang w:eastAsia="sk-SK"/>
              </w:rPr>
              <w:t>2023</w:t>
            </w:r>
          </w:p>
        </w:tc>
        <w:tc>
          <w:tcPr>
            <w:tcW w:w="635" w:type="pct"/>
            <w:tcBorders>
              <w:top w:val="nil"/>
              <w:left w:val="nil"/>
              <w:bottom w:val="single" w:sz="4" w:space="0" w:color="auto"/>
              <w:right w:val="nil"/>
            </w:tcBorders>
            <w:shd w:val="clear" w:color="000000" w:fill="B8CCE4"/>
            <w:vAlign w:val="center"/>
            <w:hideMark/>
          </w:tcPr>
          <w:p w14:paraId="090ABCB0" w14:textId="77777777" w:rsidR="00B17EE3" w:rsidRPr="00B17EE3" w:rsidRDefault="00B17EE3" w:rsidP="00B17EE3">
            <w:pPr>
              <w:spacing w:after="0" w:line="240" w:lineRule="auto"/>
              <w:jc w:val="center"/>
              <w:rPr>
                <w:rFonts w:ascii="Times New Roman" w:hAnsi="Times New Roman"/>
                <w:b/>
                <w:bCs/>
                <w:color w:val="000000"/>
                <w:sz w:val="18"/>
                <w:szCs w:val="18"/>
                <w:lang w:eastAsia="sk-SK"/>
              </w:rPr>
            </w:pPr>
            <w:r w:rsidRPr="00B17EE3">
              <w:rPr>
                <w:rFonts w:ascii="Times New Roman" w:hAnsi="Times New Roman"/>
                <w:b/>
                <w:bCs/>
                <w:color w:val="000000"/>
                <w:sz w:val="18"/>
                <w:szCs w:val="18"/>
                <w:lang w:eastAsia="sk-SK"/>
              </w:rPr>
              <w:t>Δ 2024-2023</w:t>
            </w:r>
          </w:p>
        </w:tc>
      </w:tr>
      <w:tr w:rsidR="00B17EE3" w:rsidRPr="001567C8" w14:paraId="36F8756C" w14:textId="77777777" w:rsidTr="0085799C">
        <w:trPr>
          <w:trHeight w:val="227"/>
          <w:jc w:val="center"/>
        </w:trPr>
        <w:tc>
          <w:tcPr>
            <w:tcW w:w="3096" w:type="pct"/>
            <w:tcBorders>
              <w:top w:val="nil"/>
              <w:left w:val="nil"/>
              <w:bottom w:val="nil"/>
              <w:right w:val="nil"/>
            </w:tcBorders>
            <w:vAlign w:val="center"/>
            <w:hideMark/>
          </w:tcPr>
          <w:p w14:paraId="0E9F5F97" w14:textId="77777777" w:rsidR="00B17EE3" w:rsidRPr="00B17EE3" w:rsidRDefault="00B17EE3" w:rsidP="00B17EE3">
            <w:pPr>
              <w:spacing w:after="0" w:line="240" w:lineRule="auto"/>
              <w:rPr>
                <w:rFonts w:ascii="Times New Roman" w:hAnsi="Times New Roman"/>
                <w:color w:val="000000"/>
                <w:sz w:val="18"/>
                <w:szCs w:val="18"/>
                <w:lang w:eastAsia="sk-SK"/>
              </w:rPr>
            </w:pPr>
            <w:r w:rsidRPr="00B17EE3">
              <w:rPr>
                <w:rFonts w:ascii="Times New Roman" w:hAnsi="Times New Roman"/>
                <w:color w:val="000000"/>
                <w:sz w:val="18"/>
                <w:szCs w:val="18"/>
                <w:lang w:eastAsia="sk-SK"/>
              </w:rPr>
              <w:t>Ústredná správa a štátne podniky</w:t>
            </w:r>
          </w:p>
        </w:tc>
        <w:tc>
          <w:tcPr>
            <w:tcW w:w="635" w:type="pct"/>
            <w:tcBorders>
              <w:top w:val="nil"/>
              <w:left w:val="nil"/>
              <w:bottom w:val="nil"/>
              <w:right w:val="nil"/>
            </w:tcBorders>
            <w:vAlign w:val="center"/>
            <w:hideMark/>
          </w:tcPr>
          <w:p w14:paraId="1322D649" w14:textId="77777777" w:rsidR="00B17EE3" w:rsidRPr="00B17EE3" w:rsidRDefault="00B17EE3" w:rsidP="00B17EE3">
            <w:pPr>
              <w:spacing w:after="0" w:line="240" w:lineRule="auto"/>
              <w:jc w:val="right"/>
              <w:rPr>
                <w:rFonts w:ascii="Times New Roman" w:hAnsi="Times New Roman"/>
                <w:color w:val="000000"/>
                <w:sz w:val="18"/>
                <w:szCs w:val="18"/>
                <w:lang w:eastAsia="sk-SK"/>
              </w:rPr>
            </w:pPr>
            <w:r w:rsidRPr="00B17EE3">
              <w:rPr>
                <w:rFonts w:ascii="Times New Roman" w:hAnsi="Times New Roman"/>
                <w:color w:val="000000"/>
                <w:sz w:val="18"/>
                <w:szCs w:val="18"/>
                <w:lang w:eastAsia="sk-SK"/>
              </w:rPr>
              <w:t>8 402 335</w:t>
            </w:r>
          </w:p>
        </w:tc>
        <w:tc>
          <w:tcPr>
            <w:tcW w:w="635" w:type="pct"/>
            <w:tcBorders>
              <w:top w:val="nil"/>
              <w:left w:val="nil"/>
              <w:bottom w:val="nil"/>
              <w:right w:val="nil"/>
            </w:tcBorders>
            <w:vAlign w:val="center"/>
            <w:hideMark/>
          </w:tcPr>
          <w:p w14:paraId="3A836B5D" w14:textId="77777777" w:rsidR="00B17EE3" w:rsidRPr="00B17EE3" w:rsidRDefault="00B17EE3" w:rsidP="00B17EE3">
            <w:pPr>
              <w:spacing w:after="0" w:line="240" w:lineRule="auto"/>
              <w:jc w:val="right"/>
              <w:rPr>
                <w:rFonts w:ascii="Times New Roman" w:hAnsi="Times New Roman"/>
                <w:color w:val="000000"/>
                <w:sz w:val="18"/>
                <w:szCs w:val="18"/>
                <w:lang w:eastAsia="sk-SK"/>
              </w:rPr>
            </w:pPr>
            <w:r w:rsidRPr="00B17EE3">
              <w:rPr>
                <w:rFonts w:ascii="Times New Roman" w:hAnsi="Times New Roman"/>
                <w:color w:val="000000"/>
                <w:sz w:val="18"/>
                <w:szCs w:val="18"/>
                <w:lang w:eastAsia="sk-SK"/>
              </w:rPr>
              <w:t>8 774 967</w:t>
            </w:r>
          </w:p>
        </w:tc>
        <w:tc>
          <w:tcPr>
            <w:tcW w:w="635" w:type="pct"/>
            <w:tcBorders>
              <w:top w:val="nil"/>
              <w:left w:val="nil"/>
              <w:bottom w:val="nil"/>
              <w:right w:val="nil"/>
            </w:tcBorders>
            <w:vAlign w:val="center"/>
            <w:hideMark/>
          </w:tcPr>
          <w:p w14:paraId="5EBA9524" w14:textId="77777777" w:rsidR="00B17EE3" w:rsidRPr="00B17EE3" w:rsidRDefault="00B17EE3" w:rsidP="00B17EE3">
            <w:pPr>
              <w:spacing w:after="0" w:line="240" w:lineRule="auto"/>
              <w:jc w:val="right"/>
              <w:rPr>
                <w:rFonts w:ascii="Times New Roman" w:hAnsi="Times New Roman"/>
                <w:color w:val="000000"/>
                <w:sz w:val="18"/>
                <w:szCs w:val="18"/>
                <w:lang w:eastAsia="sk-SK"/>
              </w:rPr>
            </w:pPr>
            <w:r w:rsidRPr="00B17EE3">
              <w:rPr>
                <w:rFonts w:ascii="Times New Roman" w:hAnsi="Times New Roman"/>
                <w:color w:val="000000"/>
                <w:sz w:val="18"/>
                <w:szCs w:val="18"/>
                <w:lang w:eastAsia="sk-SK"/>
              </w:rPr>
              <w:t>-372 632</w:t>
            </w:r>
          </w:p>
        </w:tc>
      </w:tr>
      <w:tr w:rsidR="00B17EE3" w:rsidRPr="001567C8" w14:paraId="2F1C57B7" w14:textId="77777777" w:rsidTr="0085799C">
        <w:trPr>
          <w:trHeight w:val="227"/>
          <w:jc w:val="center"/>
        </w:trPr>
        <w:tc>
          <w:tcPr>
            <w:tcW w:w="3096" w:type="pct"/>
            <w:tcBorders>
              <w:top w:val="nil"/>
              <w:left w:val="nil"/>
              <w:bottom w:val="nil"/>
              <w:right w:val="nil"/>
            </w:tcBorders>
            <w:vAlign w:val="center"/>
            <w:hideMark/>
          </w:tcPr>
          <w:p w14:paraId="74BD86EC" w14:textId="77777777" w:rsidR="00B17EE3" w:rsidRPr="00B17EE3" w:rsidRDefault="00B17EE3" w:rsidP="00B17EE3">
            <w:pPr>
              <w:spacing w:after="0" w:line="240" w:lineRule="auto"/>
              <w:rPr>
                <w:rFonts w:ascii="Times New Roman" w:hAnsi="Times New Roman"/>
                <w:color w:val="000000"/>
                <w:sz w:val="18"/>
                <w:szCs w:val="18"/>
                <w:lang w:eastAsia="sk-SK"/>
              </w:rPr>
            </w:pPr>
            <w:r w:rsidRPr="00B17EE3">
              <w:rPr>
                <w:rFonts w:ascii="Times New Roman" w:hAnsi="Times New Roman"/>
                <w:color w:val="000000"/>
                <w:sz w:val="18"/>
                <w:szCs w:val="18"/>
                <w:lang w:eastAsia="sk-SK"/>
              </w:rPr>
              <w:t>Obce a ich rozpočtové a príspevkové organizácie a podniky územnej samosprávy</w:t>
            </w:r>
          </w:p>
        </w:tc>
        <w:tc>
          <w:tcPr>
            <w:tcW w:w="635" w:type="pct"/>
            <w:tcBorders>
              <w:top w:val="nil"/>
              <w:left w:val="nil"/>
              <w:bottom w:val="nil"/>
              <w:right w:val="nil"/>
            </w:tcBorders>
            <w:vAlign w:val="center"/>
            <w:hideMark/>
          </w:tcPr>
          <w:p w14:paraId="25EE1202" w14:textId="77777777" w:rsidR="00B17EE3" w:rsidRPr="00B17EE3" w:rsidRDefault="00B17EE3" w:rsidP="00B17EE3">
            <w:pPr>
              <w:spacing w:after="0" w:line="240" w:lineRule="auto"/>
              <w:jc w:val="right"/>
              <w:rPr>
                <w:rFonts w:ascii="Times New Roman" w:hAnsi="Times New Roman"/>
                <w:color w:val="000000"/>
                <w:sz w:val="18"/>
                <w:szCs w:val="18"/>
                <w:lang w:eastAsia="sk-SK"/>
              </w:rPr>
            </w:pPr>
            <w:r w:rsidRPr="00B17EE3">
              <w:rPr>
                <w:rFonts w:ascii="Times New Roman" w:hAnsi="Times New Roman"/>
                <w:color w:val="000000"/>
                <w:sz w:val="18"/>
                <w:szCs w:val="18"/>
                <w:lang w:eastAsia="sk-SK"/>
              </w:rPr>
              <w:t>900 408</w:t>
            </w:r>
          </w:p>
        </w:tc>
        <w:tc>
          <w:tcPr>
            <w:tcW w:w="635" w:type="pct"/>
            <w:tcBorders>
              <w:top w:val="nil"/>
              <w:left w:val="nil"/>
              <w:bottom w:val="nil"/>
              <w:right w:val="nil"/>
            </w:tcBorders>
            <w:vAlign w:val="center"/>
            <w:hideMark/>
          </w:tcPr>
          <w:p w14:paraId="39359D62" w14:textId="77777777" w:rsidR="00B17EE3" w:rsidRPr="00B17EE3" w:rsidRDefault="00B17EE3" w:rsidP="00B17EE3">
            <w:pPr>
              <w:spacing w:after="0" w:line="240" w:lineRule="auto"/>
              <w:jc w:val="right"/>
              <w:rPr>
                <w:rFonts w:ascii="Times New Roman" w:hAnsi="Times New Roman"/>
                <w:color w:val="000000"/>
                <w:sz w:val="18"/>
                <w:szCs w:val="18"/>
                <w:lang w:eastAsia="sk-SK"/>
              </w:rPr>
            </w:pPr>
            <w:r w:rsidRPr="00B17EE3">
              <w:rPr>
                <w:rFonts w:ascii="Times New Roman" w:hAnsi="Times New Roman"/>
                <w:color w:val="000000"/>
                <w:sz w:val="18"/>
                <w:szCs w:val="18"/>
                <w:lang w:eastAsia="sk-SK"/>
              </w:rPr>
              <w:t>670 297</w:t>
            </w:r>
          </w:p>
        </w:tc>
        <w:tc>
          <w:tcPr>
            <w:tcW w:w="635" w:type="pct"/>
            <w:tcBorders>
              <w:top w:val="nil"/>
              <w:left w:val="nil"/>
              <w:bottom w:val="nil"/>
              <w:right w:val="nil"/>
            </w:tcBorders>
            <w:vAlign w:val="center"/>
            <w:hideMark/>
          </w:tcPr>
          <w:p w14:paraId="58E39D74" w14:textId="77777777" w:rsidR="00B17EE3" w:rsidRPr="00B17EE3" w:rsidRDefault="00B17EE3" w:rsidP="00B17EE3">
            <w:pPr>
              <w:spacing w:after="0" w:line="240" w:lineRule="auto"/>
              <w:jc w:val="right"/>
              <w:rPr>
                <w:rFonts w:ascii="Times New Roman" w:hAnsi="Times New Roman"/>
                <w:color w:val="000000"/>
                <w:sz w:val="18"/>
                <w:szCs w:val="18"/>
                <w:lang w:eastAsia="sk-SK"/>
              </w:rPr>
            </w:pPr>
            <w:r w:rsidRPr="00B17EE3">
              <w:rPr>
                <w:rFonts w:ascii="Times New Roman" w:hAnsi="Times New Roman"/>
                <w:color w:val="000000"/>
                <w:sz w:val="18"/>
                <w:szCs w:val="18"/>
                <w:lang w:eastAsia="sk-SK"/>
              </w:rPr>
              <w:t>230 111</w:t>
            </w:r>
          </w:p>
        </w:tc>
      </w:tr>
      <w:tr w:rsidR="00B17EE3" w:rsidRPr="001567C8" w14:paraId="7CEDE5E0" w14:textId="77777777" w:rsidTr="0085799C">
        <w:trPr>
          <w:trHeight w:val="227"/>
          <w:jc w:val="center"/>
        </w:trPr>
        <w:tc>
          <w:tcPr>
            <w:tcW w:w="3096" w:type="pct"/>
            <w:tcBorders>
              <w:top w:val="nil"/>
              <w:left w:val="nil"/>
              <w:bottom w:val="nil"/>
              <w:right w:val="nil"/>
            </w:tcBorders>
            <w:vAlign w:val="center"/>
            <w:hideMark/>
          </w:tcPr>
          <w:p w14:paraId="6D5DC286" w14:textId="77777777" w:rsidR="00B17EE3" w:rsidRPr="00B17EE3" w:rsidRDefault="00B17EE3" w:rsidP="00B17EE3">
            <w:pPr>
              <w:spacing w:after="0" w:line="240" w:lineRule="auto"/>
              <w:rPr>
                <w:rFonts w:ascii="Times New Roman" w:hAnsi="Times New Roman"/>
                <w:color w:val="000000"/>
                <w:sz w:val="18"/>
                <w:szCs w:val="18"/>
                <w:lang w:eastAsia="sk-SK"/>
              </w:rPr>
            </w:pPr>
            <w:r w:rsidRPr="00B17EE3">
              <w:rPr>
                <w:rFonts w:ascii="Times New Roman" w:hAnsi="Times New Roman"/>
                <w:color w:val="000000"/>
                <w:sz w:val="18"/>
                <w:szCs w:val="18"/>
                <w:lang w:eastAsia="sk-SK"/>
              </w:rPr>
              <w:t>Vyššie územné celky a ich rozpočtové a príspevkové organizácie a podniky územnej samosprávy</w:t>
            </w:r>
          </w:p>
        </w:tc>
        <w:tc>
          <w:tcPr>
            <w:tcW w:w="635" w:type="pct"/>
            <w:tcBorders>
              <w:top w:val="nil"/>
              <w:left w:val="nil"/>
              <w:bottom w:val="nil"/>
              <w:right w:val="nil"/>
            </w:tcBorders>
            <w:vAlign w:val="center"/>
            <w:hideMark/>
          </w:tcPr>
          <w:p w14:paraId="40FC6D9D" w14:textId="77777777" w:rsidR="00B17EE3" w:rsidRPr="00B17EE3" w:rsidRDefault="00B17EE3" w:rsidP="00B17EE3">
            <w:pPr>
              <w:spacing w:after="0" w:line="240" w:lineRule="auto"/>
              <w:jc w:val="right"/>
              <w:rPr>
                <w:rFonts w:ascii="Times New Roman" w:hAnsi="Times New Roman"/>
                <w:color w:val="000000"/>
                <w:sz w:val="18"/>
                <w:szCs w:val="18"/>
                <w:lang w:eastAsia="sk-SK"/>
              </w:rPr>
            </w:pPr>
            <w:r w:rsidRPr="00B17EE3">
              <w:rPr>
                <w:rFonts w:ascii="Times New Roman" w:hAnsi="Times New Roman"/>
                <w:color w:val="000000"/>
                <w:sz w:val="18"/>
                <w:szCs w:val="18"/>
                <w:lang w:eastAsia="sk-SK"/>
              </w:rPr>
              <w:t>215 138</w:t>
            </w:r>
          </w:p>
        </w:tc>
        <w:tc>
          <w:tcPr>
            <w:tcW w:w="635" w:type="pct"/>
            <w:tcBorders>
              <w:top w:val="nil"/>
              <w:left w:val="nil"/>
              <w:bottom w:val="nil"/>
              <w:right w:val="nil"/>
            </w:tcBorders>
            <w:vAlign w:val="center"/>
            <w:hideMark/>
          </w:tcPr>
          <w:p w14:paraId="2F05FF45" w14:textId="77777777" w:rsidR="00B17EE3" w:rsidRPr="00B17EE3" w:rsidRDefault="00B17EE3" w:rsidP="00B17EE3">
            <w:pPr>
              <w:spacing w:after="0" w:line="240" w:lineRule="auto"/>
              <w:jc w:val="right"/>
              <w:rPr>
                <w:rFonts w:ascii="Times New Roman" w:hAnsi="Times New Roman"/>
                <w:color w:val="000000"/>
                <w:sz w:val="18"/>
                <w:szCs w:val="18"/>
                <w:lang w:eastAsia="sk-SK"/>
              </w:rPr>
            </w:pPr>
            <w:r w:rsidRPr="00B17EE3">
              <w:rPr>
                <w:rFonts w:ascii="Times New Roman" w:hAnsi="Times New Roman"/>
                <w:color w:val="000000"/>
                <w:sz w:val="18"/>
                <w:szCs w:val="18"/>
                <w:lang w:eastAsia="sk-SK"/>
              </w:rPr>
              <w:t>120 821</w:t>
            </w:r>
          </w:p>
        </w:tc>
        <w:tc>
          <w:tcPr>
            <w:tcW w:w="635" w:type="pct"/>
            <w:tcBorders>
              <w:top w:val="nil"/>
              <w:left w:val="nil"/>
              <w:bottom w:val="nil"/>
              <w:right w:val="nil"/>
            </w:tcBorders>
            <w:vAlign w:val="center"/>
            <w:hideMark/>
          </w:tcPr>
          <w:p w14:paraId="141ECEBD" w14:textId="77777777" w:rsidR="00B17EE3" w:rsidRPr="00B17EE3" w:rsidRDefault="00B17EE3" w:rsidP="00B17EE3">
            <w:pPr>
              <w:spacing w:after="0" w:line="240" w:lineRule="auto"/>
              <w:jc w:val="right"/>
              <w:rPr>
                <w:rFonts w:ascii="Times New Roman" w:hAnsi="Times New Roman"/>
                <w:color w:val="000000"/>
                <w:sz w:val="18"/>
                <w:szCs w:val="18"/>
                <w:lang w:eastAsia="sk-SK"/>
              </w:rPr>
            </w:pPr>
            <w:r w:rsidRPr="00B17EE3">
              <w:rPr>
                <w:rFonts w:ascii="Times New Roman" w:hAnsi="Times New Roman"/>
                <w:color w:val="000000"/>
                <w:sz w:val="18"/>
                <w:szCs w:val="18"/>
                <w:lang w:eastAsia="sk-SK"/>
              </w:rPr>
              <w:t>94 317</w:t>
            </w:r>
          </w:p>
        </w:tc>
      </w:tr>
      <w:tr w:rsidR="00B17EE3" w:rsidRPr="001567C8" w14:paraId="79F82EFB" w14:textId="77777777" w:rsidTr="0085799C">
        <w:trPr>
          <w:trHeight w:val="227"/>
          <w:jc w:val="center"/>
        </w:trPr>
        <w:tc>
          <w:tcPr>
            <w:tcW w:w="3096" w:type="pct"/>
            <w:tcBorders>
              <w:top w:val="single" w:sz="4" w:space="0" w:color="auto"/>
              <w:left w:val="nil"/>
              <w:bottom w:val="single" w:sz="4" w:space="0" w:color="auto"/>
              <w:right w:val="nil"/>
            </w:tcBorders>
            <w:noWrap/>
            <w:vAlign w:val="center"/>
            <w:hideMark/>
          </w:tcPr>
          <w:p w14:paraId="4D98AB93" w14:textId="77777777" w:rsidR="00B17EE3" w:rsidRPr="00B17EE3" w:rsidRDefault="00B17EE3" w:rsidP="00B17EE3">
            <w:pPr>
              <w:spacing w:after="0" w:line="240" w:lineRule="auto"/>
              <w:rPr>
                <w:rFonts w:ascii="Times New Roman" w:hAnsi="Times New Roman"/>
                <w:b/>
                <w:bCs/>
                <w:color w:val="000000"/>
                <w:sz w:val="18"/>
                <w:szCs w:val="18"/>
                <w:lang w:eastAsia="sk-SK"/>
              </w:rPr>
            </w:pPr>
            <w:r w:rsidRPr="00B17EE3">
              <w:rPr>
                <w:rFonts w:ascii="Times New Roman" w:hAnsi="Times New Roman"/>
                <w:b/>
                <w:bCs/>
                <w:color w:val="000000"/>
                <w:sz w:val="18"/>
                <w:szCs w:val="18"/>
                <w:lang w:eastAsia="sk-SK"/>
              </w:rPr>
              <w:t>Spolu  (nekonsolidované)</w:t>
            </w:r>
          </w:p>
        </w:tc>
        <w:tc>
          <w:tcPr>
            <w:tcW w:w="635" w:type="pct"/>
            <w:tcBorders>
              <w:top w:val="single" w:sz="4" w:space="0" w:color="auto"/>
              <w:left w:val="nil"/>
              <w:bottom w:val="single" w:sz="4" w:space="0" w:color="auto"/>
              <w:right w:val="nil"/>
            </w:tcBorders>
            <w:vAlign w:val="center"/>
            <w:hideMark/>
          </w:tcPr>
          <w:p w14:paraId="74FB0123" w14:textId="77777777" w:rsidR="00B17EE3" w:rsidRPr="00B17EE3" w:rsidRDefault="00B17EE3" w:rsidP="00B17EE3">
            <w:pPr>
              <w:spacing w:after="0" w:line="240" w:lineRule="auto"/>
              <w:jc w:val="right"/>
              <w:rPr>
                <w:rFonts w:ascii="Times New Roman" w:hAnsi="Times New Roman"/>
                <w:b/>
                <w:bCs/>
                <w:color w:val="000000"/>
                <w:sz w:val="18"/>
                <w:szCs w:val="18"/>
                <w:lang w:eastAsia="sk-SK"/>
              </w:rPr>
            </w:pPr>
            <w:r w:rsidRPr="00B17EE3">
              <w:rPr>
                <w:rFonts w:ascii="Times New Roman" w:hAnsi="Times New Roman"/>
                <w:b/>
                <w:bCs/>
                <w:color w:val="000000"/>
                <w:sz w:val="18"/>
                <w:szCs w:val="18"/>
                <w:lang w:eastAsia="sk-SK"/>
              </w:rPr>
              <w:t>9 517 881</w:t>
            </w:r>
          </w:p>
        </w:tc>
        <w:tc>
          <w:tcPr>
            <w:tcW w:w="635" w:type="pct"/>
            <w:tcBorders>
              <w:top w:val="single" w:sz="4" w:space="0" w:color="auto"/>
              <w:left w:val="nil"/>
              <w:bottom w:val="single" w:sz="4" w:space="0" w:color="auto"/>
              <w:right w:val="nil"/>
            </w:tcBorders>
            <w:vAlign w:val="center"/>
            <w:hideMark/>
          </w:tcPr>
          <w:p w14:paraId="5C679AA4" w14:textId="77777777" w:rsidR="00B17EE3" w:rsidRPr="00B17EE3" w:rsidRDefault="00B17EE3" w:rsidP="00B17EE3">
            <w:pPr>
              <w:spacing w:after="0" w:line="240" w:lineRule="auto"/>
              <w:jc w:val="right"/>
              <w:rPr>
                <w:rFonts w:ascii="Times New Roman" w:hAnsi="Times New Roman"/>
                <w:b/>
                <w:bCs/>
                <w:color w:val="000000"/>
                <w:sz w:val="18"/>
                <w:szCs w:val="18"/>
                <w:lang w:eastAsia="sk-SK"/>
              </w:rPr>
            </w:pPr>
            <w:r w:rsidRPr="00B17EE3">
              <w:rPr>
                <w:rFonts w:ascii="Times New Roman" w:hAnsi="Times New Roman"/>
                <w:b/>
                <w:bCs/>
                <w:color w:val="000000"/>
                <w:sz w:val="18"/>
                <w:szCs w:val="18"/>
                <w:lang w:eastAsia="sk-SK"/>
              </w:rPr>
              <w:t>9 566 085</w:t>
            </w:r>
          </w:p>
        </w:tc>
        <w:tc>
          <w:tcPr>
            <w:tcW w:w="635" w:type="pct"/>
            <w:tcBorders>
              <w:top w:val="single" w:sz="4" w:space="0" w:color="auto"/>
              <w:left w:val="nil"/>
              <w:bottom w:val="single" w:sz="4" w:space="0" w:color="auto"/>
              <w:right w:val="nil"/>
            </w:tcBorders>
            <w:vAlign w:val="center"/>
            <w:hideMark/>
          </w:tcPr>
          <w:p w14:paraId="0DA47A65" w14:textId="77777777" w:rsidR="00B17EE3" w:rsidRPr="00B17EE3" w:rsidRDefault="00B17EE3" w:rsidP="00B17EE3">
            <w:pPr>
              <w:spacing w:after="0" w:line="240" w:lineRule="auto"/>
              <w:jc w:val="right"/>
              <w:rPr>
                <w:rFonts w:ascii="Times New Roman" w:hAnsi="Times New Roman"/>
                <w:b/>
                <w:bCs/>
                <w:color w:val="000000"/>
                <w:sz w:val="18"/>
                <w:szCs w:val="18"/>
                <w:lang w:eastAsia="sk-SK"/>
              </w:rPr>
            </w:pPr>
            <w:r w:rsidRPr="00B17EE3">
              <w:rPr>
                <w:rFonts w:ascii="Times New Roman" w:hAnsi="Times New Roman"/>
                <w:b/>
                <w:bCs/>
                <w:color w:val="000000"/>
                <w:sz w:val="18"/>
                <w:szCs w:val="18"/>
                <w:lang w:eastAsia="sk-SK"/>
              </w:rPr>
              <w:t>-48 204</w:t>
            </w:r>
          </w:p>
        </w:tc>
      </w:tr>
      <w:tr w:rsidR="00B17EE3" w:rsidRPr="001567C8" w14:paraId="7D78D180" w14:textId="77777777" w:rsidTr="0085799C">
        <w:trPr>
          <w:trHeight w:val="227"/>
          <w:jc w:val="center"/>
        </w:trPr>
        <w:tc>
          <w:tcPr>
            <w:tcW w:w="3096" w:type="pct"/>
            <w:tcBorders>
              <w:top w:val="nil"/>
              <w:left w:val="nil"/>
              <w:bottom w:val="single" w:sz="4" w:space="0" w:color="auto"/>
              <w:right w:val="nil"/>
            </w:tcBorders>
            <w:noWrap/>
            <w:vAlign w:val="center"/>
            <w:hideMark/>
          </w:tcPr>
          <w:p w14:paraId="412F5F86" w14:textId="77777777" w:rsidR="00B17EE3" w:rsidRPr="00B17EE3" w:rsidRDefault="00B17EE3" w:rsidP="00B17EE3">
            <w:pPr>
              <w:spacing w:after="0" w:line="240" w:lineRule="auto"/>
              <w:rPr>
                <w:rFonts w:ascii="Times New Roman" w:hAnsi="Times New Roman"/>
                <w:color w:val="000000"/>
                <w:sz w:val="18"/>
                <w:szCs w:val="18"/>
                <w:lang w:eastAsia="sk-SK"/>
              </w:rPr>
            </w:pPr>
            <w:r w:rsidRPr="00B17EE3">
              <w:rPr>
                <w:rFonts w:ascii="Times New Roman" w:hAnsi="Times New Roman"/>
                <w:color w:val="000000"/>
                <w:sz w:val="18"/>
                <w:szCs w:val="18"/>
                <w:lang w:eastAsia="sk-SK"/>
              </w:rPr>
              <w:t>Objem konsolidácie</w:t>
            </w:r>
          </w:p>
        </w:tc>
        <w:tc>
          <w:tcPr>
            <w:tcW w:w="635" w:type="pct"/>
            <w:tcBorders>
              <w:top w:val="nil"/>
              <w:left w:val="nil"/>
              <w:bottom w:val="single" w:sz="4" w:space="0" w:color="auto"/>
              <w:right w:val="nil"/>
            </w:tcBorders>
            <w:vAlign w:val="center"/>
            <w:hideMark/>
          </w:tcPr>
          <w:p w14:paraId="517079C3" w14:textId="77777777" w:rsidR="00B17EE3" w:rsidRPr="00B17EE3" w:rsidRDefault="00B17EE3" w:rsidP="00B17EE3">
            <w:pPr>
              <w:spacing w:after="0" w:line="240" w:lineRule="auto"/>
              <w:jc w:val="right"/>
              <w:rPr>
                <w:rFonts w:ascii="Times New Roman" w:hAnsi="Times New Roman"/>
                <w:color w:val="000000"/>
                <w:sz w:val="18"/>
                <w:szCs w:val="18"/>
                <w:lang w:eastAsia="sk-SK"/>
              </w:rPr>
            </w:pPr>
            <w:r w:rsidRPr="00B17EE3">
              <w:rPr>
                <w:rFonts w:ascii="Times New Roman" w:hAnsi="Times New Roman"/>
                <w:bCs/>
                <w:color w:val="000000"/>
                <w:sz w:val="18"/>
                <w:szCs w:val="18"/>
                <w:lang w:eastAsia="sk-SK"/>
              </w:rPr>
              <w:t>3 568 237</w:t>
            </w:r>
          </w:p>
        </w:tc>
        <w:tc>
          <w:tcPr>
            <w:tcW w:w="635" w:type="pct"/>
            <w:tcBorders>
              <w:top w:val="nil"/>
              <w:left w:val="nil"/>
              <w:bottom w:val="single" w:sz="4" w:space="0" w:color="auto"/>
              <w:right w:val="nil"/>
            </w:tcBorders>
            <w:vAlign w:val="center"/>
            <w:hideMark/>
          </w:tcPr>
          <w:p w14:paraId="62FBFEC3" w14:textId="77777777" w:rsidR="00B17EE3" w:rsidRPr="00B17EE3" w:rsidRDefault="00B17EE3" w:rsidP="00B17EE3">
            <w:pPr>
              <w:spacing w:after="0" w:line="240" w:lineRule="auto"/>
              <w:jc w:val="right"/>
              <w:rPr>
                <w:rFonts w:ascii="Times New Roman" w:hAnsi="Times New Roman"/>
                <w:color w:val="000000"/>
                <w:sz w:val="18"/>
                <w:szCs w:val="18"/>
                <w:lang w:eastAsia="sk-SK"/>
              </w:rPr>
            </w:pPr>
            <w:r w:rsidRPr="00B17EE3">
              <w:rPr>
                <w:rFonts w:ascii="Times New Roman" w:hAnsi="Times New Roman"/>
                <w:bCs/>
                <w:color w:val="000000"/>
                <w:sz w:val="18"/>
                <w:szCs w:val="18"/>
                <w:lang w:eastAsia="sk-SK"/>
              </w:rPr>
              <w:t>3 755 742</w:t>
            </w:r>
          </w:p>
        </w:tc>
        <w:tc>
          <w:tcPr>
            <w:tcW w:w="635" w:type="pct"/>
            <w:tcBorders>
              <w:top w:val="nil"/>
              <w:left w:val="nil"/>
              <w:bottom w:val="single" w:sz="4" w:space="0" w:color="auto"/>
              <w:right w:val="nil"/>
            </w:tcBorders>
            <w:vAlign w:val="center"/>
            <w:hideMark/>
          </w:tcPr>
          <w:p w14:paraId="78695F45" w14:textId="77777777" w:rsidR="00B17EE3" w:rsidRPr="00B17EE3" w:rsidRDefault="00B17EE3" w:rsidP="00B17EE3">
            <w:pPr>
              <w:spacing w:after="0" w:line="240" w:lineRule="auto"/>
              <w:jc w:val="right"/>
              <w:rPr>
                <w:rFonts w:ascii="Times New Roman" w:hAnsi="Times New Roman"/>
                <w:color w:val="000000"/>
                <w:sz w:val="18"/>
                <w:szCs w:val="18"/>
                <w:lang w:eastAsia="sk-SK"/>
              </w:rPr>
            </w:pPr>
            <w:r w:rsidRPr="00B17EE3">
              <w:rPr>
                <w:rFonts w:ascii="Times New Roman" w:hAnsi="Times New Roman"/>
                <w:color w:val="000000"/>
                <w:sz w:val="18"/>
                <w:szCs w:val="18"/>
                <w:lang w:eastAsia="sk-SK"/>
              </w:rPr>
              <w:t>-187 505</w:t>
            </w:r>
          </w:p>
        </w:tc>
      </w:tr>
      <w:tr w:rsidR="00B17EE3" w:rsidRPr="001567C8" w14:paraId="20401DC6" w14:textId="77777777" w:rsidTr="0085799C">
        <w:trPr>
          <w:trHeight w:val="227"/>
          <w:jc w:val="center"/>
        </w:trPr>
        <w:tc>
          <w:tcPr>
            <w:tcW w:w="3096" w:type="pct"/>
            <w:tcBorders>
              <w:top w:val="nil"/>
              <w:left w:val="nil"/>
              <w:bottom w:val="single" w:sz="4" w:space="0" w:color="auto"/>
              <w:right w:val="nil"/>
            </w:tcBorders>
            <w:noWrap/>
            <w:vAlign w:val="center"/>
            <w:hideMark/>
          </w:tcPr>
          <w:p w14:paraId="1F0A0A06" w14:textId="77777777" w:rsidR="00B17EE3" w:rsidRPr="00B17EE3" w:rsidRDefault="00B17EE3" w:rsidP="00B17EE3">
            <w:pPr>
              <w:spacing w:after="0" w:line="240" w:lineRule="auto"/>
              <w:rPr>
                <w:rFonts w:ascii="Times New Roman" w:hAnsi="Times New Roman"/>
                <w:b/>
                <w:bCs/>
                <w:color w:val="000000"/>
                <w:sz w:val="18"/>
                <w:szCs w:val="18"/>
                <w:lang w:eastAsia="sk-SK"/>
              </w:rPr>
            </w:pPr>
            <w:r w:rsidRPr="00B17EE3">
              <w:rPr>
                <w:rFonts w:ascii="Times New Roman" w:hAnsi="Times New Roman"/>
                <w:b/>
                <w:bCs/>
                <w:color w:val="000000"/>
                <w:sz w:val="18"/>
                <w:szCs w:val="18"/>
                <w:lang w:eastAsia="sk-SK"/>
              </w:rPr>
              <w:t>Spolu  (konsolidované)</w:t>
            </w:r>
          </w:p>
        </w:tc>
        <w:tc>
          <w:tcPr>
            <w:tcW w:w="635" w:type="pct"/>
            <w:tcBorders>
              <w:top w:val="nil"/>
              <w:left w:val="nil"/>
              <w:bottom w:val="single" w:sz="4" w:space="0" w:color="auto"/>
              <w:right w:val="nil"/>
            </w:tcBorders>
            <w:vAlign w:val="center"/>
            <w:hideMark/>
          </w:tcPr>
          <w:p w14:paraId="5F2F38A8" w14:textId="77777777" w:rsidR="00B17EE3" w:rsidRPr="00B17EE3" w:rsidRDefault="00B17EE3" w:rsidP="00B17EE3">
            <w:pPr>
              <w:spacing w:after="0" w:line="240" w:lineRule="auto"/>
              <w:jc w:val="right"/>
              <w:rPr>
                <w:rFonts w:ascii="Times New Roman" w:hAnsi="Times New Roman"/>
                <w:b/>
                <w:bCs/>
                <w:color w:val="000000"/>
                <w:sz w:val="18"/>
                <w:szCs w:val="18"/>
                <w:lang w:eastAsia="sk-SK"/>
              </w:rPr>
            </w:pPr>
            <w:r w:rsidRPr="00B17EE3">
              <w:rPr>
                <w:rFonts w:ascii="Times New Roman" w:hAnsi="Times New Roman"/>
                <w:b/>
                <w:bCs/>
                <w:color w:val="000000"/>
                <w:sz w:val="18"/>
                <w:szCs w:val="18"/>
                <w:lang w:eastAsia="sk-SK"/>
              </w:rPr>
              <w:t>5 949 644</w:t>
            </w:r>
          </w:p>
        </w:tc>
        <w:tc>
          <w:tcPr>
            <w:tcW w:w="635" w:type="pct"/>
            <w:tcBorders>
              <w:top w:val="nil"/>
              <w:left w:val="nil"/>
              <w:bottom w:val="single" w:sz="4" w:space="0" w:color="auto"/>
              <w:right w:val="nil"/>
            </w:tcBorders>
            <w:vAlign w:val="center"/>
            <w:hideMark/>
          </w:tcPr>
          <w:p w14:paraId="319D72E1" w14:textId="77777777" w:rsidR="00B17EE3" w:rsidRPr="00B17EE3" w:rsidRDefault="00B17EE3" w:rsidP="00B17EE3">
            <w:pPr>
              <w:spacing w:after="0" w:line="240" w:lineRule="auto"/>
              <w:jc w:val="right"/>
              <w:rPr>
                <w:rFonts w:ascii="Times New Roman" w:hAnsi="Times New Roman"/>
                <w:b/>
                <w:bCs/>
                <w:color w:val="000000"/>
                <w:sz w:val="18"/>
                <w:szCs w:val="18"/>
                <w:lang w:eastAsia="sk-SK"/>
              </w:rPr>
            </w:pPr>
            <w:r w:rsidRPr="00B17EE3">
              <w:rPr>
                <w:rFonts w:ascii="Times New Roman" w:hAnsi="Times New Roman"/>
                <w:b/>
                <w:bCs/>
                <w:color w:val="000000"/>
                <w:sz w:val="18"/>
                <w:szCs w:val="18"/>
                <w:lang w:eastAsia="sk-SK"/>
              </w:rPr>
              <w:t>5 810 343</w:t>
            </w:r>
          </w:p>
        </w:tc>
        <w:tc>
          <w:tcPr>
            <w:tcW w:w="635" w:type="pct"/>
            <w:tcBorders>
              <w:top w:val="nil"/>
              <w:left w:val="nil"/>
              <w:bottom w:val="single" w:sz="4" w:space="0" w:color="auto"/>
              <w:right w:val="nil"/>
            </w:tcBorders>
            <w:vAlign w:val="center"/>
            <w:hideMark/>
          </w:tcPr>
          <w:p w14:paraId="004CE028" w14:textId="77777777" w:rsidR="00B17EE3" w:rsidRPr="00B17EE3" w:rsidRDefault="00B17EE3" w:rsidP="00B17EE3">
            <w:pPr>
              <w:spacing w:after="0" w:line="240" w:lineRule="auto"/>
              <w:jc w:val="right"/>
              <w:rPr>
                <w:rFonts w:ascii="Times New Roman" w:hAnsi="Times New Roman"/>
                <w:b/>
                <w:bCs/>
                <w:color w:val="000000"/>
                <w:sz w:val="18"/>
                <w:szCs w:val="18"/>
                <w:lang w:eastAsia="sk-SK"/>
              </w:rPr>
            </w:pPr>
            <w:r w:rsidRPr="00B17EE3">
              <w:rPr>
                <w:rFonts w:ascii="Times New Roman" w:hAnsi="Times New Roman"/>
                <w:b/>
                <w:bCs/>
                <w:color w:val="000000"/>
                <w:sz w:val="18"/>
                <w:szCs w:val="18"/>
                <w:lang w:eastAsia="sk-SK"/>
              </w:rPr>
              <w:t>139 301</w:t>
            </w:r>
          </w:p>
        </w:tc>
      </w:tr>
      <w:tr w:rsidR="00B17EE3" w:rsidRPr="001567C8" w14:paraId="101B29AB" w14:textId="77777777" w:rsidTr="00B17EE3">
        <w:trPr>
          <w:trHeight w:val="227"/>
          <w:jc w:val="center"/>
        </w:trPr>
        <w:tc>
          <w:tcPr>
            <w:tcW w:w="5000" w:type="pct"/>
            <w:gridSpan w:val="4"/>
            <w:tcBorders>
              <w:top w:val="single" w:sz="4" w:space="0" w:color="auto"/>
              <w:left w:val="nil"/>
              <w:bottom w:val="nil"/>
              <w:right w:val="nil"/>
            </w:tcBorders>
            <w:noWrap/>
            <w:vAlign w:val="center"/>
            <w:hideMark/>
          </w:tcPr>
          <w:p w14:paraId="56C2F418" w14:textId="77777777" w:rsidR="00B17EE3" w:rsidRPr="00B17EE3" w:rsidRDefault="00B17EE3" w:rsidP="00B17EE3">
            <w:pPr>
              <w:spacing w:after="0" w:line="240" w:lineRule="auto"/>
              <w:jc w:val="right"/>
              <w:rPr>
                <w:rFonts w:ascii="Times New Roman" w:hAnsi="Times New Roman"/>
                <w:color w:val="000000"/>
                <w:sz w:val="16"/>
                <w:szCs w:val="16"/>
                <w:lang w:eastAsia="sk-SK"/>
              </w:rPr>
            </w:pPr>
            <w:r w:rsidRPr="00B17EE3">
              <w:rPr>
                <w:rFonts w:ascii="Times New Roman" w:hAnsi="Times New Roman"/>
                <w:color w:val="000000"/>
                <w:sz w:val="16"/>
                <w:szCs w:val="16"/>
                <w:lang w:eastAsia="sk-SK"/>
              </w:rPr>
              <w:t>Zdroj: Účtovné závierky subjektov, Centrálny konsolidačný systém a databáza MF SR</w:t>
            </w:r>
          </w:p>
        </w:tc>
      </w:tr>
    </w:tbl>
    <w:p w14:paraId="4DDD7422" w14:textId="77777777" w:rsidR="00E718F5" w:rsidRPr="0085799C" w:rsidRDefault="00E718F5" w:rsidP="0085799C">
      <w:pPr>
        <w:spacing w:after="120" w:line="240" w:lineRule="auto"/>
        <w:rPr>
          <w:rFonts w:ascii="Times New Roman" w:hAnsi="Times New Roman"/>
          <w:szCs w:val="22"/>
          <w:highlight w:val="yellow"/>
        </w:rPr>
      </w:pPr>
    </w:p>
    <w:p w14:paraId="113BB274" w14:textId="77777777" w:rsidR="00923242" w:rsidRDefault="009F7B40" w:rsidP="00BB0D4F">
      <w:pPr>
        <w:spacing w:after="120" w:line="240" w:lineRule="auto"/>
        <w:jc w:val="both"/>
        <w:rPr>
          <w:rFonts w:ascii="Times New Roman" w:hAnsi="Times New Roman"/>
          <w:szCs w:val="22"/>
        </w:rPr>
      </w:pPr>
      <w:r w:rsidRPr="00BB0D4F">
        <w:rPr>
          <w:rFonts w:ascii="Times New Roman" w:hAnsi="Times New Roman"/>
          <w:szCs w:val="22"/>
        </w:rPr>
        <w:t>Medziročný pokles nekonsolidovanej hodnoty iných aktív dosiahol hodnotu 48</w:t>
      </w:r>
      <w:r w:rsidR="00D0380F">
        <w:rPr>
          <w:rFonts w:ascii="Times New Roman" w:hAnsi="Times New Roman"/>
          <w:szCs w:val="22"/>
        </w:rPr>
        <w:t> </w:t>
      </w:r>
      <w:r w:rsidRPr="00BB0D4F">
        <w:rPr>
          <w:rFonts w:ascii="Times New Roman" w:hAnsi="Times New Roman"/>
          <w:szCs w:val="22"/>
        </w:rPr>
        <w:t>204</w:t>
      </w:r>
      <w:r w:rsidR="00D0380F">
        <w:rPr>
          <w:rFonts w:ascii="Times New Roman" w:hAnsi="Times New Roman"/>
          <w:szCs w:val="22"/>
        </w:rPr>
        <w:t> </w:t>
      </w:r>
      <w:r w:rsidRPr="00BB0D4F">
        <w:rPr>
          <w:rFonts w:ascii="Times New Roman" w:hAnsi="Times New Roman"/>
          <w:szCs w:val="22"/>
        </w:rPr>
        <w:t>tis.</w:t>
      </w:r>
      <w:r w:rsidR="00D0380F">
        <w:rPr>
          <w:rFonts w:ascii="Times New Roman" w:hAnsi="Times New Roman"/>
          <w:szCs w:val="22"/>
        </w:rPr>
        <w:t> </w:t>
      </w:r>
      <w:r w:rsidRPr="00BB0D4F">
        <w:rPr>
          <w:rFonts w:ascii="Times New Roman" w:hAnsi="Times New Roman"/>
          <w:szCs w:val="22"/>
        </w:rPr>
        <w:t>eur a bol zaznamenaný najmä v organizáciách štátnej správy (372</w:t>
      </w:r>
      <w:r w:rsidR="00D0380F">
        <w:rPr>
          <w:rFonts w:ascii="Times New Roman" w:hAnsi="Times New Roman"/>
          <w:szCs w:val="22"/>
        </w:rPr>
        <w:t> </w:t>
      </w:r>
      <w:r w:rsidRPr="00BB0D4F">
        <w:rPr>
          <w:rFonts w:ascii="Times New Roman" w:hAnsi="Times New Roman"/>
          <w:szCs w:val="22"/>
        </w:rPr>
        <w:t>336</w:t>
      </w:r>
      <w:r w:rsidR="00D0380F">
        <w:rPr>
          <w:rFonts w:ascii="Times New Roman" w:hAnsi="Times New Roman"/>
          <w:szCs w:val="22"/>
        </w:rPr>
        <w:t> </w:t>
      </w:r>
      <w:r w:rsidRPr="00BB0D4F">
        <w:rPr>
          <w:rFonts w:ascii="Times New Roman" w:hAnsi="Times New Roman"/>
          <w:szCs w:val="22"/>
        </w:rPr>
        <w:t>tis.</w:t>
      </w:r>
      <w:r w:rsidR="00D0380F">
        <w:rPr>
          <w:rFonts w:ascii="Times New Roman" w:hAnsi="Times New Roman"/>
          <w:szCs w:val="22"/>
        </w:rPr>
        <w:t> </w:t>
      </w:r>
      <w:r w:rsidRPr="00BB0D4F">
        <w:rPr>
          <w:rFonts w:ascii="Times New Roman" w:hAnsi="Times New Roman"/>
          <w:szCs w:val="22"/>
        </w:rPr>
        <w:t xml:space="preserve">eur). Zmena súvisí najmä s aktualizáciou (spresňovaním) hodnoty lesných pozemkov vo vlastníctve štátu, ktoré spravujú </w:t>
      </w:r>
      <w:r w:rsidR="00C707D3" w:rsidRPr="00BB0D4F">
        <w:rPr>
          <w:rFonts w:ascii="Times New Roman" w:hAnsi="Times New Roman"/>
          <w:szCs w:val="22"/>
        </w:rPr>
        <w:t>LESY Slovenskej republiky, štátny podnik</w:t>
      </w:r>
      <w:r w:rsidR="00923242">
        <w:rPr>
          <w:rFonts w:ascii="Times New Roman" w:hAnsi="Times New Roman"/>
          <w:szCs w:val="22"/>
        </w:rPr>
        <w:t>.</w:t>
      </w:r>
      <w:r w:rsidRPr="00BB0D4F">
        <w:rPr>
          <w:rFonts w:ascii="Times New Roman" w:hAnsi="Times New Roman"/>
          <w:szCs w:val="22"/>
        </w:rPr>
        <w:t xml:space="preserve"> Zároveň v porovnaní s rokom 2023 došlo aj k poklesu aktívnych súdnych sporov u niektorých účtovných jednotiek ústrednej správy. Územná samospráva vykázala iné aktíva vyššie o 230 111 tis. eur, najmä v súvislosti s hodnotou majetku evidovaného na </w:t>
      </w:r>
      <w:proofErr w:type="spellStart"/>
      <w:r w:rsidRPr="00BB0D4F">
        <w:rPr>
          <w:rFonts w:ascii="Times New Roman" w:hAnsi="Times New Roman"/>
          <w:szCs w:val="22"/>
        </w:rPr>
        <w:t>podsúvahe</w:t>
      </w:r>
      <w:proofErr w:type="spellEnd"/>
      <w:r w:rsidRPr="00BB0D4F">
        <w:rPr>
          <w:rFonts w:ascii="Times New Roman" w:hAnsi="Times New Roman"/>
          <w:szCs w:val="22"/>
        </w:rPr>
        <w:t xml:space="preserve"> (iného ako súdne spory</w:t>
      </w:r>
      <w:r w:rsidRPr="0085799C">
        <w:rPr>
          <w:rFonts w:ascii="Times New Roman" w:hAnsi="Times New Roman"/>
          <w:szCs w:val="22"/>
        </w:rPr>
        <w:t>,</w:t>
      </w:r>
      <w:r w:rsidRPr="00BB0D4F">
        <w:rPr>
          <w:rFonts w:ascii="Times New Roman" w:hAnsi="Times New Roman"/>
          <w:szCs w:val="22"/>
        </w:rPr>
        <w:t xml:space="preserve"> záruky, ručenie v prospech jednotky).</w:t>
      </w:r>
    </w:p>
    <w:p w14:paraId="522A7F04" w14:textId="25377B34" w:rsidR="00923242" w:rsidRDefault="009F7B40" w:rsidP="00BB0D4F">
      <w:pPr>
        <w:spacing w:after="120" w:line="240" w:lineRule="auto"/>
        <w:jc w:val="both"/>
        <w:rPr>
          <w:rFonts w:ascii="Times New Roman" w:hAnsi="Times New Roman"/>
          <w:szCs w:val="22"/>
        </w:rPr>
      </w:pPr>
      <w:r w:rsidRPr="0085799C">
        <w:rPr>
          <w:rFonts w:ascii="Times New Roman" w:hAnsi="Times New Roman"/>
          <w:szCs w:val="22"/>
          <w:u w:val="single"/>
        </w:rPr>
        <w:t>L</w:t>
      </w:r>
      <w:r w:rsidR="00C707D3" w:rsidRPr="00BB0D4F">
        <w:rPr>
          <w:rFonts w:ascii="Times New Roman" w:hAnsi="Times New Roman"/>
          <w:szCs w:val="22"/>
          <w:u w:val="single"/>
        </w:rPr>
        <w:t>ESY</w:t>
      </w:r>
      <w:r w:rsidRPr="0085799C">
        <w:rPr>
          <w:rFonts w:ascii="Times New Roman" w:hAnsi="Times New Roman"/>
          <w:szCs w:val="22"/>
          <w:u w:val="single"/>
        </w:rPr>
        <w:t xml:space="preserve"> </w:t>
      </w:r>
      <w:r w:rsidR="008908AF" w:rsidRPr="0085799C">
        <w:rPr>
          <w:rFonts w:ascii="Times New Roman" w:hAnsi="Times New Roman"/>
          <w:szCs w:val="22"/>
          <w:u w:val="single"/>
        </w:rPr>
        <w:t>Slovenskej republiky, štátny podnik</w:t>
      </w:r>
      <w:r w:rsidRPr="00BB0D4F">
        <w:rPr>
          <w:rFonts w:ascii="Times New Roman" w:hAnsi="Times New Roman"/>
          <w:szCs w:val="22"/>
        </w:rPr>
        <w:t xml:space="preserve"> vykazuje najvyššiu hodnotu z podmienených aktív z dôvodu ocenenia lesných porastov, ktoré podnik obhospodaruje na pozemkoch vo vlastníctve štátu, ktoré boli k 1.1.2010 jednotne ocenené podľa vyhlášky MS SR č. 492/2004 Z. z. o stanovení všeobecnej hodnoty podniku. Hodnota lesných porastov bola od 1.1.2010 evidovaná na podsúvahovom účte, pričom každoročne je táto hodnota aktualizovaná spolu so spresňovaním hodnoty lesných porastov vo vlastníctve štátu. Hlavným dôvodom  a podkladom na zníženie hodnoty porastov je obnova programu starostlivosti o les po spracovaní veternej kalamity na niektorých odštepných závodoch, ale aj vplyv odovzdania lesných pozemkov s lesnými porastami do Správ národných parkov</w:t>
      </w:r>
      <w:r w:rsidR="00923242">
        <w:rPr>
          <w:rFonts w:ascii="Times New Roman" w:hAnsi="Times New Roman"/>
          <w:szCs w:val="22"/>
        </w:rPr>
        <w:t>.</w:t>
      </w:r>
    </w:p>
    <w:p w14:paraId="09CF97EB" w14:textId="73F7AEC5" w:rsidR="00923242" w:rsidRDefault="009F7B40" w:rsidP="00BB0D4F">
      <w:pPr>
        <w:spacing w:after="120" w:line="240" w:lineRule="auto"/>
        <w:jc w:val="both"/>
        <w:rPr>
          <w:rFonts w:ascii="Times New Roman" w:hAnsi="Times New Roman"/>
          <w:szCs w:val="22"/>
        </w:rPr>
      </w:pPr>
      <w:r w:rsidRPr="0085799C">
        <w:rPr>
          <w:rFonts w:ascii="Times New Roman" w:hAnsi="Times New Roman"/>
          <w:szCs w:val="22"/>
          <w:u w:val="single"/>
        </w:rPr>
        <w:t>Slovenská konsolidačná, a. s.</w:t>
      </w:r>
      <w:r w:rsidRPr="00BB0D4F">
        <w:rPr>
          <w:rFonts w:ascii="Times New Roman" w:hAnsi="Times New Roman"/>
          <w:szCs w:val="22"/>
        </w:rPr>
        <w:t xml:space="preserve"> (</w:t>
      </w:r>
      <w:proofErr w:type="spellStart"/>
      <w:r w:rsidRPr="00BB0D4F">
        <w:rPr>
          <w:rFonts w:ascii="Times New Roman" w:hAnsi="Times New Roman"/>
          <w:szCs w:val="22"/>
        </w:rPr>
        <w:t>SKo</w:t>
      </w:r>
      <w:proofErr w:type="spellEnd"/>
      <w:r w:rsidRPr="00BB0D4F">
        <w:rPr>
          <w:rFonts w:ascii="Times New Roman" w:hAnsi="Times New Roman"/>
          <w:szCs w:val="22"/>
        </w:rPr>
        <w:t>, a. s.), ktorá je zo zákona č. 374/2014 Z. z. o pohľadávkach štátu a o zmene a doplnení niektorých zákonov poverenou osobou pre konsolidáciu pohľadávok verejného sektora vykazuje druhú najväčšiu hodnotu podmienených aktív v hodnote 2</w:t>
      </w:r>
      <w:r w:rsidR="00D0380F">
        <w:rPr>
          <w:rFonts w:ascii="Times New Roman" w:hAnsi="Times New Roman"/>
          <w:szCs w:val="22"/>
        </w:rPr>
        <w:t> </w:t>
      </w:r>
      <w:r w:rsidRPr="00BB0D4F">
        <w:rPr>
          <w:rFonts w:ascii="Times New Roman" w:hAnsi="Times New Roman"/>
          <w:szCs w:val="22"/>
        </w:rPr>
        <w:t>932</w:t>
      </w:r>
      <w:r w:rsidR="00D0380F">
        <w:rPr>
          <w:rFonts w:ascii="Times New Roman" w:hAnsi="Times New Roman"/>
          <w:szCs w:val="22"/>
        </w:rPr>
        <w:t> </w:t>
      </w:r>
      <w:r w:rsidRPr="00BB0D4F">
        <w:rPr>
          <w:rFonts w:ascii="Times New Roman" w:hAnsi="Times New Roman"/>
          <w:szCs w:val="22"/>
        </w:rPr>
        <w:t>630</w:t>
      </w:r>
      <w:r w:rsidR="00D0380F">
        <w:rPr>
          <w:rFonts w:ascii="Times New Roman" w:hAnsi="Times New Roman"/>
          <w:szCs w:val="22"/>
        </w:rPr>
        <w:t> </w:t>
      </w:r>
      <w:r w:rsidRPr="00BB0D4F">
        <w:rPr>
          <w:rFonts w:ascii="Times New Roman" w:hAnsi="Times New Roman"/>
          <w:szCs w:val="22"/>
        </w:rPr>
        <w:t>tis.</w:t>
      </w:r>
      <w:r w:rsidR="00D0380F">
        <w:rPr>
          <w:rFonts w:ascii="Times New Roman" w:hAnsi="Times New Roman"/>
          <w:szCs w:val="22"/>
        </w:rPr>
        <w:t> </w:t>
      </w:r>
      <w:r w:rsidRPr="00BB0D4F">
        <w:rPr>
          <w:rFonts w:ascii="Times New Roman" w:hAnsi="Times New Roman"/>
          <w:szCs w:val="22"/>
        </w:rPr>
        <w:t xml:space="preserve">eur. Časť nominálnej hodnoty pohľadávok </w:t>
      </w:r>
      <w:proofErr w:type="spellStart"/>
      <w:r w:rsidRPr="00BB0D4F">
        <w:rPr>
          <w:rFonts w:ascii="Times New Roman" w:hAnsi="Times New Roman"/>
          <w:szCs w:val="22"/>
        </w:rPr>
        <w:t>SKo</w:t>
      </w:r>
      <w:proofErr w:type="spellEnd"/>
      <w:r w:rsidRPr="00BB0D4F">
        <w:rPr>
          <w:rFonts w:ascii="Times New Roman" w:hAnsi="Times New Roman"/>
          <w:szCs w:val="22"/>
        </w:rPr>
        <w:t>, a. s. (2</w:t>
      </w:r>
      <w:r w:rsidR="00D0380F">
        <w:rPr>
          <w:rFonts w:ascii="Times New Roman" w:hAnsi="Times New Roman"/>
          <w:szCs w:val="22"/>
        </w:rPr>
        <w:t> </w:t>
      </w:r>
      <w:r w:rsidRPr="00BB0D4F">
        <w:rPr>
          <w:rFonts w:ascii="Times New Roman" w:hAnsi="Times New Roman"/>
          <w:szCs w:val="22"/>
        </w:rPr>
        <w:t>378</w:t>
      </w:r>
      <w:r w:rsidR="00D0380F">
        <w:rPr>
          <w:rFonts w:ascii="Times New Roman" w:hAnsi="Times New Roman"/>
          <w:szCs w:val="22"/>
        </w:rPr>
        <w:t> </w:t>
      </w:r>
      <w:r w:rsidRPr="00BB0D4F">
        <w:rPr>
          <w:rFonts w:ascii="Times New Roman" w:hAnsi="Times New Roman"/>
          <w:szCs w:val="22"/>
        </w:rPr>
        <w:t>555</w:t>
      </w:r>
      <w:r w:rsidR="00D0380F">
        <w:rPr>
          <w:rFonts w:ascii="Times New Roman" w:hAnsi="Times New Roman"/>
          <w:szCs w:val="22"/>
        </w:rPr>
        <w:t> </w:t>
      </w:r>
      <w:r w:rsidRPr="00BB0D4F">
        <w:rPr>
          <w:rFonts w:ascii="Times New Roman" w:hAnsi="Times New Roman"/>
          <w:szCs w:val="22"/>
        </w:rPr>
        <w:t>tis.</w:t>
      </w:r>
      <w:r w:rsidR="00D0380F">
        <w:rPr>
          <w:rFonts w:ascii="Times New Roman" w:hAnsi="Times New Roman"/>
          <w:szCs w:val="22"/>
        </w:rPr>
        <w:t> </w:t>
      </w:r>
      <w:r w:rsidRPr="00BB0D4F">
        <w:rPr>
          <w:rFonts w:ascii="Times New Roman" w:hAnsi="Times New Roman"/>
          <w:szCs w:val="22"/>
        </w:rPr>
        <w:t xml:space="preserve">eur) je pre účely konsolidovanej účtovnej závierky ústrednej správy eliminovaná, čo zabezpečuje vykázanie pohľadávok len jednou hodnotou, a to priamo v súvahe spolu s prislúchajúcimi </w:t>
      </w:r>
      <w:r w:rsidRPr="0085799C">
        <w:rPr>
          <w:rFonts w:ascii="Times New Roman" w:hAnsi="Times New Roman"/>
          <w:szCs w:val="22"/>
        </w:rPr>
        <w:t>i</w:t>
      </w:r>
      <w:r w:rsidRPr="00BB0D4F">
        <w:rPr>
          <w:rFonts w:ascii="Times New Roman" w:hAnsi="Times New Roman"/>
          <w:szCs w:val="22"/>
        </w:rPr>
        <w:t xml:space="preserve"> položkami (takmer na 100,0 % hodnoty).</w:t>
      </w:r>
    </w:p>
    <w:p w14:paraId="06FC5AF9" w14:textId="77777777" w:rsidR="00923242" w:rsidRDefault="009F7B40" w:rsidP="00BB0D4F">
      <w:pPr>
        <w:spacing w:after="120" w:line="240" w:lineRule="auto"/>
        <w:jc w:val="both"/>
        <w:rPr>
          <w:rFonts w:ascii="Times New Roman" w:hAnsi="Times New Roman"/>
          <w:szCs w:val="22"/>
        </w:rPr>
      </w:pPr>
      <w:r w:rsidRPr="00BB0D4F">
        <w:rPr>
          <w:rFonts w:ascii="Times New Roman" w:hAnsi="Times New Roman"/>
          <w:szCs w:val="22"/>
        </w:rPr>
        <w:t xml:space="preserve">Zo súdnych sporov a iných právnych úkonov boli významné súdne konania, ktorých účastníkom je </w:t>
      </w:r>
      <w:r w:rsidRPr="0085799C">
        <w:rPr>
          <w:rFonts w:ascii="Times New Roman" w:hAnsi="Times New Roman"/>
          <w:szCs w:val="22"/>
          <w:u w:val="single"/>
        </w:rPr>
        <w:t>Vodohospodárska výstavba, š. p.</w:t>
      </w:r>
      <w:r w:rsidRPr="00BB0D4F">
        <w:rPr>
          <w:rFonts w:ascii="Times New Roman" w:hAnsi="Times New Roman"/>
          <w:szCs w:val="22"/>
        </w:rPr>
        <w:t xml:space="preserve"> v sume 411</w:t>
      </w:r>
      <w:r w:rsidR="00D0380F">
        <w:rPr>
          <w:rFonts w:ascii="Times New Roman" w:hAnsi="Times New Roman"/>
          <w:szCs w:val="22"/>
        </w:rPr>
        <w:t> </w:t>
      </w:r>
      <w:r w:rsidRPr="00BB0D4F">
        <w:rPr>
          <w:rFonts w:ascii="Times New Roman" w:hAnsi="Times New Roman"/>
          <w:szCs w:val="22"/>
        </w:rPr>
        <w:t>180</w:t>
      </w:r>
      <w:r w:rsidR="00D0380F">
        <w:rPr>
          <w:rFonts w:ascii="Times New Roman" w:hAnsi="Times New Roman"/>
          <w:szCs w:val="22"/>
        </w:rPr>
        <w:t> </w:t>
      </w:r>
      <w:r w:rsidRPr="00BB0D4F">
        <w:rPr>
          <w:rFonts w:ascii="Times New Roman" w:hAnsi="Times New Roman"/>
          <w:szCs w:val="22"/>
        </w:rPr>
        <w:t>tis.</w:t>
      </w:r>
      <w:r w:rsidR="00D0380F">
        <w:rPr>
          <w:rFonts w:ascii="Times New Roman" w:hAnsi="Times New Roman"/>
          <w:szCs w:val="22"/>
        </w:rPr>
        <w:t> </w:t>
      </w:r>
      <w:r w:rsidRPr="00BB0D4F">
        <w:rPr>
          <w:rFonts w:ascii="Times New Roman" w:hAnsi="Times New Roman"/>
          <w:szCs w:val="22"/>
        </w:rPr>
        <w:t xml:space="preserve">eur, pričom ide najmä o aktívny súdny spor o </w:t>
      </w:r>
      <w:r w:rsidRPr="00BB0D4F">
        <w:rPr>
          <w:rFonts w:ascii="Times New Roman" w:hAnsi="Times New Roman"/>
          <w:szCs w:val="22"/>
        </w:rPr>
        <w:lastRenderedPageBreak/>
        <w:t>bezdôvodné obohatenie voči Slovenským elektrárňam, a. s. Spor sa týka platieb, ktoré platila Vodohospodárska výstavba, š. p. elektrárňam od roku 2006 na základe zmlúv na užívanie Vodnej elektrárne Gabčíkovo, ktoré sú podľa štátneho podniku neplatné.</w:t>
      </w:r>
    </w:p>
    <w:p w14:paraId="444E525E" w14:textId="7FF8A55D" w:rsidR="00923242" w:rsidRDefault="009F7B40" w:rsidP="00BB0D4F">
      <w:pPr>
        <w:spacing w:after="120" w:line="240" w:lineRule="auto"/>
        <w:jc w:val="both"/>
        <w:rPr>
          <w:rFonts w:ascii="Times New Roman" w:hAnsi="Times New Roman"/>
          <w:szCs w:val="22"/>
        </w:rPr>
      </w:pPr>
      <w:r w:rsidRPr="00BB0D4F">
        <w:rPr>
          <w:rFonts w:ascii="Times New Roman" w:hAnsi="Times New Roman"/>
          <w:szCs w:val="22"/>
        </w:rPr>
        <w:t xml:space="preserve">V prípade súdnych sporov vedených v prospech </w:t>
      </w:r>
      <w:r w:rsidRPr="0085799C">
        <w:rPr>
          <w:rFonts w:ascii="Times New Roman" w:hAnsi="Times New Roman"/>
          <w:szCs w:val="22"/>
          <w:u w:val="single"/>
        </w:rPr>
        <w:t>MH Manažment, a. s.</w:t>
      </w:r>
      <w:r w:rsidRPr="00BB0D4F">
        <w:rPr>
          <w:rFonts w:ascii="Times New Roman" w:hAnsi="Times New Roman"/>
          <w:szCs w:val="22"/>
        </w:rPr>
        <w:t xml:space="preserve"> bola zaznamenaná medziročne vyššia hodnota o</w:t>
      </w:r>
      <w:r w:rsidR="00D0380F">
        <w:rPr>
          <w:rFonts w:ascii="Times New Roman" w:hAnsi="Times New Roman"/>
          <w:szCs w:val="22"/>
        </w:rPr>
        <w:t xml:space="preserve"> </w:t>
      </w:r>
      <w:r w:rsidRPr="00BB0D4F">
        <w:rPr>
          <w:rFonts w:ascii="Times New Roman" w:hAnsi="Times New Roman"/>
          <w:szCs w:val="22"/>
        </w:rPr>
        <w:t>2</w:t>
      </w:r>
      <w:r w:rsidR="00D0380F">
        <w:rPr>
          <w:rFonts w:ascii="Times New Roman" w:hAnsi="Times New Roman"/>
          <w:szCs w:val="22"/>
        </w:rPr>
        <w:t> </w:t>
      </w:r>
      <w:r w:rsidRPr="00BB0D4F">
        <w:rPr>
          <w:rFonts w:ascii="Times New Roman" w:hAnsi="Times New Roman"/>
          <w:szCs w:val="22"/>
        </w:rPr>
        <w:t>449</w:t>
      </w:r>
      <w:r w:rsidR="00D0380F">
        <w:rPr>
          <w:rFonts w:ascii="Times New Roman" w:hAnsi="Times New Roman"/>
          <w:szCs w:val="22"/>
        </w:rPr>
        <w:t> </w:t>
      </w:r>
      <w:r w:rsidRPr="00BB0D4F">
        <w:rPr>
          <w:rFonts w:ascii="Times New Roman" w:hAnsi="Times New Roman"/>
          <w:szCs w:val="22"/>
        </w:rPr>
        <w:t>tis.</w:t>
      </w:r>
      <w:r w:rsidR="00D0380F">
        <w:rPr>
          <w:rFonts w:ascii="Times New Roman" w:hAnsi="Times New Roman"/>
          <w:szCs w:val="22"/>
        </w:rPr>
        <w:t> </w:t>
      </w:r>
      <w:r w:rsidRPr="00BB0D4F">
        <w:rPr>
          <w:rFonts w:ascii="Times New Roman" w:hAnsi="Times New Roman"/>
          <w:szCs w:val="22"/>
        </w:rPr>
        <w:t>eur vrátane príslušenstva a tým podmienené aktíva zo súdnych sporov z titulu bezdôvodného obohatenia dosiahli hodnotu 48 058 tis. eur.</w:t>
      </w:r>
    </w:p>
    <w:p w14:paraId="0072FB00" w14:textId="10788112" w:rsidR="009F7B40" w:rsidRPr="0085799C" w:rsidRDefault="00D15284" w:rsidP="00BB0D4F">
      <w:pPr>
        <w:spacing w:after="120" w:line="240" w:lineRule="auto"/>
        <w:jc w:val="both"/>
        <w:rPr>
          <w:rFonts w:ascii="Times New Roman" w:hAnsi="Times New Roman"/>
          <w:b/>
          <w:bCs/>
          <w:sz w:val="18"/>
          <w:szCs w:val="18"/>
        </w:rPr>
      </w:pPr>
      <w:r w:rsidRPr="0085799C">
        <w:rPr>
          <w:rFonts w:ascii="Times New Roman" w:hAnsi="Times New Roman"/>
          <w:b/>
          <w:bCs/>
          <w:sz w:val="18"/>
          <w:szCs w:val="18"/>
        </w:rPr>
        <w:t>Tabuľka 27</w:t>
      </w:r>
    </w:p>
    <w:tbl>
      <w:tblPr>
        <w:tblW w:w="9072" w:type="dxa"/>
        <w:jc w:val="center"/>
        <w:tblCellMar>
          <w:left w:w="70" w:type="dxa"/>
          <w:right w:w="70" w:type="dxa"/>
        </w:tblCellMar>
        <w:tblLook w:val="04A0" w:firstRow="1" w:lastRow="0" w:firstColumn="1" w:lastColumn="0" w:noHBand="0" w:noVBand="1"/>
      </w:tblPr>
      <w:tblGrid>
        <w:gridCol w:w="5206"/>
        <w:gridCol w:w="1188"/>
        <w:gridCol w:w="1188"/>
        <w:gridCol w:w="1490"/>
      </w:tblGrid>
      <w:tr w:rsidR="0020009E" w:rsidRPr="001567C8" w14:paraId="19D95CBD" w14:textId="77777777" w:rsidTr="0085799C">
        <w:trPr>
          <w:trHeight w:val="227"/>
          <w:jc w:val="center"/>
        </w:trPr>
        <w:tc>
          <w:tcPr>
            <w:tcW w:w="4820" w:type="dxa"/>
            <w:tcBorders>
              <w:top w:val="single" w:sz="4" w:space="0" w:color="auto"/>
              <w:left w:val="nil"/>
              <w:bottom w:val="single" w:sz="4" w:space="0" w:color="auto"/>
              <w:right w:val="nil"/>
            </w:tcBorders>
            <w:shd w:val="clear" w:color="000000" w:fill="FABF8F"/>
            <w:vAlign w:val="center"/>
            <w:hideMark/>
          </w:tcPr>
          <w:p w14:paraId="11D84154" w14:textId="77777777" w:rsidR="0020009E" w:rsidRPr="001567C8" w:rsidRDefault="0020009E" w:rsidP="0020009E">
            <w:pPr>
              <w:spacing w:after="0" w:line="240" w:lineRule="auto"/>
              <w:rPr>
                <w:rFonts w:ascii="Times New Roman" w:hAnsi="Times New Roman"/>
                <w:b/>
                <w:color w:val="000000"/>
                <w:sz w:val="18"/>
                <w:szCs w:val="18"/>
                <w:lang w:eastAsia="sk-SK"/>
              </w:rPr>
            </w:pPr>
            <w:r w:rsidRPr="001567C8">
              <w:rPr>
                <w:rFonts w:ascii="Times New Roman" w:hAnsi="Times New Roman"/>
                <w:b/>
                <w:color w:val="000000"/>
                <w:sz w:val="18"/>
                <w:szCs w:val="18"/>
                <w:lang w:eastAsia="sk-SK"/>
              </w:rPr>
              <w:t>Prehľad najväčších podmienených aktív</w:t>
            </w:r>
          </w:p>
        </w:tc>
        <w:tc>
          <w:tcPr>
            <w:tcW w:w="1100" w:type="dxa"/>
            <w:tcBorders>
              <w:top w:val="single" w:sz="4" w:space="0" w:color="auto"/>
              <w:left w:val="nil"/>
              <w:bottom w:val="single" w:sz="4" w:space="0" w:color="auto"/>
              <w:right w:val="nil"/>
            </w:tcBorders>
            <w:shd w:val="clear" w:color="000000" w:fill="FABF8F"/>
            <w:vAlign w:val="center"/>
            <w:hideMark/>
          </w:tcPr>
          <w:p w14:paraId="304EE651" w14:textId="77777777" w:rsidR="0020009E" w:rsidRPr="001567C8" w:rsidRDefault="0020009E" w:rsidP="0020009E">
            <w:pPr>
              <w:spacing w:after="0" w:line="240" w:lineRule="auto"/>
              <w:jc w:val="center"/>
              <w:rPr>
                <w:rFonts w:ascii="Times New Roman" w:hAnsi="Times New Roman"/>
                <w:b/>
                <w:color w:val="000000"/>
                <w:sz w:val="18"/>
                <w:szCs w:val="18"/>
                <w:lang w:eastAsia="sk-SK"/>
              </w:rPr>
            </w:pPr>
            <w:r w:rsidRPr="001567C8">
              <w:rPr>
                <w:rFonts w:ascii="Times New Roman" w:hAnsi="Times New Roman"/>
                <w:b/>
                <w:color w:val="000000"/>
                <w:sz w:val="18"/>
                <w:szCs w:val="18"/>
                <w:lang w:eastAsia="sk-SK"/>
              </w:rPr>
              <w:t> </w:t>
            </w:r>
          </w:p>
        </w:tc>
        <w:tc>
          <w:tcPr>
            <w:tcW w:w="1100" w:type="dxa"/>
            <w:tcBorders>
              <w:top w:val="single" w:sz="4" w:space="0" w:color="auto"/>
              <w:left w:val="nil"/>
              <w:bottom w:val="single" w:sz="4" w:space="0" w:color="auto"/>
              <w:right w:val="nil"/>
            </w:tcBorders>
            <w:shd w:val="clear" w:color="000000" w:fill="FABF8F"/>
            <w:vAlign w:val="center"/>
            <w:hideMark/>
          </w:tcPr>
          <w:p w14:paraId="5DE6911C" w14:textId="77777777" w:rsidR="0020009E" w:rsidRPr="001567C8" w:rsidRDefault="0020009E" w:rsidP="0020009E">
            <w:pPr>
              <w:spacing w:after="0" w:line="240" w:lineRule="auto"/>
              <w:jc w:val="center"/>
              <w:rPr>
                <w:rFonts w:ascii="Times New Roman" w:hAnsi="Times New Roman"/>
                <w:b/>
                <w:color w:val="000000"/>
                <w:sz w:val="18"/>
                <w:szCs w:val="18"/>
                <w:lang w:eastAsia="sk-SK"/>
              </w:rPr>
            </w:pPr>
            <w:r w:rsidRPr="001567C8">
              <w:rPr>
                <w:rFonts w:ascii="Times New Roman" w:hAnsi="Times New Roman"/>
                <w:b/>
                <w:color w:val="000000"/>
                <w:sz w:val="18"/>
                <w:szCs w:val="18"/>
                <w:lang w:eastAsia="sk-SK"/>
              </w:rPr>
              <w:t>(v tis. eur)</w:t>
            </w:r>
          </w:p>
        </w:tc>
        <w:tc>
          <w:tcPr>
            <w:tcW w:w="1380" w:type="dxa"/>
            <w:tcBorders>
              <w:top w:val="single" w:sz="4" w:space="0" w:color="auto"/>
              <w:left w:val="nil"/>
              <w:bottom w:val="single" w:sz="4" w:space="0" w:color="auto"/>
              <w:right w:val="nil"/>
            </w:tcBorders>
            <w:shd w:val="clear" w:color="000000" w:fill="FABF8F"/>
            <w:vAlign w:val="center"/>
            <w:hideMark/>
          </w:tcPr>
          <w:p w14:paraId="7159B749" w14:textId="77777777" w:rsidR="0020009E" w:rsidRPr="001567C8" w:rsidRDefault="0020009E" w:rsidP="0020009E">
            <w:pPr>
              <w:spacing w:after="0" w:line="240" w:lineRule="auto"/>
              <w:jc w:val="center"/>
              <w:rPr>
                <w:rFonts w:ascii="Times New Roman" w:hAnsi="Times New Roman"/>
                <w:b/>
                <w:color w:val="000000"/>
                <w:sz w:val="18"/>
                <w:szCs w:val="18"/>
                <w:lang w:eastAsia="sk-SK"/>
              </w:rPr>
            </w:pPr>
            <w:r w:rsidRPr="001567C8">
              <w:rPr>
                <w:rFonts w:ascii="Times New Roman" w:hAnsi="Times New Roman"/>
                <w:b/>
                <w:color w:val="000000"/>
                <w:sz w:val="18"/>
                <w:szCs w:val="18"/>
                <w:lang w:eastAsia="sk-SK"/>
              </w:rPr>
              <w:t> </w:t>
            </w:r>
          </w:p>
        </w:tc>
      </w:tr>
      <w:tr w:rsidR="0020009E" w:rsidRPr="001567C8" w14:paraId="1E3DFD3A" w14:textId="77777777" w:rsidTr="0085799C">
        <w:trPr>
          <w:trHeight w:val="227"/>
          <w:jc w:val="center"/>
        </w:trPr>
        <w:tc>
          <w:tcPr>
            <w:tcW w:w="4820" w:type="dxa"/>
            <w:tcBorders>
              <w:top w:val="nil"/>
              <w:left w:val="nil"/>
              <w:bottom w:val="single" w:sz="4" w:space="0" w:color="auto"/>
              <w:right w:val="nil"/>
            </w:tcBorders>
            <w:shd w:val="clear" w:color="000000" w:fill="B8CCE4"/>
            <w:vAlign w:val="center"/>
            <w:hideMark/>
          </w:tcPr>
          <w:p w14:paraId="42C783D2" w14:textId="77777777" w:rsidR="0020009E" w:rsidRPr="001567C8" w:rsidRDefault="0020009E" w:rsidP="0020009E">
            <w:pPr>
              <w:spacing w:after="0" w:line="240" w:lineRule="auto"/>
              <w:rPr>
                <w:rFonts w:ascii="Times New Roman" w:hAnsi="Times New Roman"/>
                <w:color w:val="000000"/>
                <w:sz w:val="18"/>
                <w:szCs w:val="18"/>
                <w:lang w:eastAsia="sk-SK"/>
              </w:rPr>
            </w:pPr>
            <w:r w:rsidRPr="001567C8">
              <w:rPr>
                <w:rFonts w:ascii="Times New Roman" w:hAnsi="Times New Roman"/>
                <w:color w:val="000000"/>
                <w:sz w:val="18"/>
                <w:szCs w:val="18"/>
                <w:lang w:eastAsia="sk-SK"/>
              </w:rPr>
              <w:t> </w:t>
            </w:r>
          </w:p>
        </w:tc>
        <w:tc>
          <w:tcPr>
            <w:tcW w:w="1100" w:type="dxa"/>
            <w:tcBorders>
              <w:top w:val="nil"/>
              <w:left w:val="nil"/>
              <w:bottom w:val="single" w:sz="4" w:space="0" w:color="auto"/>
              <w:right w:val="nil"/>
            </w:tcBorders>
            <w:shd w:val="clear" w:color="000000" w:fill="B8CCE4"/>
            <w:vAlign w:val="center"/>
            <w:hideMark/>
          </w:tcPr>
          <w:p w14:paraId="7B18DBDD" w14:textId="77777777" w:rsidR="0020009E" w:rsidRPr="001567C8" w:rsidRDefault="0020009E" w:rsidP="0020009E">
            <w:pPr>
              <w:spacing w:after="0" w:line="240" w:lineRule="auto"/>
              <w:jc w:val="center"/>
              <w:rPr>
                <w:rFonts w:ascii="Times New Roman" w:hAnsi="Times New Roman"/>
                <w:b/>
                <w:color w:val="000000"/>
                <w:sz w:val="18"/>
                <w:szCs w:val="18"/>
                <w:lang w:eastAsia="sk-SK"/>
              </w:rPr>
            </w:pPr>
            <w:r w:rsidRPr="001567C8">
              <w:rPr>
                <w:rFonts w:ascii="Times New Roman" w:hAnsi="Times New Roman"/>
                <w:b/>
                <w:color w:val="000000"/>
                <w:sz w:val="18"/>
                <w:szCs w:val="18"/>
                <w:lang w:eastAsia="sk-SK"/>
              </w:rPr>
              <w:t>2024</w:t>
            </w:r>
          </w:p>
        </w:tc>
        <w:tc>
          <w:tcPr>
            <w:tcW w:w="1100" w:type="dxa"/>
            <w:tcBorders>
              <w:top w:val="nil"/>
              <w:left w:val="nil"/>
              <w:bottom w:val="single" w:sz="4" w:space="0" w:color="auto"/>
              <w:right w:val="nil"/>
            </w:tcBorders>
            <w:shd w:val="clear" w:color="000000" w:fill="B8CCE4"/>
            <w:vAlign w:val="center"/>
            <w:hideMark/>
          </w:tcPr>
          <w:p w14:paraId="03B79F8E" w14:textId="77777777" w:rsidR="0020009E" w:rsidRPr="001567C8" w:rsidRDefault="0020009E" w:rsidP="0020009E">
            <w:pPr>
              <w:spacing w:after="0" w:line="240" w:lineRule="auto"/>
              <w:jc w:val="center"/>
              <w:rPr>
                <w:rFonts w:ascii="Times New Roman" w:hAnsi="Times New Roman"/>
                <w:b/>
                <w:color w:val="000000"/>
                <w:sz w:val="18"/>
                <w:szCs w:val="18"/>
                <w:lang w:eastAsia="sk-SK"/>
              </w:rPr>
            </w:pPr>
            <w:r w:rsidRPr="001567C8">
              <w:rPr>
                <w:rFonts w:ascii="Times New Roman" w:hAnsi="Times New Roman"/>
                <w:b/>
                <w:color w:val="000000"/>
                <w:sz w:val="18"/>
                <w:szCs w:val="18"/>
                <w:lang w:eastAsia="sk-SK"/>
              </w:rPr>
              <w:t>2023</w:t>
            </w:r>
          </w:p>
        </w:tc>
        <w:tc>
          <w:tcPr>
            <w:tcW w:w="1380" w:type="dxa"/>
            <w:tcBorders>
              <w:top w:val="nil"/>
              <w:left w:val="nil"/>
              <w:bottom w:val="single" w:sz="4" w:space="0" w:color="auto"/>
              <w:right w:val="nil"/>
            </w:tcBorders>
            <w:shd w:val="clear" w:color="000000" w:fill="B8CCE4"/>
            <w:vAlign w:val="center"/>
            <w:hideMark/>
          </w:tcPr>
          <w:p w14:paraId="3670BE36" w14:textId="77777777" w:rsidR="0020009E" w:rsidRPr="001567C8" w:rsidRDefault="0020009E" w:rsidP="0020009E">
            <w:pPr>
              <w:spacing w:after="0" w:line="240" w:lineRule="auto"/>
              <w:jc w:val="center"/>
              <w:rPr>
                <w:rFonts w:ascii="Times New Roman" w:hAnsi="Times New Roman"/>
                <w:b/>
                <w:color w:val="000000"/>
                <w:sz w:val="18"/>
                <w:szCs w:val="18"/>
                <w:lang w:eastAsia="sk-SK"/>
              </w:rPr>
            </w:pPr>
            <w:r w:rsidRPr="001567C8">
              <w:rPr>
                <w:rFonts w:ascii="Times New Roman" w:hAnsi="Times New Roman"/>
                <w:b/>
                <w:color w:val="000000"/>
                <w:sz w:val="18"/>
                <w:szCs w:val="18"/>
                <w:lang w:eastAsia="sk-SK"/>
              </w:rPr>
              <w:t>Δ 2024-2023</w:t>
            </w:r>
          </w:p>
        </w:tc>
      </w:tr>
      <w:tr w:rsidR="0020009E" w:rsidRPr="001567C8" w14:paraId="0BBC181F" w14:textId="77777777" w:rsidTr="0085799C">
        <w:trPr>
          <w:trHeight w:val="227"/>
          <w:jc w:val="center"/>
        </w:trPr>
        <w:tc>
          <w:tcPr>
            <w:tcW w:w="4820" w:type="dxa"/>
            <w:tcBorders>
              <w:top w:val="nil"/>
              <w:left w:val="nil"/>
              <w:bottom w:val="nil"/>
              <w:right w:val="nil"/>
            </w:tcBorders>
            <w:vAlign w:val="center"/>
            <w:hideMark/>
          </w:tcPr>
          <w:p w14:paraId="4B286B38" w14:textId="77777777" w:rsidR="0020009E" w:rsidRPr="001567C8" w:rsidRDefault="0020009E" w:rsidP="0020009E">
            <w:pPr>
              <w:spacing w:after="0" w:line="240" w:lineRule="auto"/>
              <w:rPr>
                <w:rFonts w:ascii="Times New Roman" w:hAnsi="Times New Roman"/>
                <w:b/>
                <w:color w:val="000000"/>
                <w:sz w:val="18"/>
                <w:szCs w:val="18"/>
                <w:lang w:eastAsia="sk-SK"/>
              </w:rPr>
            </w:pPr>
            <w:r w:rsidRPr="001567C8">
              <w:rPr>
                <w:rFonts w:ascii="Times New Roman" w:hAnsi="Times New Roman"/>
                <w:b/>
                <w:color w:val="000000"/>
                <w:sz w:val="18"/>
                <w:szCs w:val="18"/>
                <w:lang w:eastAsia="sk-SK"/>
              </w:rPr>
              <w:t>Súdne spory a konania</w:t>
            </w:r>
          </w:p>
        </w:tc>
        <w:tc>
          <w:tcPr>
            <w:tcW w:w="1100" w:type="dxa"/>
            <w:tcBorders>
              <w:top w:val="nil"/>
              <w:left w:val="nil"/>
              <w:bottom w:val="nil"/>
              <w:right w:val="nil"/>
            </w:tcBorders>
            <w:noWrap/>
            <w:vAlign w:val="center"/>
            <w:hideMark/>
          </w:tcPr>
          <w:p w14:paraId="68A61251" w14:textId="5F55851F" w:rsidR="0020009E" w:rsidRPr="001567C8" w:rsidRDefault="0020009E" w:rsidP="0020009E">
            <w:pPr>
              <w:spacing w:after="0" w:line="240" w:lineRule="auto"/>
              <w:jc w:val="right"/>
              <w:rPr>
                <w:rFonts w:ascii="Times New Roman" w:hAnsi="Times New Roman"/>
                <w:b/>
                <w:color w:val="000000"/>
                <w:sz w:val="18"/>
                <w:szCs w:val="18"/>
                <w:lang w:eastAsia="sk-SK"/>
              </w:rPr>
            </w:pPr>
            <w:r w:rsidRPr="001567C8">
              <w:rPr>
                <w:rFonts w:ascii="Times New Roman" w:hAnsi="Times New Roman"/>
                <w:b/>
                <w:color w:val="000000"/>
                <w:sz w:val="18"/>
                <w:szCs w:val="18"/>
                <w:lang w:eastAsia="sk-SK"/>
              </w:rPr>
              <w:t>47</w:t>
            </w:r>
            <w:r w:rsidR="00116FFF">
              <w:rPr>
                <w:rFonts w:ascii="Times New Roman" w:hAnsi="Times New Roman"/>
                <w:b/>
                <w:color w:val="000000"/>
                <w:sz w:val="18"/>
                <w:szCs w:val="18"/>
                <w:lang w:eastAsia="sk-SK"/>
              </w:rPr>
              <w:t>4</w:t>
            </w:r>
            <w:r w:rsidRPr="001567C8">
              <w:rPr>
                <w:rFonts w:ascii="Times New Roman" w:hAnsi="Times New Roman"/>
                <w:b/>
                <w:color w:val="000000"/>
                <w:sz w:val="18"/>
                <w:szCs w:val="18"/>
                <w:lang w:eastAsia="sk-SK"/>
              </w:rPr>
              <w:t xml:space="preserve"> </w:t>
            </w:r>
            <w:r w:rsidR="00116FFF">
              <w:rPr>
                <w:rFonts w:ascii="Times New Roman" w:hAnsi="Times New Roman"/>
                <w:b/>
                <w:color w:val="000000"/>
                <w:sz w:val="18"/>
                <w:szCs w:val="18"/>
                <w:lang w:eastAsia="sk-SK"/>
              </w:rPr>
              <w:t>566</w:t>
            </w:r>
          </w:p>
        </w:tc>
        <w:tc>
          <w:tcPr>
            <w:tcW w:w="1100" w:type="dxa"/>
            <w:tcBorders>
              <w:top w:val="nil"/>
              <w:left w:val="nil"/>
              <w:bottom w:val="nil"/>
              <w:right w:val="nil"/>
            </w:tcBorders>
            <w:noWrap/>
            <w:vAlign w:val="center"/>
            <w:hideMark/>
          </w:tcPr>
          <w:p w14:paraId="46199880" w14:textId="6EE0CE4D" w:rsidR="0020009E" w:rsidRPr="001567C8" w:rsidRDefault="00116FFF" w:rsidP="0020009E">
            <w:pPr>
              <w:spacing w:after="0" w:line="240" w:lineRule="auto"/>
              <w:jc w:val="right"/>
              <w:rPr>
                <w:rFonts w:ascii="Times New Roman" w:hAnsi="Times New Roman"/>
                <w:b/>
                <w:color w:val="000000"/>
                <w:sz w:val="18"/>
                <w:szCs w:val="18"/>
                <w:lang w:eastAsia="sk-SK"/>
              </w:rPr>
            </w:pPr>
            <w:r>
              <w:rPr>
                <w:rFonts w:ascii="Times New Roman" w:hAnsi="Times New Roman"/>
                <w:b/>
                <w:color w:val="000000"/>
                <w:sz w:val="18"/>
                <w:szCs w:val="18"/>
                <w:lang w:eastAsia="sk-SK"/>
              </w:rPr>
              <w:t>477 983</w:t>
            </w:r>
          </w:p>
        </w:tc>
        <w:tc>
          <w:tcPr>
            <w:tcW w:w="1380" w:type="dxa"/>
            <w:tcBorders>
              <w:top w:val="nil"/>
              <w:left w:val="nil"/>
              <w:bottom w:val="nil"/>
              <w:right w:val="nil"/>
            </w:tcBorders>
            <w:vAlign w:val="center"/>
            <w:hideMark/>
          </w:tcPr>
          <w:p w14:paraId="5EFC2FA1" w14:textId="41574A39" w:rsidR="0020009E" w:rsidRPr="001567C8" w:rsidRDefault="0020009E" w:rsidP="0020009E">
            <w:pPr>
              <w:spacing w:after="0" w:line="240" w:lineRule="auto"/>
              <w:jc w:val="right"/>
              <w:rPr>
                <w:rFonts w:ascii="Times New Roman" w:hAnsi="Times New Roman"/>
                <w:b/>
                <w:color w:val="000000"/>
                <w:sz w:val="18"/>
                <w:szCs w:val="18"/>
                <w:lang w:eastAsia="sk-SK"/>
              </w:rPr>
            </w:pPr>
            <w:r w:rsidRPr="001567C8">
              <w:rPr>
                <w:rFonts w:ascii="Times New Roman" w:hAnsi="Times New Roman"/>
                <w:b/>
                <w:color w:val="000000"/>
                <w:sz w:val="18"/>
                <w:szCs w:val="18"/>
                <w:lang w:eastAsia="sk-SK"/>
              </w:rPr>
              <w:t>-</w:t>
            </w:r>
            <w:r w:rsidR="00116FFF">
              <w:rPr>
                <w:rFonts w:ascii="Times New Roman" w:hAnsi="Times New Roman"/>
                <w:b/>
                <w:color w:val="000000"/>
                <w:sz w:val="18"/>
                <w:szCs w:val="18"/>
                <w:lang w:eastAsia="sk-SK"/>
              </w:rPr>
              <w:t>3 417</w:t>
            </w:r>
          </w:p>
        </w:tc>
      </w:tr>
      <w:tr w:rsidR="0020009E" w:rsidRPr="001567C8" w14:paraId="70DB9E4C" w14:textId="77777777" w:rsidTr="0085799C">
        <w:trPr>
          <w:trHeight w:val="227"/>
          <w:jc w:val="center"/>
        </w:trPr>
        <w:tc>
          <w:tcPr>
            <w:tcW w:w="4820" w:type="dxa"/>
            <w:tcBorders>
              <w:top w:val="nil"/>
              <w:left w:val="nil"/>
              <w:bottom w:val="nil"/>
              <w:right w:val="nil"/>
            </w:tcBorders>
            <w:vAlign w:val="center"/>
            <w:hideMark/>
          </w:tcPr>
          <w:p w14:paraId="49F60E90" w14:textId="77777777" w:rsidR="0020009E" w:rsidRPr="001567C8" w:rsidRDefault="0020009E" w:rsidP="0020009E">
            <w:pPr>
              <w:spacing w:after="0" w:line="240" w:lineRule="auto"/>
              <w:ind w:firstLineChars="100" w:firstLine="180"/>
              <w:rPr>
                <w:rFonts w:ascii="Times New Roman" w:hAnsi="Times New Roman"/>
                <w:color w:val="000000"/>
                <w:sz w:val="18"/>
                <w:szCs w:val="18"/>
                <w:lang w:eastAsia="sk-SK"/>
              </w:rPr>
            </w:pPr>
            <w:r w:rsidRPr="001567C8">
              <w:rPr>
                <w:rFonts w:ascii="Times New Roman" w:hAnsi="Times New Roman"/>
                <w:color w:val="000000"/>
                <w:sz w:val="18"/>
                <w:szCs w:val="18"/>
                <w:lang w:eastAsia="sk-SK"/>
              </w:rPr>
              <w:t>Vodohospodárska výstavba, š. p.</w:t>
            </w:r>
          </w:p>
        </w:tc>
        <w:tc>
          <w:tcPr>
            <w:tcW w:w="1100" w:type="dxa"/>
            <w:tcBorders>
              <w:top w:val="nil"/>
              <w:left w:val="nil"/>
              <w:bottom w:val="nil"/>
              <w:right w:val="nil"/>
            </w:tcBorders>
            <w:vAlign w:val="center"/>
            <w:hideMark/>
          </w:tcPr>
          <w:p w14:paraId="7F999814"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411 130</w:t>
            </w:r>
          </w:p>
        </w:tc>
        <w:tc>
          <w:tcPr>
            <w:tcW w:w="1100" w:type="dxa"/>
            <w:tcBorders>
              <w:top w:val="nil"/>
              <w:left w:val="nil"/>
              <w:bottom w:val="nil"/>
              <w:right w:val="nil"/>
            </w:tcBorders>
            <w:vAlign w:val="center"/>
            <w:hideMark/>
          </w:tcPr>
          <w:p w14:paraId="426C3B70"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407 466</w:t>
            </w:r>
          </w:p>
        </w:tc>
        <w:tc>
          <w:tcPr>
            <w:tcW w:w="1380" w:type="dxa"/>
            <w:tcBorders>
              <w:top w:val="nil"/>
              <w:left w:val="nil"/>
              <w:bottom w:val="nil"/>
              <w:right w:val="nil"/>
            </w:tcBorders>
            <w:vAlign w:val="center"/>
            <w:hideMark/>
          </w:tcPr>
          <w:p w14:paraId="4D312169"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3 664</w:t>
            </w:r>
          </w:p>
        </w:tc>
      </w:tr>
      <w:tr w:rsidR="0020009E" w:rsidRPr="001567C8" w14:paraId="3379DF74" w14:textId="77777777" w:rsidTr="0085799C">
        <w:trPr>
          <w:trHeight w:val="227"/>
          <w:jc w:val="center"/>
        </w:trPr>
        <w:tc>
          <w:tcPr>
            <w:tcW w:w="4820" w:type="dxa"/>
            <w:tcBorders>
              <w:top w:val="nil"/>
              <w:left w:val="nil"/>
              <w:bottom w:val="nil"/>
              <w:right w:val="nil"/>
            </w:tcBorders>
            <w:vAlign w:val="center"/>
            <w:hideMark/>
          </w:tcPr>
          <w:p w14:paraId="3454ABB1" w14:textId="77777777" w:rsidR="0020009E" w:rsidRPr="001567C8" w:rsidRDefault="0020009E" w:rsidP="0020009E">
            <w:pPr>
              <w:spacing w:after="0" w:line="240" w:lineRule="auto"/>
              <w:ind w:firstLineChars="100" w:firstLine="180"/>
              <w:rPr>
                <w:rFonts w:ascii="Times New Roman" w:hAnsi="Times New Roman"/>
                <w:color w:val="000000"/>
                <w:sz w:val="18"/>
                <w:szCs w:val="18"/>
                <w:lang w:eastAsia="sk-SK"/>
              </w:rPr>
            </w:pPr>
            <w:r w:rsidRPr="001567C8">
              <w:rPr>
                <w:rFonts w:ascii="Times New Roman" w:hAnsi="Times New Roman"/>
                <w:color w:val="000000"/>
                <w:sz w:val="18"/>
                <w:szCs w:val="18"/>
                <w:lang w:eastAsia="sk-SK"/>
              </w:rPr>
              <w:t xml:space="preserve">MH Manažment, a. s. </w:t>
            </w:r>
          </w:p>
        </w:tc>
        <w:tc>
          <w:tcPr>
            <w:tcW w:w="1100" w:type="dxa"/>
            <w:tcBorders>
              <w:top w:val="nil"/>
              <w:left w:val="nil"/>
              <w:bottom w:val="nil"/>
              <w:right w:val="nil"/>
            </w:tcBorders>
            <w:vAlign w:val="center"/>
            <w:hideMark/>
          </w:tcPr>
          <w:p w14:paraId="2F4B764D"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48 508</w:t>
            </w:r>
          </w:p>
        </w:tc>
        <w:tc>
          <w:tcPr>
            <w:tcW w:w="1100" w:type="dxa"/>
            <w:tcBorders>
              <w:top w:val="nil"/>
              <w:left w:val="nil"/>
              <w:bottom w:val="nil"/>
              <w:right w:val="nil"/>
            </w:tcBorders>
            <w:vAlign w:val="center"/>
            <w:hideMark/>
          </w:tcPr>
          <w:p w14:paraId="7D062902"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46 059</w:t>
            </w:r>
          </w:p>
        </w:tc>
        <w:tc>
          <w:tcPr>
            <w:tcW w:w="1380" w:type="dxa"/>
            <w:tcBorders>
              <w:top w:val="nil"/>
              <w:left w:val="nil"/>
              <w:bottom w:val="nil"/>
              <w:right w:val="nil"/>
            </w:tcBorders>
            <w:vAlign w:val="center"/>
            <w:hideMark/>
          </w:tcPr>
          <w:p w14:paraId="7060250A"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2 449</w:t>
            </w:r>
          </w:p>
        </w:tc>
      </w:tr>
      <w:tr w:rsidR="0020009E" w:rsidRPr="001567C8" w14:paraId="03854833" w14:textId="77777777" w:rsidTr="0085799C">
        <w:trPr>
          <w:trHeight w:val="227"/>
          <w:jc w:val="center"/>
        </w:trPr>
        <w:tc>
          <w:tcPr>
            <w:tcW w:w="4820" w:type="dxa"/>
            <w:tcBorders>
              <w:top w:val="nil"/>
              <w:left w:val="nil"/>
              <w:bottom w:val="nil"/>
              <w:right w:val="nil"/>
            </w:tcBorders>
            <w:vAlign w:val="center"/>
            <w:hideMark/>
          </w:tcPr>
          <w:p w14:paraId="657E317E" w14:textId="77777777" w:rsidR="0020009E" w:rsidRPr="001567C8" w:rsidRDefault="0020009E" w:rsidP="0020009E">
            <w:pPr>
              <w:spacing w:after="0" w:line="240" w:lineRule="auto"/>
              <w:ind w:firstLineChars="100" w:firstLine="180"/>
              <w:rPr>
                <w:rFonts w:ascii="Times New Roman" w:hAnsi="Times New Roman"/>
                <w:color w:val="000000"/>
                <w:sz w:val="18"/>
                <w:szCs w:val="18"/>
                <w:lang w:eastAsia="sk-SK"/>
              </w:rPr>
            </w:pPr>
            <w:r w:rsidRPr="001567C8">
              <w:rPr>
                <w:rFonts w:ascii="Times New Roman" w:hAnsi="Times New Roman"/>
                <w:color w:val="000000"/>
                <w:sz w:val="18"/>
                <w:szCs w:val="18"/>
                <w:lang w:eastAsia="sk-SK"/>
              </w:rPr>
              <w:t>Finančné riaditeľstvo SR</w:t>
            </w:r>
          </w:p>
        </w:tc>
        <w:tc>
          <w:tcPr>
            <w:tcW w:w="1100" w:type="dxa"/>
            <w:tcBorders>
              <w:top w:val="nil"/>
              <w:left w:val="nil"/>
              <w:bottom w:val="nil"/>
              <w:right w:val="nil"/>
            </w:tcBorders>
            <w:vAlign w:val="center"/>
            <w:hideMark/>
          </w:tcPr>
          <w:p w14:paraId="353D8C23"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4 092</w:t>
            </w:r>
          </w:p>
        </w:tc>
        <w:tc>
          <w:tcPr>
            <w:tcW w:w="1100" w:type="dxa"/>
            <w:tcBorders>
              <w:top w:val="nil"/>
              <w:left w:val="nil"/>
              <w:bottom w:val="nil"/>
              <w:right w:val="nil"/>
            </w:tcBorders>
            <w:vAlign w:val="center"/>
            <w:hideMark/>
          </w:tcPr>
          <w:p w14:paraId="1535DAA2"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4 077</w:t>
            </w:r>
          </w:p>
        </w:tc>
        <w:tc>
          <w:tcPr>
            <w:tcW w:w="1380" w:type="dxa"/>
            <w:tcBorders>
              <w:top w:val="nil"/>
              <w:left w:val="nil"/>
              <w:bottom w:val="nil"/>
              <w:right w:val="nil"/>
            </w:tcBorders>
            <w:vAlign w:val="center"/>
            <w:hideMark/>
          </w:tcPr>
          <w:p w14:paraId="4E112A01"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15</w:t>
            </w:r>
          </w:p>
        </w:tc>
      </w:tr>
      <w:tr w:rsidR="0020009E" w:rsidRPr="001567C8" w14:paraId="4FA557A9" w14:textId="77777777" w:rsidTr="0085799C">
        <w:trPr>
          <w:trHeight w:val="227"/>
          <w:jc w:val="center"/>
        </w:trPr>
        <w:tc>
          <w:tcPr>
            <w:tcW w:w="4820" w:type="dxa"/>
            <w:tcBorders>
              <w:top w:val="nil"/>
              <w:left w:val="nil"/>
              <w:bottom w:val="nil"/>
              <w:right w:val="nil"/>
            </w:tcBorders>
            <w:vAlign w:val="center"/>
            <w:hideMark/>
          </w:tcPr>
          <w:p w14:paraId="2B2F8C38" w14:textId="77777777" w:rsidR="0020009E" w:rsidRPr="001567C8" w:rsidRDefault="0020009E" w:rsidP="0020009E">
            <w:pPr>
              <w:spacing w:after="0" w:line="240" w:lineRule="auto"/>
              <w:ind w:firstLineChars="100" w:firstLine="180"/>
              <w:rPr>
                <w:rFonts w:ascii="Times New Roman" w:hAnsi="Times New Roman"/>
                <w:color w:val="000000"/>
                <w:sz w:val="18"/>
                <w:szCs w:val="18"/>
                <w:lang w:eastAsia="sk-SK"/>
              </w:rPr>
            </w:pPr>
            <w:r w:rsidRPr="001567C8">
              <w:rPr>
                <w:rFonts w:ascii="Times New Roman" w:hAnsi="Times New Roman"/>
                <w:color w:val="000000"/>
                <w:sz w:val="18"/>
                <w:szCs w:val="18"/>
                <w:lang w:eastAsia="sk-SK"/>
              </w:rPr>
              <w:t>Ministerstvo financií SR</w:t>
            </w:r>
          </w:p>
        </w:tc>
        <w:tc>
          <w:tcPr>
            <w:tcW w:w="1100" w:type="dxa"/>
            <w:tcBorders>
              <w:top w:val="nil"/>
              <w:left w:val="nil"/>
              <w:bottom w:val="nil"/>
              <w:right w:val="nil"/>
            </w:tcBorders>
            <w:vAlign w:val="center"/>
            <w:hideMark/>
          </w:tcPr>
          <w:p w14:paraId="5A2302F4"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3 910</w:t>
            </w:r>
          </w:p>
        </w:tc>
        <w:tc>
          <w:tcPr>
            <w:tcW w:w="1100" w:type="dxa"/>
            <w:tcBorders>
              <w:top w:val="nil"/>
              <w:left w:val="nil"/>
              <w:bottom w:val="nil"/>
              <w:right w:val="nil"/>
            </w:tcBorders>
            <w:vAlign w:val="center"/>
            <w:hideMark/>
          </w:tcPr>
          <w:p w14:paraId="0C3536D7"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3 910</w:t>
            </w:r>
          </w:p>
        </w:tc>
        <w:tc>
          <w:tcPr>
            <w:tcW w:w="1380" w:type="dxa"/>
            <w:tcBorders>
              <w:top w:val="nil"/>
              <w:left w:val="nil"/>
              <w:bottom w:val="nil"/>
              <w:right w:val="nil"/>
            </w:tcBorders>
            <w:vAlign w:val="center"/>
            <w:hideMark/>
          </w:tcPr>
          <w:p w14:paraId="708594AB"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0</w:t>
            </w:r>
          </w:p>
        </w:tc>
      </w:tr>
      <w:tr w:rsidR="0020009E" w:rsidRPr="001567C8" w14:paraId="14504D66" w14:textId="77777777" w:rsidTr="0085799C">
        <w:trPr>
          <w:trHeight w:val="227"/>
          <w:jc w:val="center"/>
        </w:trPr>
        <w:tc>
          <w:tcPr>
            <w:tcW w:w="4820" w:type="dxa"/>
            <w:tcBorders>
              <w:top w:val="nil"/>
              <w:left w:val="nil"/>
              <w:bottom w:val="nil"/>
              <w:right w:val="nil"/>
            </w:tcBorders>
            <w:vAlign w:val="center"/>
            <w:hideMark/>
          </w:tcPr>
          <w:p w14:paraId="1520CBD5" w14:textId="77777777" w:rsidR="0020009E" w:rsidRPr="001567C8" w:rsidRDefault="0020009E" w:rsidP="0020009E">
            <w:pPr>
              <w:spacing w:after="0" w:line="240" w:lineRule="auto"/>
              <w:ind w:firstLineChars="100" w:firstLine="180"/>
              <w:rPr>
                <w:rFonts w:ascii="Times New Roman" w:hAnsi="Times New Roman"/>
                <w:color w:val="000000"/>
                <w:sz w:val="18"/>
                <w:szCs w:val="18"/>
                <w:lang w:eastAsia="sk-SK"/>
              </w:rPr>
            </w:pPr>
            <w:r w:rsidRPr="001567C8">
              <w:rPr>
                <w:rFonts w:ascii="Times New Roman" w:hAnsi="Times New Roman"/>
                <w:color w:val="000000"/>
                <w:sz w:val="18"/>
                <w:szCs w:val="18"/>
                <w:lang w:eastAsia="sk-SK"/>
              </w:rPr>
              <w:t xml:space="preserve">Environmentálny fond </w:t>
            </w:r>
          </w:p>
        </w:tc>
        <w:tc>
          <w:tcPr>
            <w:tcW w:w="1100" w:type="dxa"/>
            <w:tcBorders>
              <w:top w:val="nil"/>
              <w:left w:val="nil"/>
              <w:bottom w:val="nil"/>
              <w:right w:val="nil"/>
            </w:tcBorders>
            <w:vAlign w:val="center"/>
            <w:hideMark/>
          </w:tcPr>
          <w:p w14:paraId="26387143"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3 766</w:t>
            </w:r>
          </w:p>
        </w:tc>
        <w:tc>
          <w:tcPr>
            <w:tcW w:w="1100" w:type="dxa"/>
            <w:tcBorders>
              <w:top w:val="nil"/>
              <w:left w:val="nil"/>
              <w:bottom w:val="nil"/>
              <w:right w:val="nil"/>
            </w:tcBorders>
            <w:vAlign w:val="center"/>
            <w:hideMark/>
          </w:tcPr>
          <w:p w14:paraId="5E5DEABC"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10 168</w:t>
            </w:r>
          </w:p>
        </w:tc>
        <w:tc>
          <w:tcPr>
            <w:tcW w:w="1380" w:type="dxa"/>
            <w:tcBorders>
              <w:top w:val="nil"/>
              <w:left w:val="nil"/>
              <w:bottom w:val="nil"/>
              <w:right w:val="nil"/>
            </w:tcBorders>
            <w:vAlign w:val="center"/>
            <w:hideMark/>
          </w:tcPr>
          <w:p w14:paraId="54030E81"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-6 402</w:t>
            </w:r>
          </w:p>
        </w:tc>
      </w:tr>
      <w:tr w:rsidR="0020009E" w:rsidRPr="001567C8" w14:paraId="52CE10CB" w14:textId="77777777" w:rsidTr="0085799C">
        <w:trPr>
          <w:trHeight w:val="227"/>
          <w:jc w:val="center"/>
        </w:trPr>
        <w:tc>
          <w:tcPr>
            <w:tcW w:w="4820" w:type="dxa"/>
            <w:tcBorders>
              <w:top w:val="nil"/>
              <w:left w:val="nil"/>
              <w:bottom w:val="nil"/>
              <w:right w:val="nil"/>
            </w:tcBorders>
            <w:vAlign w:val="center"/>
            <w:hideMark/>
          </w:tcPr>
          <w:p w14:paraId="67B5F00F" w14:textId="77777777" w:rsidR="0020009E" w:rsidRPr="001567C8" w:rsidRDefault="0020009E" w:rsidP="0020009E">
            <w:pPr>
              <w:spacing w:after="0" w:line="240" w:lineRule="auto"/>
              <w:ind w:firstLineChars="100" w:firstLine="180"/>
              <w:rPr>
                <w:rFonts w:ascii="Times New Roman" w:hAnsi="Times New Roman"/>
                <w:color w:val="000000"/>
                <w:sz w:val="18"/>
                <w:szCs w:val="18"/>
                <w:lang w:eastAsia="sk-SK"/>
              </w:rPr>
            </w:pPr>
            <w:r w:rsidRPr="001567C8">
              <w:rPr>
                <w:rFonts w:ascii="Times New Roman" w:hAnsi="Times New Roman"/>
                <w:color w:val="000000"/>
                <w:sz w:val="18"/>
                <w:szCs w:val="18"/>
                <w:lang w:eastAsia="sk-SK"/>
              </w:rPr>
              <w:t>Železničná spoločnosť Slovensko, a.s.</w:t>
            </w:r>
          </w:p>
        </w:tc>
        <w:tc>
          <w:tcPr>
            <w:tcW w:w="1100" w:type="dxa"/>
            <w:tcBorders>
              <w:top w:val="nil"/>
              <w:left w:val="nil"/>
              <w:bottom w:val="nil"/>
              <w:right w:val="nil"/>
            </w:tcBorders>
            <w:vAlign w:val="center"/>
            <w:hideMark/>
          </w:tcPr>
          <w:p w14:paraId="49C75D85"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1 820</w:t>
            </w:r>
          </w:p>
        </w:tc>
        <w:tc>
          <w:tcPr>
            <w:tcW w:w="1100" w:type="dxa"/>
            <w:tcBorders>
              <w:top w:val="nil"/>
              <w:left w:val="nil"/>
              <w:bottom w:val="nil"/>
              <w:right w:val="nil"/>
            </w:tcBorders>
            <w:vAlign w:val="center"/>
            <w:hideMark/>
          </w:tcPr>
          <w:p w14:paraId="005B8AA4"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2 319</w:t>
            </w:r>
          </w:p>
        </w:tc>
        <w:tc>
          <w:tcPr>
            <w:tcW w:w="1380" w:type="dxa"/>
            <w:tcBorders>
              <w:top w:val="nil"/>
              <w:left w:val="nil"/>
              <w:bottom w:val="nil"/>
              <w:right w:val="nil"/>
            </w:tcBorders>
            <w:vAlign w:val="center"/>
            <w:hideMark/>
          </w:tcPr>
          <w:p w14:paraId="52E26874"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-499</w:t>
            </w:r>
          </w:p>
        </w:tc>
      </w:tr>
      <w:tr w:rsidR="0020009E" w:rsidRPr="001567C8" w14:paraId="158F1019" w14:textId="77777777" w:rsidTr="0085799C">
        <w:trPr>
          <w:trHeight w:val="227"/>
          <w:jc w:val="center"/>
        </w:trPr>
        <w:tc>
          <w:tcPr>
            <w:tcW w:w="4820" w:type="dxa"/>
            <w:tcBorders>
              <w:top w:val="nil"/>
              <w:left w:val="nil"/>
              <w:bottom w:val="nil"/>
              <w:right w:val="nil"/>
            </w:tcBorders>
            <w:vAlign w:val="center"/>
            <w:hideMark/>
          </w:tcPr>
          <w:p w14:paraId="46671E20" w14:textId="77777777" w:rsidR="0020009E" w:rsidRPr="001567C8" w:rsidRDefault="0020009E" w:rsidP="0020009E">
            <w:pPr>
              <w:spacing w:after="0" w:line="240" w:lineRule="auto"/>
              <w:ind w:firstLineChars="100" w:firstLine="180"/>
              <w:rPr>
                <w:rFonts w:ascii="Times New Roman" w:hAnsi="Times New Roman"/>
                <w:color w:val="000000"/>
                <w:sz w:val="18"/>
                <w:szCs w:val="18"/>
                <w:lang w:eastAsia="sk-SK"/>
              </w:rPr>
            </w:pPr>
            <w:r w:rsidRPr="001567C8">
              <w:rPr>
                <w:rFonts w:ascii="Times New Roman" w:hAnsi="Times New Roman"/>
                <w:color w:val="000000"/>
                <w:sz w:val="18"/>
                <w:szCs w:val="18"/>
                <w:lang w:eastAsia="sk-SK"/>
              </w:rPr>
              <w:t>Ministerstvo vnútra SR</w:t>
            </w:r>
          </w:p>
        </w:tc>
        <w:tc>
          <w:tcPr>
            <w:tcW w:w="1100" w:type="dxa"/>
            <w:tcBorders>
              <w:top w:val="nil"/>
              <w:left w:val="nil"/>
              <w:bottom w:val="nil"/>
              <w:right w:val="nil"/>
            </w:tcBorders>
            <w:vAlign w:val="center"/>
            <w:hideMark/>
          </w:tcPr>
          <w:p w14:paraId="7CFB9E6B"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1 340</w:t>
            </w:r>
          </w:p>
        </w:tc>
        <w:tc>
          <w:tcPr>
            <w:tcW w:w="1100" w:type="dxa"/>
            <w:tcBorders>
              <w:top w:val="nil"/>
              <w:left w:val="nil"/>
              <w:bottom w:val="nil"/>
              <w:right w:val="nil"/>
            </w:tcBorders>
            <w:vAlign w:val="center"/>
            <w:hideMark/>
          </w:tcPr>
          <w:p w14:paraId="5BF9652E"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3 984</w:t>
            </w:r>
          </w:p>
        </w:tc>
        <w:tc>
          <w:tcPr>
            <w:tcW w:w="1380" w:type="dxa"/>
            <w:tcBorders>
              <w:top w:val="nil"/>
              <w:left w:val="nil"/>
              <w:bottom w:val="nil"/>
              <w:right w:val="nil"/>
            </w:tcBorders>
            <w:vAlign w:val="center"/>
            <w:hideMark/>
          </w:tcPr>
          <w:p w14:paraId="09AB8EB9"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-2 644</w:t>
            </w:r>
          </w:p>
        </w:tc>
      </w:tr>
      <w:tr w:rsidR="0020009E" w:rsidRPr="001567C8" w14:paraId="3A2CBD45" w14:textId="77777777" w:rsidTr="0085799C">
        <w:trPr>
          <w:trHeight w:val="227"/>
          <w:jc w:val="center"/>
        </w:trPr>
        <w:tc>
          <w:tcPr>
            <w:tcW w:w="4820" w:type="dxa"/>
            <w:tcBorders>
              <w:top w:val="nil"/>
              <w:left w:val="nil"/>
              <w:bottom w:val="nil"/>
              <w:right w:val="nil"/>
            </w:tcBorders>
            <w:vAlign w:val="center"/>
            <w:hideMark/>
          </w:tcPr>
          <w:p w14:paraId="2C694E19" w14:textId="77777777" w:rsidR="0020009E" w:rsidRPr="001567C8" w:rsidRDefault="0020009E" w:rsidP="0020009E">
            <w:pPr>
              <w:spacing w:after="0" w:line="240" w:lineRule="auto"/>
              <w:rPr>
                <w:rFonts w:ascii="Times New Roman" w:hAnsi="Times New Roman"/>
                <w:b/>
                <w:color w:val="000000"/>
                <w:sz w:val="18"/>
                <w:szCs w:val="18"/>
                <w:lang w:eastAsia="sk-SK"/>
              </w:rPr>
            </w:pPr>
            <w:r w:rsidRPr="001567C8">
              <w:rPr>
                <w:rFonts w:ascii="Times New Roman" w:hAnsi="Times New Roman"/>
                <w:b/>
                <w:color w:val="000000"/>
                <w:sz w:val="18"/>
                <w:szCs w:val="18"/>
                <w:lang w:eastAsia="sk-SK"/>
              </w:rPr>
              <w:t>Iné (štátne podniky)</w:t>
            </w:r>
          </w:p>
        </w:tc>
        <w:tc>
          <w:tcPr>
            <w:tcW w:w="1100" w:type="dxa"/>
            <w:tcBorders>
              <w:top w:val="nil"/>
              <w:left w:val="nil"/>
              <w:bottom w:val="nil"/>
              <w:right w:val="nil"/>
            </w:tcBorders>
            <w:noWrap/>
            <w:vAlign w:val="center"/>
            <w:hideMark/>
          </w:tcPr>
          <w:p w14:paraId="5EE5E5B4" w14:textId="77777777" w:rsidR="0020009E" w:rsidRPr="001567C8" w:rsidRDefault="0020009E" w:rsidP="0020009E">
            <w:pPr>
              <w:spacing w:after="0" w:line="240" w:lineRule="auto"/>
              <w:jc w:val="right"/>
              <w:rPr>
                <w:rFonts w:ascii="Times New Roman" w:hAnsi="Times New Roman"/>
                <w:b/>
                <w:color w:val="000000"/>
                <w:sz w:val="18"/>
                <w:szCs w:val="18"/>
                <w:lang w:eastAsia="sk-SK"/>
              </w:rPr>
            </w:pPr>
            <w:r w:rsidRPr="001567C8">
              <w:rPr>
                <w:rFonts w:ascii="Times New Roman" w:hAnsi="Times New Roman"/>
                <w:b/>
                <w:color w:val="000000"/>
                <w:sz w:val="18"/>
                <w:szCs w:val="18"/>
                <w:lang w:eastAsia="sk-SK"/>
              </w:rPr>
              <w:t>7 186 992</w:t>
            </w:r>
          </w:p>
        </w:tc>
        <w:tc>
          <w:tcPr>
            <w:tcW w:w="1100" w:type="dxa"/>
            <w:tcBorders>
              <w:top w:val="nil"/>
              <w:left w:val="nil"/>
              <w:bottom w:val="nil"/>
              <w:right w:val="nil"/>
            </w:tcBorders>
            <w:noWrap/>
            <w:vAlign w:val="center"/>
            <w:hideMark/>
          </w:tcPr>
          <w:p w14:paraId="34AA1550" w14:textId="77777777" w:rsidR="0020009E" w:rsidRPr="001567C8" w:rsidRDefault="0020009E" w:rsidP="0020009E">
            <w:pPr>
              <w:spacing w:after="0" w:line="240" w:lineRule="auto"/>
              <w:jc w:val="right"/>
              <w:rPr>
                <w:rFonts w:ascii="Times New Roman" w:hAnsi="Times New Roman"/>
                <w:b/>
                <w:color w:val="000000"/>
                <w:sz w:val="18"/>
                <w:szCs w:val="18"/>
                <w:lang w:eastAsia="sk-SK"/>
              </w:rPr>
            </w:pPr>
            <w:r w:rsidRPr="001567C8">
              <w:rPr>
                <w:rFonts w:ascii="Times New Roman" w:hAnsi="Times New Roman"/>
                <w:b/>
                <w:color w:val="000000"/>
                <w:sz w:val="18"/>
                <w:szCs w:val="18"/>
                <w:lang w:eastAsia="sk-SK"/>
              </w:rPr>
              <w:t>7 492 116</w:t>
            </w:r>
          </w:p>
        </w:tc>
        <w:tc>
          <w:tcPr>
            <w:tcW w:w="1380" w:type="dxa"/>
            <w:tcBorders>
              <w:top w:val="nil"/>
              <w:left w:val="nil"/>
              <w:bottom w:val="nil"/>
              <w:right w:val="nil"/>
            </w:tcBorders>
            <w:vAlign w:val="center"/>
            <w:hideMark/>
          </w:tcPr>
          <w:p w14:paraId="7C007F9E" w14:textId="77777777" w:rsidR="0020009E" w:rsidRPr="001567C8" w:rsidRDefault="0020009E" w:rsidP="0020009E">
            <w:pPr>
              <w:spacing w:after="0" w:line="240" w:lineRule="auto"/>
              <w:jc w:val="right"/>
              <w:rPr>
                <w:rFonts w:ascii="Times New Roman" w:hAnsi="Times New Roman"/>
                <w:b/>
                <w:color w:val="000000"/>
                <w:sz w:val="18"/>
                <w:szCs w:val="18"/>
                <w:lang w:eastAsia="sk-SK"/>
              </w:rPr>
            </w:pPr>
            <w:r w:rsidRPr="001567C8">
              <w:rPr>
                <w:rFonts w:ascii="Times New Roman" w:hAnsi="Times New Roman"/>
                <w:b/>
                <w:color w:val="000000"/>
                <w:sz w:val="18"/>
                <w:szCs w:val="18"/>
                <w:lang w:eastAsia="sk-SK"/>
              </w:rPr>
              <w:t>-305 124</w:t>
            </w:r>
          </w:p>
        </w:tc>
      </w:tr>
      <w:tr w:rsidR="0020009E" w:rsidRPr="001567C8" w14:paraId="14479516" w14:textId="77777777" w:rsidTr="0085799C">
        <w:trPr>
          <w:trHeight w:val="227"/>
          <w:jc w:val="center"/>
        </w:trPr>
        <w:tc>
          <w:tcPr>
            <w:tcW w:w="4820" w:type="dxa"/>
            <w:tcBorders>
              <w:top w:val="nil"/>
              <w:left w:val="nil"/>
              <w:bottom w:val="nil"/>
              <w:right w:val="nil"/>
            </w:tcBorders>
            <w:vAlign w:val="center"/>
            <w:hideMark/>
          </w:tcPr>
          <w:p w14:paraId="6165D70E" w14:textId="0DDDAA1E" w:rsidR="0020009E" w:rsidRPr="001567C8" w:rsidRDefault="00C707D3" w:rsidP="0020009E">
            <w:pPr>
              <w:spacing w:after="0" w:line="240" w:lineRule="auto"/>
              <w:ind w:firstLineChars="100" w:firstLine="180"/>
              <w:rPr>
                <w:rFonts w:ascii="Times New Roman" w:hAnsi="Times New Roman"/>
                <w:color w:val="000000"/>
                <w:sz w:val="18"/>
                <w:szCs w:val="18"/>
                <w:lang w:eastAsia="sk-SK"/>
              </w:rPr>
            </w:pPr>
            <w:r w:rsidRPr="00C707D3">
              <w:rPr>
                <w:rFonts w:ascii="Times New Roman" w:hAnsi="Times New Roman"/>
                <w:color w:val="000000"/>
                <w:sz w:val="18"/>
                <w:szCs w:val="18"/>
                <w:lang w:eastAsia="sk-SK"/>
              </w:rPr>
              <w:t>LESY Slovenskej republiky</w:t>
            </w:r>
            <w:r>
              <w:rPr>
                <w:rFonts w:ascii="Times New Roman" w:hAnsi="Times New Roman"/>
                <w:color w:val="000000"/>
                <w:sz w:val="18"/>
                <w:szCs w:val="18"/>
                <w:lang w:eastAsia="sk-SK"/>
              </w:rPr>
              <w:t xml:space="preserve"> </w:t>
            </w:r>
            <w:r w:rsidR="0020009E" w:rsidRPr="001567C8">
              <w:rPr>
                <w:rFonts w:ascii="Times New Roman" w:hAnsi="Times New Roman"/>
                <w:color w:val="000000"/>
                <w:sz w:val="18"/>
                <w:szCs w:val="18"/>
                <w:lang w:eastAsia="sk-SK"/>
              </w:rPr>
              <w:t xml:space="preserve">(hodnota </w:t>
            </w:r>
            <w:r>
              <w:rPr>
                <w:rFonts w:ascii="Times New Roman" w:hAnsi="Times New Roman"/>
                <w:color w:val="000000"/>
                <w:sz w:val="18"/>
                <w:szCs w:val="18"/>
                <w:lang w:eastAsia="sk-SK"/>
              </w:rPr>
              <w:t>l</w:t>
            </w:r>
            <w:r w:rsidR="0020009E" w:rsidRPr="001567C8">
              <w:rPr>
                <w:rFonts w:ascii="Times New Roman" w:hAnsi="Times New Roman"/>
                <w:color w:val="000000"/>
                <w:sz w:val="18"/>
                <w:szCs w:val="18"/>
                <w:lang w:eastAsia="sk-SK"/>
              </w:rPr>
              <w:t>esných porastov)</w:t>
            </w:r>
          </w:p>
        </w:tc>
        <w:tc>
          <w:tcPr>
            <w:tcW w:w="1100" w:type="dxa"/>
            <w:tcBorders>
              <w:top w:val="nil"/>
              <w:left w:val="nil"/>
              <w:bottom w:val="nil"/>
              <w:right w:val="nil"/>
            </w:tcBorders>
            <w:noWrap/>
            <w:vAlign w:val="center"/>
            <w:hideMark/>
          </w:tcPr>
          <w:p w14:paraId="1AF82FDF"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3 253 447</w:t>
            </w:r>
          </w:p>
        </w:tc>
        <w:tc>
          <w:tcPr>
            <w:tcW w:w="1100" w:type="dxa"/>
            <w:tcBorders>
              <w:top w:val="nil"/>
              <w:left w:val="nil"/>
              <w:bottom w:val="nil"/>
              <w:right w:val="nil"/>
            </w:tcBorders>
            <w:noWrap/>
            <w:vAlign w:val="center"/>
            <w:hideMark/>
          </w:tcPr>
          <w:p w14:paraId="3E51342F"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3 492 264</w:t>
            </w:r>
          </w:p>
        </w:tc>
        <w:tc>
          <w:tcPr>
            <w:tcW w:w="1380" w:type="dxa"/>
            <w:tcBorders>
              <w:top w:val="nil"/>
              <w:left w:val="nil"/>
              <w:bottom w:val="nil"/>
              <w:right w:val="nil"/>
            </w:tcBorders>
            <w:vAlign w:val="center"/>
            <w:hideMark/>
          </w:tcPr>
          <w:p w14:paraId="4C4BD56D"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-238 817</w:t>
            </w:r>
          </w:p>
        </w:tc>
      </w:tr>
      <w:tr w:rsidR="0020009E" w:rsidRPr="001567C8" w14:paraId="569320E4" w14:textId="77777777" w:rsidTr="0085799C">
        <w:trPr>
          <w:trHeight w:val="227"/>
          <w:jc w:val="center"/>
        </w:trPr>
        <w:tc>
          <w:tcPr>
            <w:tcW w:w="4820" w:type="dxa"/>
            <w:tcBorders>
              <w:top w:val="nil"/>
              <w:left w:val="nil"/>
              <w:bottom w:val="nil"/>
              <w:right w:val="nil"/>
            </w:tcBorders>
            <w:vAlign w:val="center"/>
            <w:hideMark/>
          </w:tcPr>
          <w:p w14:paraId="192F2258" w14:textId="27F7B433" w:rsidR="0020009E" w:rsidRPr="001567C8" w:rsidRDefault="0020009E" w:rsidP="0020009E">
            <w:pPr>
              <w:spacing w:after="0" w:line="240" w:lineRule="auto"/>
              <w:ind w:firstLineChars="100" w:firstLine="180"/>
              <w:rPr>
                <w:rFonts w:ascii="Times New Roman" w:hAnsi="Times New Roman"/>
                <w:color w:val="000000"/>
                <w:sz w:val="18"/>
                <w:szCs w:val="18"/>
                <w:lang w:eastAsia="sk-SK"/>
              </w:rPr>
            </w:pPr>
            <w:proofErr w:type="spellStart"/>
            <w:r w:rsidRPr="001567C8">
              <w:rPr>
                <w:rFonts w:ascii="Times New Roman" w:hAnsi="Times New Roman"/>
                <w:color w:val="000000"/>
                <w:sz w:val="18"/>
                <w:szCs w:val="18"/>
                <w:lang w:eastAsia="sk-SK"/>
              </w:rPr>
              <w:t>SKo</w:t>
            </w:r>
            <w:proofErr w:type="spellEnd"/>
            <w:r w:rsidRPr="001567C8">
              <w:rPr>
                <w:rFonts w:ascii="Times New Roman" w:hAnsi="Times New Roman"/>
                <w:color w:val="000000"/>
                <w:sz w:val="18"/>
                <w:szCs w:val="18"/>
                <w:lang w:eastAsia="sk-SK"/>
              </w:rPr>
              <w:t xml:space="preserve">, a. s. (pohľadávky na </w:t>
            </w:r>
            <w:proofErr w:type="spellStart"/>
            <w:r w:rsidRPr="001567C8">
              <w:rPr>
                <w:rFonts w:ascii="Times New Roman" w:hAnsi="Times New Roman"/>
                <w:color w:val="000000"/>
                <w:sz w:val="18"/>
                <w:szCs w:val="18"/>
                <w:lang w:eastAsia="sk-SK"/>
              </w:rPr>
              <w:t>podsúvahe</w:t>
            </w:r>
            <w:proofErr w:type="spellEnd"/>
            <w:r w:rsidRPr="001567C8">
              <w:rPr>
                <w:rFonts w:ascii="Times New Roman" w:hAnsi="Times New Roman"/>
                <w:color w:val="000000"/>
                <w:sz w:val="18"/>
                <w:szCs w:val="18"/>
                <w:lang w:eastAsia="sk-SK"/>
              </w:rPr>
              <w:t>)</w:t>
            </w:r>
          </w:p>
        </w:tc>
        <w:tc>
          <w:tcPr>
            <w:tcW w:w="1100" w:type="dxa"/>
            <w:tcBorders>
              <w:top w:val="nil"/>
              <w:left w:val="nil"/>
              <w:bottom w:val="nil"/>
              <w:right w:val="nil"/>
            </w:tcBorders>
            <w:noWrap/>
            <w:vAlign w:val="center"/>
            <w:hideMark/>
          </w:tcPr>
          <w:p w14:paraId="40454A08"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2 932 630</w:t>
            </w:r>
          </w:p>
        </w:tc>
        <w:tc>
          <w:tcPr>
            <w:tcW w:w="1100" w:type="dxa"/>
            <w:tcBorders>
              <w:top w:val="nil"/>
              <w:left w:val="nil"/>
              <w:bottom w:val="nil"/>
              <w:right w:val="nil"/>
            </w:tcBorders>
            <w:noWrap/>
            <w:vAlign w:val="center"/>
            <w:hideMark/>
          </w:tcPr>
          <w:p w14:paraId="3D35FA5C"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2 917 450</w:t>
            </w:r>
          </w:p>
        </w:tc>
        <w:tc>
          <w:tcPr>
            <w:tcW w:w="1380" w:type="dxa"/>
            <w:tcBorders>
              <w:top w:val="nil"/>
              <w:left w:val="nil"/>
              <w:bottom w:val="nil"/>
              <w:right w:val="nil"/>
            </w:tcBorders>
            <w:vAlign w:val="center"/>
            <w:hideMark/>
          </w:tcPr>
          <w:p w14:paraId="5AD27303"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15 180</w:t>
            </w:r>
          </w:p>
        </w:tc>
      </w:tr>
      <w:tr w:rsidR="0020009E" w:rsidRPr="001567C8" w14:paraId="6D0A4706" w14:textId="77777777" w:rsidTr="0085799C">
        <w:trPr>
          <w:trHeight w:val="227"/>
          <w:jc w:val="center"/>
        </w:trPr>
        <w:tc>
          <w:tcPr>
            <w:tcW w:w="4820" w:type="dxa"/>
            <w:tcBorders>
              <w:top w:val="nil"/>
              <w:left w:val="nil"/>
              <w:bottom w:val="nil"/>
              <w:right w:val="nil"/>
            </w:tcBorders>
            <w:vAlign w:val="center"/>
            <w:hideMark/>
          </w:tcPr>
          <w:p w14:paraId="6561ACC2" w14:textId="77777777" w:rsidR="0020009E" w:rsidRPr="001567C8" w:rsidRDefault="0020009E" w:rsidP="0020009E">
            <w:pPr>
              <w:spacing w:after="0" w:line="240" w:lineRule="auto"/>
              <w:ind w:firstLineChars="100" w:firstLine="180"/>
              <w:rPr>
                <w:rFonts w:ascii="Times New Roman" w:hAnsi="Times New Roman"/>
                <w:color w:val="000000"/>
                <w:sz w:val="18"/>
                <w:szCs w:val="18"/>
                <w:lang w:eastAsia="sk-SK"/>
              </w:rPr>
            </w:pPr>
            <w:r w:rsidRPr="001567C8">
              <w:rPr>
                <w:rFonts w:ascii="Times New Roman" w:hAnsi="Times New Roman"/>
                <w:color w:val="000000"/>
                <w:sz w:val="18"/>
                <w:szCs w:val="18"/>
                <w:lang w:eastAsia="sk-SK"/>
              </w:rPr>
              <w:t>Exportno-importná banka SR (záruky)</w:t>
            </w:r>
          </w:p>
        </w:tc>
        <w:tc>
          <w:tcPr>
            <w:tcW w:w="1100" w:type="dxa"/>
            <w:tcBorders>
              <w:top w:val="nil"/>
              <w:left w:val="nil"/>
              <w:bottom w:val="nil"/>
              <w:right w:val="nil"/>
            </w:tcBorders>
            <w:vAlign w:val="center"/>
            <w:hideMark/>
          </w:tcPr>
          <w:p w14:paraId="6F2D77D3"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374 423</w:t>
            </w:r>
          </w:p>
        </w:tc>
        <w:tc>
          <w:tcPr>
            <w:tcW w:w="1100" w:type="dxa"/>
            <w:tcBorders>
              <w:top w:val="nil"/>
              <w:left w:val="nil"/>
              <w:bottom w:val="nil"/>
              <w:right w:val="nil"/>
            </w:tcBorders>
            <w:vAlign w:val="center"/>
            <w:hideMark/>
          </w:tcPr>
          <w:p w14:paraId="3E5AC254"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359 246</w:t>
            </w:r>
          </w:p>
        </w:tc>
        <w:tc>
          <w:tcPr>
            <w:tcW w:w="1380" w:type="dxa"/>
            <w:tcBorders>
              <w:top w:val="nil"/>
              <w:left w:val="nil"/>
              <w:bottom w:val="nil"/>
              <w:right w:val="nil"/>
            </w:tcBorders>
            <w:vAlign w:val="center"/>
            <w:hideMark/>
          </w:tcPr>
          <w:p w14:paraId="3ADDE0EA"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15 177</w:t>
            </w:r>
          </w:p>
        </w:tc>
      </w:tr>
      <w:tr w:rsidR="0020009E" w:rsidRPr="001567C8" w14:paraId="6E4597DF" w14:textId="77777777" w:rsidTr="0085799C">
        <w:trPr>
          <w:trHeight w:val="227"/>
          <w:jc w:val="center"/>
        </w:trPr>
        <w:tc>
          <w:tcPr>
            <w:tcW w:w="4820" w:type="dxa"/>
            <w:tcBorders>
              <w:top w:val="nil"/>
              <w:left w:val="nil"/>
              <w:bottom w:val="nil"/>
              <w:right w:val="nil"/>
            </w:tcBorders>
            <w:vAlign w:val="center"/>
            <w:hideMark/>
          </w:tcPr>
          <w:p w14:paraId="3E539F1A" w14:textId="77777777" w:rsidR="0020009E" w:rsidRPr="001567C8" w:rsidRDefault="0020009E" w:rsidP="0020009E">
            <w:pPr>
              <w:spacing w:after="0" w:line="240" w:lineRule="auto"/>
              <w:ind w:firstLineChars="100" w:firstLine="180"/>
              <w:rPr>
                <w:rFonts w:ascii="Times New Roman" w:hAnsi="Times New Roman"/>
                <w:color w:val="000000"/>
                <w:sz w:val="18"/>
                <w:szCs w:val="18"/>
                <w:lang w:eastAsia="sk-SK"/>
              </w:rPr>
            </w:pPr>
            <w:r w:rsidRPr="001567C8">
              <w:rPr>
                <w:rFonts w:ascii="Times New Roman" w:hAnsi="Times New Roman"/>
                <w:color w:val="000000"/>
                <w:sz w:val="18"/>
                <w:szCs w:val="18"/>
                <w:lang w:eastAsia="sk-SK"/>
              </w:rPr>
              <w:t>Slovenská elektrizačná prenosová sústava, a. s.  (záruky)</w:t>
            </w:r>
          </w:p>
        </w:tc>
        <w:tc>
          <w:tcPr>
            <w:tcW w:w="1100" w:type="dxa"/>
            <w:tcBorders>
              <w:top w:val="nil"/>
              <w:left w:val="nil"/>
              <w:bottom w:val="nil"/>
              <w:right w:val="nil"/>
            </w:tcBorders>
            <w:vAlign w:val="center"/>
            <w:hideMark/>
          </w:tcPr>
          <w:p w14:paraId="290B6DE8"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237 547</w:t>
            </w:r>
          </w:p>
        </w:tc>
        <w:tc>
          <w:tcPr>
            <w:tcW w:w="1100" w:type="dxa"/>
            <w:tcBorders>
              <w:top w:val="nil"/>
              <w:left w:val="nil"/>
              <w:bottom w:val="nil"/>
              <w:right w:val="nil"/>
            </w:tcBorders>
            <w:vAlign w:val="center"/>
            <w:hideMark/>
          </w:tcPr>
          <w:p w14:paraId="36841F5E"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283 113</w:t>
            </w:r>
          </w:p>
        </w:tc>
        <w:tc>
          <w:tcPr>
            <w:tcW w:w="1380" w:type="dxa"/>
            <w:tcBorders>
              <w:top w:val="nil"/>
              <w:left w:val="nil"/>
              <w:bottom w:val="nil"/>
              <w:right w:val="nil"/>
            </w:tcBorders>
            <w:vAlign w:val="center"/>
            <w:hideMark/>
          </w:tcPr>
          <w:p w14:paraId="05B43AEF"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-45 566</w:t>
            </w:r>
          </w:p>
        </w:tc>
      </w:tr>
      <w:tr w:rsidR="0020009E" w:rsidRPr="001567C8" w14:paraId="2577BD4B" w14:textId="77777777" w:rsidTr="0085799C">
        <w:trPr>
          <w:trHeight w:val="227"/>
          <w:jc w:val="center"/>
        </w:trPr>
        <w:tc>
          <w:tcPr>
            <w:tcW w:w="4820" w:type="dxa"/>
            <w:tcBorders>
              <w:top w:val="nil"/>
              <w:left w:val="nil"/>
              <w:bottom w:val="nil"/>
              <w:right w:val="nil"/>
            </w:tcBorders>
            <w:vAlign w:val="center"/>
            <w:hideMark/>
          </w:tcPr>
          <w:p w14:paraId="7EE036ED" w14:textId="77777777" w:rsidR="0020009E" w:rsidRPr="001567C8" w:rsidRDefault="0020009E" w:rsidP="0020009E">
            <w:pPr>
              <w:spacing w:after="0" w:line="240" w:lineRule="auto"/>
              <w:ind w:firstLineChars="100" w:firstLine="180"/>
              <w:rPr>
                <w:rFonts w:ascii="Times New Roman" w:hAnsi="Times New Roman"/>
                <w:color w:val="000000"/>
                <w:sz w:val="18"/>
                <w:szCs w:val="18"/>
                <w:lang w:eastAsia="sk-SK"/>
              </w:rPr>
            </w:pPr>
            <w:r w:rsidRPr="001567C8">
              <w:rPr>
                <w:rFonts w:ascii="Times New Roman" w:hAnsi="Times New Roman"/>
                <w:color w:val="000000"/>
                <w:sz w:val="18"/>
                <w:szCs w:val="18"/>
                <w:lang w:eastAsia="sk-SK"/>
              </w:rPr>
              <w:t>Slovenský plynárenský priemysel (záruky)</w:t>
            </w:r>
          </w:p>
        </w:tc>
        <w:tc>
          <w:tcPr>
            <w:tcW w:w="1100" w:type="dxa"/>
            <w:tcBorders>
              <w:top w:val="nil"/>
              <w:left w:val="nil"/>
              <w:bottom w:val="nil"/>
              <w:right w:val="nil"/>
            </w:tcBorders>
            <w:vAlign w:val="center"/>
            <w:hideMark/>
          </w:tcPr>
          <w:p w14:paraId="7AA8181B"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218 470</w:t>
            </w:r>
          </w:p>
        </w:tc>
        <w:tc>
          <w:tcPr>
            <w:tcW w:w="1100" w:type="dxa"/>
            <w:tcBorders>
              <w:top w:val="nil"/>
              <w:left w:val="nil"/>
              <w:bottom w:val="nil"/>
              <w:right w:val="nil"/>
            </w:tcBorders>
            <w:vAlign w:val="center"/>
            <w:hideMark/>
          </w:tcPr>
          <w:p w14:paraId="1DB1C74F"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242 656</w:t>
            </w:r>
          </w:p>
        </w:tc>
        <w:tc>
          <w:tcPr>
            <w:tcW w:w="1380" w:type="dxa"/>
            <w:tcBorders>
              <w:top w:val="nil"/>
              <w:left w:val="nil"/>
              <w:bottom w:val="nil"/>
              <w:right w:val="nil"/>
            </w:tcBorders>
            <w:vAlign w:val="center"/>
            <w:hideMark/>
          </w:tcPr>
          <w:p w14:paraId="4837F325"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-24 186</w:t>
            </w:r>
          </w:p>
        </w:tc>
      </w:tr>
      <w:tr w:rsidR="0020009E" w:rsidRPr="001567C8" w14:paraId="0348A76D" w14:textId="77777777" w:rsidTr="0085799C">
        <w:trPr>
          <w:trHeight w:val="227"/>
          <w:jc w:val="center"/>
        </w:trPr>
        <w:tc>
          <w:tcPr>
            <w:tcW w:w="4820" w:type="dxa"/>
            <w:tcBorders>
              <w:top w:val="nil"/>
              <w:left w:val="nil"/>
              <w:bottom w:val="nil"/>
              <w:right w:val="nil"/>
            </w:tcBorders>
            <w:vAlign w:val="center"/>
            <w:hideMark/>
          </w:tcPr>
          <w:p w14:paraId="7DA59A78" w14:textId="77777777" w:rsidR="0020009E" w:rsidRPr="001567C8" w:rsidRDefault="0020009E" w:rsidP="0020009E">
            <w:pPr>
              <w:spacing w:after="0" w:line="240" w:lineRule="auto"/>
              <w:ind w:firstLineChars="100" w:firstLine="180"/>
              <w:rPr>
                <w:rFonts w:ascii="Times New Roman" w:hAnsi="Times New Roman"/>
                <w:color w:val="000000"/>
                <w:sz w:val="18"/>
                <w:szCs w:val="18"/>
                <w:lang w:eastAsia="sk-SK"/>
              </w:rPr>
            </w:pPr>
            <w:r w:rsidRPr="001567C8">
              <w:rPr>
                <w:rFonts w:ascii="Times New Roman" w:hAnsi="Times New Roman"/>
                <w:color w:val="000000"/>
                <w:sz w:val="18"/>
                <w:szCs w:val="18"/>
                <w:lang w:eastAsia="sk-SK"/>
              </w:rPr>
              <w:t>Slovenská záručná a rozvojová banka, a.s. (záruky)</w:t>
            </w:r>
          </w:p>
        </w:tc>
        <w:tc>
          <w:tcPr>
            <w:tcW w:w="1100" w:type="dxa"/>
            <w:tcBorders>
              <w:top w:val="nil"/>
              <w:left w:val="nil"/>
              <w:bottom w:val="nil"/>
              <w:right w:val="nil"/>
            </w:tcBorders>
            <w:vAlign w:val="center"/>
            <w:hideMark/>
          </w:tcPr>
          <w:p w14:paraId="5523DE96"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72 780</w:t>
            </w:r>
          </w:p>
        </w:tc>
        <w:tc>
          <w:tcPr>
            <w:tcW w:w="1100" w:type="dxa"/>
            <w:tcBorders>
              <w:top w:val="nil"/>
              <w:left w:val="nil"/>
              <w:bottom w:val="nil"/>
              <w:right w:val="nil"/>
            </w:tcBorders>
            <w:vAlign w:val="center"/>
            <w:hideMark/>
          </w:tcPr>
          <w:p w14:paraId="5C1EF708"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97 369</w:t>
            </w:r>
          </w:p>
        </w:tc>
        <w:tc>
          <w:tcPr>
            <w:tcW w:w="1380" w:type="dxa"/>
            <w:tcBorders>
              <w:top w:val="nil"/>
              <w:left w:val="nil"/>
              <w:bottom w:val="nil"/>
              <w:right w:val="nil"/>
            </w:tcBorders>
            <w:vAlign w:val="center"/>
            <w:hideMark/>
          </w:tcPr>
          <w:p w14:paraId="2AF7E63E"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-24 589</w:t>
            </w:r>
          </w:p>
        </w:tc>
      </w:tr>
      <w:tr w:rsidR="0020009E" w:rsidRPr="001567C8" w14:paraId="16FA3533" w14:textId="77777777" w:rsidTr="0085799C">
        <w:trPr>
          <w:trHeight w:val="227"/>
          <w:jc w:val="center"/>
        </w:trPr>
        <w:tc>
          <w:tcPr>
            <w:tcW w:w="4820" w:type="dxa"/>
            <w:tcBorders>
              <w:top w:val="nil"/>
              <w:left w:val="nil"/>
              <w:bottom w:val="nil"/>
              <w:right w:val="nil"/>
            </w:tcBorders>
            <w:vAlign w:val="center"/>
            <w:hideMark/>
          </w:tcPr>
          <w:p w14:paraId="154BBE57" w14:textId="77777777" w:rsidR="0020009E" w:rsidRPr="001567C8" w:rsidRDefault="0020009E" w:rsidP="0020009E">
            <w:pPr>
              <w:spacing w:after="0" w:line="240" w:lineRule="auto"/>
              <w:ind w:firstLineChars="100" w:firstLine="180"/>
              <w:rPr>
                <w:rFonts w:ascii="Times New Roman" w:hAnsi="Times New Roman"/>
                <w:color w:val="000000"/>
                <w:sz w:val="18"/>
                <w:szCs w:val="18"/>
                <w:lang w:eastAsia="sk-SK"/>
              </w:rPr>
            </w:pPr>
            <w:r w:rsidRPr="001567C8">
              <w:rPr>
                <w:rFonts w:ascii="Times New Roman" w:hAnsi="Times New Roman"/>
                <w:color w:val="000000"/>
                <w:sz w:val="18"/>
                <w:szCs w:val="18"/>
                <w:lang w:eastAsia="sk-SK"/>
              </w:rPr>
              <w:t>MH Manažment, a. s. (privatizovaný majetok)</w:t>
            </w:r>
          </w:p>
        </w:tc>
        <w:tc>
          <w:tcPr>
            <w:tcW w:w="1100" w:type="dxa"/>
            <w:tcBorders>
              <w:top w:val="nil"/>
              <w:left w:val="nil"/>
              <w:bottom w:val="nil"/>
              <w:right w:val="nil"/>
            </w:tcBorders>
            <w:vAlign w:val="center"/>
            <w:hideMark/>
          </w:tcPr>
          <w:p w14:paraId="15D1DCDD"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70 262</w:t>
            </w:r>
          </w:p>
        </w:tc>
        <w:tc>
          <w:tcPr>
            <w:tcW w:w="1100" w:type="dxa"/>
            <w:tcBorders>
              <w:top w:val="nil"/>
              <w:left w:val="nil"/>
              <w:bottom w:val="nil"/>
              <w:right w:val="nil"/>
            </w:tcBorders>
            <w:vAlign w:val="center"/>
            <w:hideMark/>
          </w:tcPr>
          <w:p w14:paraId="2F12B8D1"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68 258</w:t>
            </w:r>
          </w:p>
        </w:tc>
        <w:tc>
          <w:tcPr>
            <w:tcW w:w="1380" w:type="dxa"/>
            <w:tcBorders>
              <w:top w:val="nil"/>
              <w:left w:val="nil"/>
              <w:bottom w:val="nil"/>
              <w:right w:val="nil"/>
            </w:tcBorders>
            <w:vAlign w:val="center"/>
            <w:hideMark/>
          </w:tcPr>
          <w:p w14:paraId="7C48FC0B"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2 004</w:t>
            </w:r>
          </w:p>
        </w:tc>
      </w:tr>
      <w:tr w:rsidR="0020009E" w:rsidRPr="001567C8" w14:paraId="481F2DD9" w14:textId="77777777" w:rsidTr="0085799C">
        <w:trPr>
          <w:trHeight w:val="227"/>
          <w:jc w:val="center"/>
        </w:trPr>
        <w:tc>
          <w:tcPr>
            <w:tcW w:w="4820" w:type="dxa"/>
            <w:tcBorders>
              <w:top w:val="nil"/>
              <w:left w:val="nil"/>
              <w:bottom w:val="single" w:sz="4" w:space="0" w:color="auto"/>
              <w:right w:val="nil"/>
            </w:tcBorders>
            <w:vAlign w:val="center"/>
            <w:hideMark/>
          </w:tcPr>
          <w:p w14:paraId="17D79B1B" w14:textId="77777777" w:rsidR="0020009E" w:rsidRPr="001567C8" w:rsidRDefault="0020009E" w:rsidP="0020009E">
            <w:pPr>
              <w:spacing w:after="0" w:line="240" w:lineRule="auto"/>
              <w:ind w:firstLineChars="100" w:firstLine="180"/>
              <w:rPr>
                <w:rFonts w:ascii="Times New Roman" w:hAnsi="Times New Roman"/>
                <w:color w:val="000000"/>
                <w:sz w:val="18"/>
                <w:szCs w:val="18"/>
                <w:lang w:eastAsia="sk-SK"/>
              </w:rPr>
            </w:pPr>
            <w:r w:rsidRPr="001567C8">
              <w:rPr>
                <w:rFonts w:ascii="Times New Roman" w:hAnsi="Times New Roman"/>
                <w:color w:val="000000"/>
                <w:sz w:val="18"/>
                <w:szCs w:val="18"/>
                <w:lang w:eastAsia="sk-SK"/>
              </w:rPr>
              <w:t>Environmentálny fond (záložné zmluvy)</w:t>
            </w:r>
          </w:p>
        </w:tc>
        <w:tc>
          <w:tcPr>
            <w:tcW w:w="1100" w:type="dxa"/>
            <w:tcBorders>
              <w:top w:val="nil"/>
              <w:left w:val="nil"/>
              <w:bottom w:val="single" w:sz="4" w:space="0" w:color="auto"/>
              <w:right w:val="nil"/>
            </w:tcBorders>
            <w:vAlign w:val="center"/>
            <w:hideMark/>
          </w:tcPr>
          <w:p w14:paraId="4566096A"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27 433</w:t>
            </w:r>
          </w:p>
        </w:tc>
        <w:tc>
          <w:tcPr>
            <w:tcW w:w="1100" w:type="dxa"/>
            <w:tcBorders>
              <w:top w:val="nil"/>
              <w:left w:val="nil"/>
              <w:bottom w:val="single" w:sz="4" w:space="0" w:color="auto"/>
              <w:right w:val="nil"/>
            </w:tcBorders>
            <w:vAlign w:val="center"/>
            <w:hideMark/>
          </w:tcPr>
          <w:p w14:paraId="76840098"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31 760</w:t>
            </w:r>
          </w:p>
        </w:tc>
        <w:tc>
          <w:tcPr>
            <w:tcW w:w="1380" w:type="dxa"/>
            <w:tcBorders>
              <w:top w:val="nil"/>
              <w:left w:val="nil"/>
              <w:bottom w:val="single" w:sz="4" w:space="0" w:color="auto"/>
              <w:right w:val="nil"/>
            </w:tcBorders>
            <w:vAlign w:val="center"/>
            <w:hideMark/>
          </w:tcPr>
          <w:p w14:paraId="4117C64C" w14:textId="77777777" w:rsidR="0020009E" w:rsidRPr="001567C8" w:rsidRDefault="0020009E" w:rsidP="0020009E">
            <w:pPr>
              <w:spacing w:after="0" w:line="240" w:lineRule="auto"/>
              <w:jc w:val="right"/>
              <w:rPr>
                <w:rFonts w:ascii="Times New Roman" w:hAnsi="Times New Roman"/>
                <w:color w:val="000000"/>
                <w:sz w:val="18"/>
                <w:szCs w:val="18"/>
                <w:lang w:eastAsia="sk-SK"/>
              </w:rPr>
            </w:pPr>
            <w:r w:rsidRPr="001567C8">
              <w:rPr>
                <w:rFonts w:ascii="Times New Roman" w:hAnsi="Times New Roman"/>
                <w:color w:val="000000"/>
                <w:sz w:val="18"/>
                <w:szCs w:val="18"/>
                <w:lang w:eastAsia="sk-SK"/>
              </w:rPr>
              <w:t>-4 327</w:t>
            </w:r>
          </w:p>
        </w:tc>
      </w:tr>
      <w:tr w:rsidR="0020009E" w:rsidRPr="001567C8" w14:paraId="3C5B493D" w14:textId="77777777" w:rsidTr="0085799C">
        <w:trPr>
          <w:trHeight w:val="227"/>
          <w:jc w:val="center"/>
        </w:trPr>
        <w:tc>
          <w:tcPr>
            <w:tcW w:w="4820" w:type="dxa"/>
            <w:tcBorders>
              <w:top w:val="nil"/>
              <w:left w:val="nil"/>
              <w:bottom w:val="single" w:sz="4" w:space="0" w:color="auto"/>
              <w:right w:val="nil"/>
            </w:tcBorders>
            <w:noWrap/>
            <w:vAlign w:val="center"/>
            <w:hideMark/>
          </w:tcPr>
          <w:p w14:paraId="6F2EA84F" w14:textId="77777777" w:rsidR="0020009E" w:rsidRPr="001567C8" w:rsidRDefault="0020009E" w:rsidP="0020009E">
            <w:pPr>
              <w:spacing w:after="0" w:line="240" w:lineRule="auto"/>
              <w:rPr>
                <w:rFonts w:ascii="Times New Roman" w:hAnsi="Times New Roman"/>
                <w:b/>
                <w:color w:val="000000"/>
                <w:sz w:val="18"/>
                <w:szCs w:val="18"/>
                <w:lang w:eastAsia="sk-SK"/>
              </w:rPr>
            </w:pPr>
            <w:r w:rsidRPr="001567C8">
              <w:rPr>
                <w:rFonts w:ascii="Times New Roman" w:hAnsi="Times New Roman"/>
                <w:b/>
                <w:color w:val="000000"/>
                <w:sz w:val="18"/>
                <w:szCs w:val="18"/>
                <w:lang w:eastAsia="sk-SK"/>
              </w:rPr>
              <w:t>Spolu</w:t>
            </w:r>
          </w:p>
        </w:tc>
        <w:tc>
          <w:tcPr>
            <w:tcW w:w="1100" w:type="dxa"/>
            <w:tcBorders>
              <w:top w:val="nil"/>
              <w:left w:val="nil"/>
              <w:bottom w:val="single" w:sz="4" w:space="0" w:color="auto"/>
              <w:right w:val="nil"/>
            </w:tcBorders>
            <w:noWrap/>
            <w:vAlign w:val="center"/>
            <w:hideMark/>
          </w:tcPr>
          <w:p w14:paraId="6BFBCDAA" w14:textId="4CC73610" w:rsidR="0020009E" w:rsidRPr="001567C8" w:rsidRDefault="0020009E" w:rsidP="0020009E">
            <w:pPr>
              <w:spacing w:after="0" w:line="240" w:lineRule="auto"/>
              <w:jc w:val="right"/>
              <w:rPr>
                <w:rFonts w:ascii="Times New Roman" w:hAnsi="Times New Roman"/>
                <w:b/>
                <w:color w:val="000000"/>
                <w:sz w:val="18"/>
                <w:szCs w:val="18"/>
                <w:lang w:eastAsia="sk-SK"/>
              </w:rPr>
            </w:pPr>
            <w:r w:rsidRPr="001567C8">
              <w:rPr>
                <w:rFonts w:ascii="Times New Roman" w:hAnsi="Times New Roman"/>
                <w:b/>
                <w:color w:val="000000"/>
                <w:sz w:val="18"/>
                <w:szCs w:val="18"/>
                <w:lang w:eastAsia="sk-SK"/>
              </w:rPr>
              <w:t>7 66</w:t>
            </w:r>
            <w:r w:rsidR="00116FFF">
              <w:rPr>
                <w:rFonts w:ascii="Times New Roman" w:hAnsi="Times New Roman"/>
                <w:b/>
                <w:color w:val="000000"/>
                <w:sz w:val="18"/>
                <w:szCs w:val="18"/>
                <w:lang w:eastAsia="sk-SK"/>
              </w:rPr>
              <w:t>1 558</w:t>
            </w:r>
          </w:p>
        </w:tc>
        <w:tc>
          <w:tcPr>
            <w:tcW w:w="1100" w:type="dxa"/>
            <w:tcBorders>
              <w:top w:val="nil"/>
              <w:left w:val="nil"/>
              <w:bottom w:val="single" w:sz="4" w:space="0" w:color="auto"/>
              <w:right w:val="nil"/>
            </w:tcBorders>
            <w:noWrap/>
            <w:vAlign w:val="center"/>
            <w:hideMark/>
          </w:tcPr>
          <w:p w14:paraId="360DF369" w14:textId="1171D6FC" w:rsidR="0020009E" w:rsidRPr="001567C8" w:rsidRDefault="0020009E" w:rsidP="0020009E">
            <w:pPr>
              <w:spacing w:after="0" w:line="240" w:lineRule="auto"/>
              <w:jc w:val="right"/>
              <w:rPr>
                <w:rFonts w:ascii="Times New Roman" w:hAnsi="Times New Roman"/>
                <w:b/>
                <w:color w:val="000000"/>
                <w:sz w:val="18"/>
                <w:szCs w:val="18"/>
                <w:lang w:eastAsia="sk-SK"/>
              </w:rPr>
            </w:pPr>
            <w:r w:rsidRPr="001567C8">
              <w:rPr>
                <w:rFonts w:ascii="Times New Roman" w:hAnsi="Times New Roman"/>
                <w:b/>
                <w:color w:val="000000"/>
                <w:sz w:val="18"/>
                <w:szCs w:val="18"/>
                <w:lang w:eastAsia="sk-SK"/>
              </w:rPr>
              <w:t>7</w:t>
            </w:r>
            <w:r w:rsidR="00116FFF">
              <w:rPr>
                <w:rFonts w:ascii="Times New Roman" w:hAnsi="Times New Roman"/>
                <w:b/>
                <w:color w:val="000000"/>
                <w:sz w:val="18"/>
                <w:szCs w:val="18"/>
                <w:lang w:eastAsia="sk-SK"/>
              </w:rPr>
              <w:t> 970 099</w:t>
            </w:r>
          </w:p>
        </w:tc>
        <w:tc>
          <w:tcPr>
            <w:tcW w:w="1380" w:type="dxa"/>
            <w:tcBorders>
              <w:top w:val="nil"/>
              <w:left w:val="nil"/>
              <w:bottom w:val="single" w:sz="4" w:space="0" w:color="auto"/>
              <w:right w:val="nil"/>
            </w:tcBorders>
            <w:vAlign w:val="center"/>
            <w:hideMark/>
          </w:tcPr>
          <w:p w14:paraId="503FD856" w14:textId="64FE0FB9" w:rsidR="0020009E" w:rsidRPr="001567C8" w:rsidRDefault="0020009E" w:rsidP="0020009E">
            <w:pPr>
              <w:spacing w:after="0" w:line="240" w:lineRule="auto"/>
              <w:jc w:val="right"/>
              <w:rPr>
                <w:rFonts w:ascii="Times New Roman" w:hAnsi="Times New Roman"/>
                <w:b/>
                <w:color w:val="000000"/>
                <w:sz w:val="18"/>
                <w:szCs w:val="18"/>
                <w:lang w:eastAsia="sk-SK"/>
              </w:rPr>
            </w:pPr>
            <w:r w:rsidRPr="001567C8">
              <w:rPr>
                <w:rFonts w:ascii="Times New Roman" w:hAnsi="Times New Roman"/>
                <w:b/>
                <w:color w:val="000000"/>
                <w:sz w:val="18"/>
                <w:szCs w:val="18"/>
                <w:lang w:eastAsia="sk-SK"/>
              </w:rPr>
              <w:t>-30</w:t>
            </w:r>
            <w:r w:rsidR="00116FFF">
              <w:rPr>
                <w:rFonts w:ascii="Times New Roman" w:hAnsi="Times New Roman"/>
                <w:b/>
                <w:color w:val="000000"/>
                <w:sz w:val="18"/>
                <w:szCs w:val="18"/>
                <w:lang w:eastAsia="sk-SK"/>
              </w:rPr>
              <w:t>8</w:t>
            </w:r>
            <w:r w:rsidRPr="001567C8">
              <w:rPr>
                <w:rFonts w:ascii="Times New Roman" w:hAnsi="Times New Roman"/>
                <w:b/>
                <w:color w:val="000000"/>
                <w:sz w:val="18"/>
                <w:szCs w:val="18"/>
                <w:lang w:eastAsia="sk-SK"/>
              </w:rPr>
              <w:t xml:space="preserve"> </w:t>
            </w:r>
            <w:r w:rsidR="00116FFF">
              <w:rPr>
                <w:rFonts w:ascii="Times New Roman" w:hAnsi="Times New Roman"/>
                <w:b/>
                <w:color w:val="000000"/>
                <w:sz w:val="18"/>
                <w:szCs w:val="18"/>
                <w:lang w:eastAsia="sk-SK"/>
              </w:rPr>
              <w:t>541</w:t>
            </w:r>
          </w:p>
        </w:tc>
      </w:tr>
      <w:tr w:rsidR="0020009E" w:rsidRPr="001567C8" w14:paraId="7349FFF3" w14:textId="77777777" w:rsidTr="0085799C">
        <w:trPr>
          <w:trHeight w:val="227"/>
          <w:jc w:val="center"/>
        </w:trPr>
        <w:tc>
          <w:tcPr>
            <w:tcW w:w="8400" w:type="dxa"/>
            <w:gridSpan w:val="4"/>
            <w:tcBorders>
              <w:top w:val="nil"/>
              <w:left w:val="nil"/>
              <w:bottom w:val="nil"/>
              <w:right w:val="nil"/>
            </w:tcBorders>
            <w:noWrap/>
            <w:vAlign w:val="center"/>
            <w:hideMark/>
          </w:tcPr>
          <w:p w14:paraId="15157584" w14:textId="77777777" w:rsidR="0020009E" w:rsidRPr="001567C8" w:rsidRDefault="0020009E" w:rsidP="0020009E">
            <w:pPr>
              <w:spacing w:after="0" w:line="240" w:lineRule="auto"/>
              <w:jc w:val="right"/>
              <w:rPr>
                <w:rFonts w:ascii="Times New Roman" w:hAnsi="Times New Roman"/>
                <w:color w:val="000000"/>
                <w:sz w:val="16"/>
                <w:szCs w:val="16"/>
                <w:lang w:eastAsia="sk-SK"/>
              </w:rPr>
            </w:pPr>
            <w:r w:rsidRPr="001567C8">
              <w:rPr>
                <w:rFonts w:ascii="Times New Roman" w:hAnsi="Times New Roman"/>
                <w:color w:val="000000"/>
                <w:sz w:val="16"/>
                <w:szCs w:val="16"/>
                <w:lang w:eastAsia="sk-SK"/>
              </w:rPr>
              <w:t>Zdroj: Účtovné závierky subjektov, Centrálny konsolidačný systém a databáza MF SR</w:t>
            </w:r>
          </w:p>
        </w:tc>
      </w:tr>
    </w:tbl>
    <w:p w14:paraId="56EDCCF6" w14:textId="77777777" w:rsidR="006F0E7D" w:rsidRPr="0085799C" w:rsidRDefault="006F0E7D" w:rsidP="0085799C">
      <w:pPr>
        <w:spacing w:after="120" w:line="240" w:lineRule="auto"/>
        <w:rPr>
          <w:szCs w:val="22"/>
          <w:highlight w:val="yellow"/>
        </w:rPr>
      </w:pPr>
    </w:p>
    <w:p w14:paraId="4D09115B" w14:textId="204EC8AF" w:rsidR="001B3FA4" w:rsidRPr="00BB0D4F" w:rsidRDefault="001B3FA4" w:rsidP="00BB0D4F">
      <w:pPr>
        <w:spacing w:after="120" w:line="240" w:lineRule="auto"/>
        <w:jc w:val="both"/>
        <w:rPr>
          <w:rFonts w:ascii="Times New Roman" w:hAnsi="Times New Roman"/>
          <w:szCs w:val="22"/>
        </w:rPr>
      </w:pPr>
      <w:r w:rsidRPr="0085799C">
        <w:rPr>
          <w:rFonts w:ascii="Times New Roman" w:hAnsi="Times New Roman"/>
          <w:b/>
          <w:szCs w:val="22"/>
        </w:rPr>
        <w:t>Z ostatných položiek podmienených aktív</w:t>
      </w:r>
      <w:r w:rsidRPr="00BB0D4F">
        <w:rPr>
          <w:rFonts w:ascii="Times New Roman" w:hAnsi="Times New Roman"/>
          <w:szCs w:val="22"/>
        </w:rPr>
        <w:t xml:space="preserve"> je významná hodnota zabezpečenia pohľadávok z poskytnutých úverov a poskytnutých záruk </w:t>
      </w:r>
      <w:r w:rsidRPr="0085799C">
        <w:rPr>
          <w:rFonts w:ascii="Times New Roman" w:hAnsi="Times New Roman"/>
          <w:szCs w:val="22"/>
          <w:u w:val="single"/>
        </w:rPr>
        <w:t>E</w:t>
      </w:r>
      <w:r w:rsidR="00A15561" w:rsidRPr="00BB0D4F">
        <w:rPr>
          <w:rFonts w:ascii="Times New Roman" w:hAnsi="Times New Roman"/>
          <w:szCs w:val="22"/>
          <w:u w:val="single"/>
        </w:rPr>
        <w:t>XIMBANKY</w:t>
      </w:r>
      <w:r w:rsidRPr="0085799C">
        <w:rPr>
          <w:rFonts w:ascii="Times New Roman" w:hAnsi="Times New Roman"/>
          <w:szCs w:val="22"/>
          <w:u w:val="single"/>
        </w:rPr>
        <w:t xml:space="preserve"> SR</w:t>
      </w:r>
      <w:r w:rsidRPr="00BB0D4F">
        <w:rPr>
          <w:rFonts w:ascii="Times New Roman" w:hAnsi="Times New Roman"/>
          <w:szCs w:val="22"/>
        </w:rPr>
        <w:t xml:space="preserve"> v hodnote 374</w:t>
      </w:r>
      <w:r w:rsidR="00D0380F">
        <w:rPr>
          <w:rFonts w:ascii="Times New Roman" w:hAnsi="Times New Roman"/>
          <w:szCs w:val="22"/>
        </w:rPr>
        <w:t> </w:t>
      </w:r>
      <w:r w:rsidRPr="00BB0D4F">
        <w:rPr>
          <w:rFonts w:ascii="Times New Roman" w:hAnsi="Times New Roman"/>
          <w:szCs w:val="22"/>
        </w:rPr>
        <w:t>423</w:t>
      </w:r>
      <w:r w:rsidR="00D0380F">
        <w:rPr>
          <w:rFonts w:ascii="Times New Roman" w:hAnsi="Times New Roman"/>
          <w:szCs w:val="22"/>
        </w:rPr>
        <w:t> </w:t>
      </w:r>
      <w:r w:rsidRPr="00BB0D4F">
        <w:rPr>
          <w:rFonts w:ascii="Times New Roman" w:hAnsi="Times New Roman"/>
          <w:szCs w:val="22"/>
        </w:rPr>
        <w:t>tis.</w:t>
      </w:r>
      <w:r w:rsidR="00D0380F">
        <w:rPr>
          <w:rFonts w:ascii="Times New Roman" w:hAnsi="Times New Roman"/>
          <w:szCs w:val="22"/>
        </w:rPr>
        <w:t> </w:t>
      </w:r>
      <w:r w:rsidRPr="00BB0D4F">
        <w:rPr>
          <w:rFonts w:ascii="Times New Roman" w:hAnsi="Times New Roman"/>
          <w:szCs w:val="22"/>
        </w:rPr>
        <w:t>eur. Prijaté záruky a ručenie tvorilo 47 366 tis. eur, záruky na nehnuteľnosti 244 964 tis. eur, ostatné záruky 82</w:t>
      </w:r>
      <w:r w:rsidR="00D0380F">
        <w:rPr>
          <w:rFonts w:ascii="Times New Roman" w:hAnsi="Times New Roman"/>
          <w:szCs w:val="22"/>
        </w:rPr>
        <w:t> </w:t>
      </w:r>
      <w:r w:rsidRPr="00BB0D4F">
        <w:rPr>
          <w:rFonts w:ascii="Times New Roman" w:hAnsi="Times New Roman"/>
          <w:szCs w:val="22"/>
        </w:rPr>
        <w:t>093</w:t>
      </w:r>
      <w:r w:rsidR="00D0380F">
        <w:rPr>
          <w:rFonts w:ascii="Times New Roman" w:hAnsi="Times New Roman"/>
          <w:szCs w:val="22"/>
        </w:rPr>
        <w:t> </w:t>
      </w:r>
      <w:r w:rsidRPr="00BB0D4F">
        <w:rPr>
          <w:rFonts w:ascii="Times New Roman" w:hAnsi="Times New Roman"/>
          <w:szCs w:val="22"/>
        </w:rPr>
        <w:t>tis.</w:t>
      </w:r>
      <w:r w:rsidR="00D0380F">
        <w:rPr>
          <w:rFonts w:ascii="Times New Roman" w:hAnsi="Times New Roman"/>
          <w:szCs w:val="22"/>
        </w:rPr>
        <w:t> </w:t>
      </w:r>
      <w:r w:rsidRPr="00BB0D4F">
        <w:rPr>
          <w:rFonts w:ascii="Times New Roman" w:hAnsi="Times New Roman"/>
          <w:szCs w:val="22"/>
        </w:rPr>
        <w:t>eur. Na zvýšenie medziročného objemu ostatných iných aktív mal vplyv predovšetkým nárast prijatých záruk na nehnuteľnosti o 28</w:t>
      </w:r>
      <w:r w:rsidR="00D0380F">
        <w:rPr>
          <w:rFonts w:ascii="Times New Roman" w:hAnsi="Times New Roman"/>
          <w:szCs w:val="22"/>
        </w:rPr>
        <w:t> </w:t>
      </w:r>
      <w:r w:rsidRPr="00BB0D4F">
        <w:rPr>
          <w:rFonts w:ascii="Times New Roman" w:hAnsi="Times New Roman"/>
          <w:szCs w:val="22"/>
        </w:rPr>
        <w:t>432</w:t>
      </w:r>
      <w:r w:rsidR="00D0380F">
        <w:rPr>
          <w:rFonts w:ascii="Times New Roman" w:hAnsi="Times New Roman"/>
          <w:szCs w:val="22"/>
        </w:rPr>
        <w:t> </w:t>
      </w:r>
      <w:r w:rsidRPr="00BB0D4F">
        <w:rPr>
          <w:rFonts w:ascii="Times New Roman" w:hAnsi="Times New Roman"/>
          <w:szCs w:val="22"/>
        </w:rPr>
        <w:t>tis.</w:t>
      </w:r>
      <w:r w:rsidR="00D0380F">
        <w:rPr>
          <w:rFonts w:ascii="Times New Roman" w:hAnsi="Times New Roman"/>
          <w:szCs w:val="22"/>
        </w:rPr>
        <w:t> </w:t>
      </w:r>
      <w:r w:rsidRPr="00BB0D4F">
        <w:rPr>
          <w:rFonts w:ascii="Times New Roman" w:hAnsi="Times New Roman"/>
          <w:szCs w:val="22"/>
        </w:rPr>
        <w:t>eur a nárast ostatných prijatých záruk o</w:t>
      </w:r>
      <w:r w:rsidR="00D0380F">
        <w:rPr>
          <w:rFonts w:ascii="Times New Roman" w:hAnsi="Times New Roman"/>
          <w:szCs w:val="22"/>
        </w:rPr>
        <w:t xml:space="preserve"> </w:t>
      </w:r>
      <w:r w:rsidRPr="00BB0D4F">
        <w:rPr>
          <w:rFonts w:ascii="Times New Roman" w:hAnsi="Times New Roman"/>
          <w:szCs w:val="22"/>
        </w:rPr>
        <w:t>9</w:t>
      </w:r>
      <w:r w:rsidR="00D0380F">
        <w:rPr>
          <w:rFonts w:ascii="Times New Roman" w:hAnsi="Times New Roman"/>
          <w:szCs w:val="22"/>
        </w:rPr>
        <w:t> </w:t>
      </w:r>
      <w:r w:rsidRPr="00BB0D4F">
        <w:rPr>
          <w:rFonts w:ascii="Times New Roman" w:hAnsi="Times New Roman"/>
          <w:szCs w:val="22"/>
        </w:rPr>
        <w:t>581</w:t>
      </w:r>
      <w:r w:rsidR="00D0380F">
        <w:rPr>
          <w:rFonts w:ascii="Times New Roman" w:hAnsi="Times New Roman"/>
          <w:szCs w:val="22"/>
        </w:rPr>
        <w:t> </w:t>
      </w:r>
      <w:r w:rsidRPr="00BB0D4F">
        <w:rPr>
          <w:rFonts w:ascii="Times New Roman" w:hAnsi="Times New Roman"/>
          <w:szCs w:val="22"/>
        </w:rPr>
        <w:t>tis.</w:t>
      </w:r>
      <w:r w:rsidR="00D0380F">
        <w:rPr>
          <w:rFonts w:ascii="Times New Roman" w:hAnsi="Times New Roman"/>
          <w:szCs w:val="22"/>
        </w:rPr>
        <w:t> </w:t>
      </w:r>
      <w:r w:rsidRPr="00BB0D4F">
        <w:rPr>
          <w:rFonts w:ascii="Times New Roman" w:hAnsi="Times New Roman"/>
          <w:szCs w:val="22"/>
        </w:rPr>
        <w:t>eur so súčasným poklesom prijatých záruk a ručení o</w:t>
      </w:r>
      <w:r w:rsidR="00D0380F">
        <w:rPr>
          <w:rFonts w:ascii="Times New Roman" w:hAnsi="Times New Roman"/>
          <w:szCs w:val="22"/>
        </w:rPr>
        <w:t> </w:t>
      </w:r>
      <w:r w:rsidRPr="00BB0D4F">
        <w:rPr>
          <w:rFonts w:ascii="Times New Roman" w:hAnsi="Times New Roman"/>
          <w:szCs w:val="22"/>
        </w:rPr>
        <w:t>22</w:t>
      </w:r>
      <w:r w:rsidR="00D0380F">
        <w:rPr>
          <w:rFonts w:ascii="Times New Roman" w:hAnsi="Times New Roman"/>
          <w:szCs w:val="22"/>
        </w:rPr>
        <w:t> </w:t>
      </w:r>
      <w:r w:rsidRPr="00BB0D4F">
        <w:rPr>
          <w:rFonts w:ascii="Times New Roman" w:hAnsi="Times New Roman"/>
          <w:szCs w:val="22"/>
        </w:rPr>
        <w:t>836</w:t>
      </w:r>
      <w:r w:rsidR="00D0380F">
        <w:rPr>
          <w:rFonts w:ascii="Times New Roman" w:hAnsi="Times New Roman"/>
          <w:szCs w:val="22"/>
        </w:rPr>
        <w:t> </w:t>
      </w:r>
      <w:r w:rsidRPr="00BB0D4F">
        <w:rPr>
          <w:rFonts w:ascii="Times New Roman" w:hAnsi="Times New Roman"/>
          <w:szCs w:val="22"/>
        </w:rPr>
        <w:t>tis.</w:t>
      </w:r>
      <w:r w:rsidR="00D0380F">
        <w:rPr>
          <w:rFonts w:ascii="Times New Roman" w:hAnsi="Times New Roman"/>
          <w:szCs w:val="22"/>
        </w:rPr>
        <w:t> </w:t>
      </w:r>
      <w:r w:rsidRPr="00BB0D4F">
        <w:rPr>
          <w:rFonts w:ascii="Times New Roman" w:hAnsi="Times New Roman"/>
          <w:szCs w:val="22"/>
        </w:rPr>
        <w:t>eur.</w:t>
      </w:r>
    </w:p>
    <w:p w14:paraId="6FEB9C1C" w14:textId="384A4A8C" w:rsidR="001B3FA4" w:rsidRPr="00BB0D4F" w:rsidRDefault="001B3FA4" w:rsidP="00BB0D4F">
      <w:pPr>
        <w:spacing w:after="120" w:line="240" w:lineRule="auto"/>
        <w:jc w:val="both"/>
        <w:rPr>
          <w:rFonts w:ascii="Times New Roman" w:hAnsi="Times New Roman"/>
          <w:szCs w:val="22"/>
        </w:rPr>
      </w:pPr>
      <w:r w:rsidRPr="0085799C">
        <w:rPr>
          <w:rFonts w:ascii="Times New Roman" w:hAnsi="Times New Roman"/>
          <w:szCs w:val="22"/>
          <w:u w:val="single"/>
        </w:rPr>
        <w:t>SEPS</w:t>
      </w:r>
      <w:r w:rsidRPr="00BB0D4F">
        <w:rPr>
          <w:rFonts w:ascii="Times New Roman" w:hAnsi="Times New Roman"/>
          <w:szCs w:val="22"/>
        </w:rPr>
        <w:t xml:space="preserve"> vykázala v konsolidovanej účtovnej závierke ako podmienené aktíva sumu prijatých bankových záruk vo výške 237</w:t>
      </w:r>
      <w:r w:rsidR="0027799B">
        <w:rPr>
          <w:rFonts w:ascii="Times New Roman" w:hAnsi="Times New Roman"/>
          <w:szCs w:val="22"/>
        </w:rPr>
        <w:t> </w:t>
      </w:r>
      <w:r w:rsidRPr="00BB0D4F">
        <w:rPr>
          <w:rFonts w:ascii="Times New Roman" w:hAnsi="Times New Roman"/>
          <w:szCs w:val="22"/>
        </w:rPr>
        <w:t>547</w:t>
      </w:r>
      <w:r w:rsidR="0027799B">
        <w:rPr>
          <w:rFonts w:ascii="Times New Roman" w:hAnsi="Times New Roman"/>
          <w:szCs w:val="22"/>
        </w:rPr>
        <w:t> </w:t>
      </w:r>
      <w:r w:rsidRPr="00BB0D4F">
        <w:rPr>
          <w:rFonts w:ascii="Times New Roman" w:hAnsi="Times New Roman"/>
          <w:szCs w:val="22"/>
        </w:rPr>
        <w:t>tis.</w:t>
      </w:r>
      <w:r w:rsidR="0027799B">
        <w:rPr>
          <w:rFonts w:ascii="Times New Roman" w:hAnsi="Times New Roman"/>
          <w:szCs w:val="22"/>
        </w:rPr>
        <w:t> </w:t>
      </w:r>
      <w:r w:rsidRPr="00BB0D4F">
        <w:rPr>
          <w:rFonts w:ascii="Times New Roman" w:hAnsi="Times New Roman"/>
          <w:szCs w:val="22"/>
        </w:rPr>
        <w:t>eur. Bankové záruky sú uzatvárané v prospech skupiny SEPS účastníkmi krátkodobého trhu s elektrickou energiou, ktoré chránia skupinu pred ich prípadnou platobnou neschopnosťou.</w:t>
      </w:r>
    </w:p>
    <w:p w14:paraId="3CD0C606" w14:textId="10ED9533" w:rsidR="001B3FA4" w:rsidRPr="00BB0D4F" w:rsidRDefault="001B3FA4" w:rsidP="00BB0D4F">
      <w:pPr>
        <w:spacing w:after="120" w:line="240" w:lineRule="auto"/>
        <w:jc w:val="both"/>
        <w:rPr>
          <w:rFonts w:ascii="Times New Roman" w:hAnsi="Times New Roman"/>
          <w:szCs w:val="22"/>
        </w:rPr>
      </w:pPr>
      <w:r w:rsidRPr="0085799C">
        <w:rPr>
          <w:rFonts w:ascii="Times New Roman" w:hAnsi="Times New Roman"/>
          <w:szCs w:val="22"/>
          <w:u w:val="single"/>
        </w:rPr>
        <w:t>S</w:t>
      </w:r>
      <w:r w:rsidR="0094232B">
        <w:rPr>
          <w:rFonts w:ascii="Times New Roman" w:hAnsi="Times New Roman"/>
          <w:szCs w:val="22"/>
          <w:u w:val="single"/>
        </w:rPr>
        <w:t>lovenský plynárenský priemysel, a.s.</w:t>
      </w:r>
      <w:r w:rsidRPr="00BB0D4F">
        <w:rPr>
          <w:rFonts w:ascii="Times New Roman" w:hAnsi="Times New Roman"/>
          <w:szCs w:val="22"/>
        </w:rPr>
        <w:t xml:space="preserve"> vykazuje poskytnuté záruky, ktoré vystavili materské spoločnosti zákazníkov. S</w:t>
      </w:r>
      <w:r w:rsidR="0094232B">
        <w:rPr>
          <w:rFonts w:ascii="Times New Roman" w:hAnsi="Times New Roman"/>
          <w:szCs w:val="22"/>
        </w:rPr>
        <w:t>lovenský plynárenský priemysel, a.s.</w:t>
      </w:r>
      <w:r w:rsidRPr="00BB0D4F">
        <w:rPr>
          <w:rFonts w:ascii="Times New Roman" w:hAnsi="Times New Roman"/>
          <w:szCs w:val="22"/>
        </w:rPr>
        <w:t xml:space="preserve"> si tak v prípade neplnenia povinností zo strany zákazníkov môže uplatňovať plnenie u ich materských spoločností.</w:t>
      </w:r>
    </w:p>
    <w:p w14:paraId="3049A4BB" w14:textId="77777777" w:rsidR="001B3FA4" w:rsidRPr="00BB0D4F" w:rsidRDefault="001B3FA4" w:rsidP="00BB0D4F">
      <w:pPr>
        <w:spacing w:after="120" w:line="240" w:lineRule="auto"/>
        <w:jc w:val="both"/>
        <w:rPr>
          <w:rFonts w:ascii="Times New Roman" w:hAnsi="Times New Roman"/>
          <w:szCs w:val="22"/>
        </w:rPr>
      </w:pPr>
      <w:r w:rsidRPr="0085799C">
        <w:rPr>
          <w:rFonts w:ascii="Times New Roman" w:hAnsi="Times New Roman"/>
          <w:szCs w:val="22"/>
          <w:u w:val="single"/>
        </w:rPr>
        <w:t>MH Manažment, a. s.</w:t>
      </w:r>
      <w:r w:rsidRPr="00BB0D4F">
        <w:rPr>
          <w:rFonts w:ascii="Times New Roman" w:hAnsi="Times New Roman"/>
          <w:szCs w:val="22"/>
        </w:rPr>
        <w:t xml:space="preserve"> vykazuje podmienené aktívum zo zmluvy o predaji štátneho podielu v Slovak Telekom, a. s. Platba vo výške 70 262 tis. eur je uložená a viazaná na účte, pričom vyplatenie týchto prostriedkov závisí od ukončenia Sporu vo veci hlasových služieb a Sporu s Európskou komisiou.</w:t>
      </w:r>
    </w:p>
    <w:p w14:paraId="2333C2B2" w14:textId="31607993" w:rsidR="009E74C9" w:rsidRPr="00BB0D4F" w:rsidRDefault="001B3FA4" w:rsidP="00BB0D4F">
      <w:pPr>
        <w:spacing w:after="120" w:line="240" w:lineRule="auto"/>
        <w:jc w:val="both"/>
        <w:rPr>
          <w:rFonts w:ascii="Times New Roman" w:hAnsi="Times New Roman"/>
          <w:b/>
          <w:szCs w:val="22"/>
          <w:highlight w:val="yellow"/>
        </w:rPr>
      </w:pPr>
      <w:r w:rsidRPr="0085799C">
        <w:rPr>
          <w:rFonts w:ascii="Times New Roman" w:hAnsi="Times New Roman"/>
          <w:szCs w:val="22"/>
          <w:u w:val="single"/>
        </w:rPr>
        <w:t>Environmentálny fond</w:t>
      </w:r>
      <w:r w:rsidRPr="00BB0D4F">
        <w:rPr>
          <w:rFonts w:ascii="Times New Roman" w:hAnsi="Times New Roman"/>
          <w:szCs w:val="22"/>
        </w:rPr>
        <w:t xml:space="preserve"> eviduje potenciálne plnenie zo záložných zmlúv uzavretých bývalým Recyklačným fondom, ktorého činnosť prešla na Environmentálny fond v decembri 2017. Recyklačný fond poskytoval subjektom dotácie napríklad na separáciu odpadov (plastov, železa a podobne) na viacročné obdobie a v prípade, že subjekt nesplnil podmienky pre dotáciu, bol povinný vrátiť dotáciu aj so zmluvnou pokutou. Vo výške dotácie a možnej pokuty boli uzatvárané záložné zmluvy a ručiteľské vyhlásenia.</w:t>
      </w:r>
    </w:p>
    <w:p w14:paraId="01E81E22" w14:textId="77777777" w:rsidR="0027799B" w:rsidRPr="0085799C" w:rsidRDefault="0027799B" w:rsidP="00BB0D4F">
      <w:pPr>
        <w:spacing w:after="120" w:line="240" w:lineRule="auto"/>
        <w:jc w:val="both"/>
        <w:rPr>
          <w:rFonts w:ascii="Times New Roman" w:hAnsi="Times New Roman"/>
          <w:szCs w:val="22"/>
          <w:highlight w:val="yellow"/>
        </w:rPr>
      </w:pPr>
    </w:p>
    <w:p w14:paraId="25CBE326" w14:textId="04BA72DF" w:rsidR="0027799B" w:rsidRPr="00CB4D8B" w:rsidRDefault="0027799B" w:rsidP="0027799B">
      <w:pPr>
        <w:pStyle w:val="Nadpis2"/>
      </w:pPr>
      <w:r w:rsidRPr="00CB4D8B">
        <w:lastRenderedPageBreak/>
        <w:t xml:space="preserve">Iné </w:t>
      </w:r>
      <w:r>
        <w:t>pasíva</w:t>
      </w:r>
    </w:p>
    <w:p w14:paraId="2EC214B5" w14:textId="5297B972" w:rsidR="00647542" w:rsidRDefault="00647542" w:rsidP="00BB0D4F">
      <w:pPr>
        <w:spacing w:after="120" w:line="240" w:lineRule="auto"/>
        <w:jc w:val="both"/>
        <w:rPr>
          <w:rFonts w:ascii="Times New Roman" w:hAnsi="Times New Roman"/>
          <w:szCs w:val="22"/>
        </w:rPr>
      </w:pPr>
      <w:r w:rsidRPr="00BB0D4F">
        <w:rPr>
          <w:rFonts w:ascii="Times New Roman" w:hAnsi="Times New Roman"/>
          <w:szCs w:val="22"/>
        </w:rPr>
        <w:t>Podmienené záväzky predstavujú položku iných pasív, ktoré za určitých okolností môžu negatívne ovplyvniť finančnú situáciu verejnej správy (konkrétne štátu či územnej samosprávy). Tieto záväzky nie sú vykazované na súvahových položkách pasív, pretože nie sú splnené podmienky pre ich zaúčtovanie (výška takéhoto ,,neistého“ záväzku sa nedá spoľahlivo oceniť, obdobie, ku ktorému sa povinnosť viaže nie je určené alebo úbytok ekonomických úžitkov v budúcnosti nie je istý). Z tohto dôvodu nie je možné jednoznačn</w:t>
      </w:r>
      <w:r w:rsidR="00615E48" w:rsidRPr="0085799C">
        <w:rPr>
          <w:rFonts w:ascii="Times New Roman" w:hAnsi="Times New Roman"/>
          <w:szCs w:val="22"/>
        </w:rPr>
        <w:t>e</w:t>
      </w:r>
      <w:r w:rsidRPr="00BB0D4F">
        <w:rPr>
          <w:rFonts w:ascii="Times New Roman" w:hAnsi="Times New Roman"/>
          <w:szCs w:val="22"/>
        </w:rPr>
        <w:t xml:space="preserve"> odhadnúť vplyv na verejné financie z pohľadu času a už vôbec nie je možné stotožňovať hodnotu vyčíslených podmienených záväzkov v danom roku s aktuálnou potrebou peňažných prostriedkov na plnenie takýchto neistých povinností.</w:t>
      </w:r>
    </w:p>
    <w:p w14:paraId="0F967FBA" w14:textId="77777777" w:rsidR="006529AA" w:rsidRPr="00BB0D4F" w:rsidRDefault="006529AA" w:rsidP="006529AA">
      <w:pPr>
        <w:spacing w:after="120" w:line="240" w:lineRule="auto"/>
        <w:jc w:val="both"/>
        <w:rPr>
          <w:rFonts w:ascii="Times New Roman" w:hAnsi="Times New Roman"/>
          <w:szCs w:val="22"/>
        </w:rPr>
      </w:pPr>
      <w:r w:rsidRPr="0085799C">
        <w:rPr>
          <w:rFonts w:ascii="Times New Roman" w:hAnsi="Times New Roman"/>
          <w:bCs/>
          <w:szCs w:val="22"/>
        </w:rPr>
        <w:t>Iné pasíva</w:t>
      </w:r>
      <w:r w:rsidRPr="00BB0D4F">
        <w:rPr>
          <w:rFonts w:ascii="Times New Roman" w:hAnsi="Times New Roman"/>
          <w:szCs w:val="22"/>
        </w:rPr>
        <w:t xml:space="preserve"> vo verejnej správe predstavujú podmienené záväzky z poskytnutých záruk, hroziacich alebo už prebiehajúcich súdnych sporov, záväzky zo všeobecne platných právnych predpisov, ručenia, iné finančné povinnosti a podobne.</w:t>
      </w:r>
    </w:p>
    <w:p w14:paraId="1DCB27D0" w14:textId="0B285BE4" w:rsidR="00D07728" w:rsidRPr="0085799C" w:rsidRDefault="00512CC6" w:rsidP="00BB0D4F">
      <w:pPr>
        <w:spacing w:after="120" w:line="240" w:lineRule="auto"/>
        <w:jc w:val="both"/>
        <w:rPr>
          <w:rFonts w:ascii="Times New Roman" w:hAnsi="Times New Roman"/>
          <w:szCs w:val="22"/>
        </w:rPr>
      </w:pPr>
      <w:r w:rsidRPr="00BB0D4F">
        <w:rPr>
          <w:rFonts w:ascii="Times New Roman" w:hAnsi="Times New Roman"/>
          <w:b/>
          <w:szCs w:val="22"/>
        </w:rPr>
        <w:t xml:space="preserve">Hodnota podmienených záväzkov k </w:t>
      </w:r>
      <w:r w:rsidR="00F418A2" w:rsidRPr="00BB0D4F">
        <w:rPr>
          <w:rFonts w:ascii="Times New Roman" w:hAnsi="Times New Roman"/>
          <w:b/>
          <w:szCs w:val="22"/>
        </w:rPr>
        <w:t>31.</w:t>
      </w:r>
      <w:r w:rsidR="00867606">
        <w:rPr>
          <w:rFonts w:ascii="Times New Roman" w:hAnsi="Times New Roman"/>
          <w:b/>
          <w:szCs w:val="22"/>
        </w:rPr>
        <w:t xml:space="preserve"> </w:t>
      </w:r>
      <w:r w:rsidR="00F418A2" w:rsidRPr="00BB0D4F">
        <w:rPr>
          <w:rFonts w:ascii="Times New Roman" w:hAnsi="Times New Roman"/>
          <w:b/>
          <w:szCs w:val="22"/>
        </w:rPr>
        <w:t>12.</w:t>
      </w:r>
      <w:r w:rsidR="00867606">
        <w:rPr>
          <w:rFonts w:ascii="Times New Roman" w:hAnsi="Times New Roman"/>
          <w:b/>
          <w:szCs w:val="22"/>
        </w:rPr>
        <w:t xml:space="preserve"> </w:t>
      </w:r>
      <w:r w:rsidR="00F418A2" w:rsidRPr="00BB0D4F">
        <w:rPr>
          <w:rFonts w:ascii="Times New Roman" w:hAnsi="Times New Roman"/>
          <w:b/>
          <w:szCs w:val="22"/>
        </w:rPr>
        <w:t>2024</w:t>
      </w:r>
      <w:r w:rsidRPr="00BB0D4F">
        <w:rPr>
          <w:rFonts w:ascii="Times New Roman" w:hAnsi="Times New Roman"/>
          <w:b/>
          <w:szCs w:val="22"/>
        </w:rPr>
        <w:t xml:space="preserve"> na nekonsolidovanej báze dosiahla hodnotu </w:t>
      </w:r>
      <w:r w:rsidRPr="00AD0F62">
        <w:rPr>
          <w:rFonts w:ascii="Times New Roman" w:hAnsi="Times New Roman"/>
          <w:b/>
          <w:szCs w:val="22"/>
        </w:rPr>
        <w:t>úhrnom 20</w:t>
      </w:r>
      <w:r w:rsidR="0027799B" w:rsidRPr="00AD0F62">
        <w:rPr>
          <w:rFonts w:ascii="Times New Roman" w:hAnsi="Times New Roman"/>
          <w:b/>
          <w:szCs w:val="22"/>
        </w:rPr>
        <w:t> </w:t>
      </w:r>
      <w:r w:rsidRPr="00AD0F62">
        <w:rPr>
          <w:rFonts w:ascii="Times New Roman" w:hAnsi="Times New Roman"/>
          <w:b/>
          <w:szCs w:val="22"/>
        </w:rPr>
        <w:t>964</w:t>
      </w:r>
      <w:r w:rsidR="0027799B" w:rsidRPr="00AD0F62">
        <w:rPr>
          <w:rFonts w:ascii="Times New Roman" w:hAnsi="Times New Roman"/>
          <w:b/>
          <w:szCs w:val="22"/>
        </w:rPr>
        <w:t> </w:t>
      </w:r>
      <w:r w:rsidRPr="00AD0F62">
        <w:rPr>
          <w:rFonts w:ascii="Times New Roman" w:hAnsi="Times New Roman"/>
          <w:b/>
          <w:szCs w:val="22"/>
        </w:rPr>
        <w:t>958</w:t>
      </w:r>
      <w:r w:rsidR="0027799B" w:rsidRPr="00AD0F62">
        <w:rPr>
          <w:rFonts w:ascii="Times New Roman" w:hAnsi="Times New Roman"/>
          <w:b/>
          <w:szCs w:val="22"/>
        </w:rPr>
        <w:t> </w:t>
      </w:r>
      <w:r w:rsidRPr="00AD0F62">
        <w:rPr>
          <w:rFonts w:ascii="Times New Roman" w:hAnsi="Times New Roman"/>
          <w:b/>
          <w:szCs w:val="22"/>
        </w:rPr>
        <w:t>tis.</w:t>
      </w:r>
      <w:r w:rsidR="0027799B" w:rsidRPr="00AD0F62">
        <w:rPr>
          <w:rFonts w:ascii="Times New Roman" w:hAnsi="Times New Roman"/>
          <w:b/>
          <w:szCs w:val="22"/>
        </w:rPr>
        <w:t> </w:t>
      </w:r>
      <w:r w:rsidRPr="00AD0F62">
        <w:rPr>
          <w:rFonts w:ascii="Times New Roman" w:hAnsi="Times New Roman"/>
          <w:b/>
          <w:szCs w:val="22"/>
        </w:rPr>
        <w:t>eur</w:t>
      </w:r>
      <w:r w:rsidRPr="00AD0F62">
        <w:rPr>
          <w:rFonts w:ascii="Times New Roman" w:hAnsi="Times New Roman"/>
          <w:szCs w:val="22"/>
        </w:rPr>
        <w:t xml:space="preserve"> a ich členenie</w:t>
      </w:r>
      <w:r w:rsidRPr="00BB0D4F">
        <w:rPr>
          <w:rFonts w:ascii="Times New Roman" w:hAnsi="Times New Roman"/>
          <w:szCs w:val="22"/>
        </w:rPr>
        <w:t xml:space="preserve"> podľa jednotlivých skupín subjektov je nasledovné:</w:t>
      </w:r>
    </w:p>
    <w:p w14:paraId="7CA463B3" w14:textId="707E300B" w:rsidR="00E71681" w:rsidRPr="0085799C" w:rsidRDefault="00BB37B3" w:rsidP="00E71681">
      <w:pPr>
        <w:spacing w:after="120" w:line="240" w:lineRule="auto"/>
        <w:jc w:val="both"/>
        <w:rPr>
          <w:rFonts w:ascii="Times New Roman" w:hAnsi="Times New Roman"/>
        </w:rPr>
      </w:pPr>
      <w:r w:rsidRPr="0085799C">
        <w:rPr>
          <w:rFonts w:ascii="Times New Roman" w:hAnsi="Times New Roman"/>
          <w:b/>
          <w:bCs/>
          <w:sz w:val="18"/>
          <w:szCs w:val="28"/>
        </w:rPr>
        <w:t>Tabuľka 28</w:t>
      </w:r>
    </w:p>
    <w:tbl>
      <w:tblPr>
        <w:tblW w:w="5000" w:type="pct"/>
        <w:tblCellMar>
          <w:left w:w="70" w:type="dxa"/>
          <w:right w:w="70" w:type="dxa"/>
        </w:tblCellMar>
        <w:tblLook w:val="04A0" w:firstRow="1" w:lastRow="0" w:firstColumn="1" w:lastColumn="0" w:noHBand="0" w:noVBand="1"/>
      </w:tblPr>
      <w:tblGrid>
        <w:gridCol w:w="5263"/>
        <w:gridCol w:w="1268"/>
        <w:gridCol w:w="1268"/>
        <w:gridCol w:w="1272"/>
      </w:tblGrid>
      <w:tr w:rsidR="00DA2488" w:rsidRPr="001567C8" w14:paraId="3C96CDDD" w14:textId="77777777" w:rsidTr="0085799C">
        <w:trPr>
          <w:trHeight w:val="227"/>
        </w:trPr>
        <w:tc>
          <w:tcPr>
            <w:tcW w:w="2901" w:type="pct"/>
            <w:tcBorders>
              <w:top w:val="single" w:sz="8" w:space="0" w:color="auto"/>
              <w:left w:val="nil"/>
              <w:bottom w:val="single" w:sz="8" w:space="0" w:color="auto"/>
              <w:right w:val="nil"/>
            </w:tcBorders>
            <w:shd w:val="clear" w:color="000000" w:fill="FABF8F"/>
            <w:vAlign w:val="center"/>
            <w:hideMark/>
          </w:tcPr>
          <w:p w14:paraId="085F7F00" w14:textId="77777777" w:rsidR="006B0CAF" w:rsidRPr="006B0CAF" w:rsidRDefault="006B0CAF" w:rsidP="006B0CAF">
            <w:pPr>
              <w:spacing w:after="0" w:line="240" w:lineRule="auto"/>
              <w:rPr>
                <w:rFonts w:ascii="Times New Roman" w:hAnsi="Times New Roman"/>
                <w:b/>
                <w:bCs/>
                <w:color w:val="000000"/>
                <w:sz w:val="18"/>
                <w:szCs w:val="18"/>
                <w:lang w:eastAsia="sk-SK"/>
              </w:rPr>
            </w:pPr>
            <w:r w:rsidRPr="006B0CAF">
              <w:rPr>
                <w:rFonts w:ascii="Times New Roman" w:hAnsi="Times New Roman"/>
                <w:b/>
                <w:bCs/>
                <w:color w:val="000000"/>
                <w:sz w:val="18"/>
                <w:szCs w:val="18"/>
                <w:lang w:eastAsia="sk-SK"/>
              </w:rPr>
              <w:t>Podmienené záväzky podľa zložiek verejného sektora</w:t>
            </w:r>
          </w:p>
        </w:tc>
        <w:tc>
          <w:tcPr>
            <w:tcW w:w="699" w:type="pct"/>
            <w:tcBorders>
              <w:top w:val="single" w:sz="8" w:space="0" w:color="auto"/>
              <w:left w:val="nil"/>
              <w:bottom w:val="single" w:sz="8" w:space="0" w:color="auto"/>
              <w:right w:val="nil"/>
            </w:tcBorders>
            <w:shd w:val="clear" w:color="000000" w:fill="FABF8F"/>
            <w:vAlign w:val="center"/>
            <w:hideMark/>
          </w:tcPr>
          <w:p w14:paraId="5297E8E8" w14:textId="77777777" w:rsidR="006B0CAF" w:rsidRPr="006B0CAF" w:rsidRDefault="006B0CAF" w:rsidP="006B0CAF">
            <w:pPr>
              <w:spacing w:after="0" w:line="240" w:lineRule="auto"/>
              <w:jc w:val="center"/>
              <w:rPr>
                <w:rFonts w:ascii="Times New Roman" w:hAnsi="Times New Roman"/>
                <w:b/>
                <w:bCs/>
                <w:color w:val="000000"/>
                <w:sz w:val="18"/>
                <w:szCs w:val="18"/>
                <w:lang w:eastAsia="sk-SK"/>
              </w:rPr>
            </w:pPr>
            <w:r w:rsidRPr="006B0CAF">
              <w:rPr>
                <w:rFonts w:ascii="Times New Roman" w:hAnsi="Times New Roman"/>
                <w:b/>
                <w:bCs/>
                <w:color w:val="000000"/>
                <w:sz w:val="18"/>
                <w:szCs w:val="18"/>
                <w:lang w:eastAsia="sk-SK"/>
              </w:rPr>
              <w:t> </w:t>
            </w:r>
          </w:p>
        </w:tc>
        <w:tc>
          <w:tcPr>
            <w:tcW w:w="699" w:type="pct"/>
            <w:tcBorders>
              <w:top w:val="single" w:sz="8" w:space="0" w:color="auto"/>
              <w:left w:val="nil"/>
              <w:bottom w:val="single" w:sz="8" w:space="0" w:color="auto"/>
              <w:right w:val="nil"/>
            </w:tcBorders>
            <w:shd w:val="clear" w:color="000000" w:fill="FABF8F"/>
            <w:vAlign w:val="center"/>
            <w:hideMark/>
          </w:tcPr>
          <w:p w14:paraId="28CEF82E" w14:textId="77777777" w:rsidR="006B0CAF" w:rsidRPr="006B0CAF" w:rsidRDefault="006B0CAF" w:rsidP="006B0CAF">
            <w:pPr>
              <w:spacing w:after="0" w:line="240" w:lineRule="auto"/>
              <w:jc w:val="center"/>
              <w:rPr>
                <w:rFonts w:ascii="Times New Roman" w:hAnsi="Times New Roman"/>
                <w:b/>
                <w:bCs/>
                <w:color w:val="000000"/>
                <w:sz w:val="18"/>
                <w:szCs w:val="18"/>
                <w:lang w:eastAsia="sk-SK"/>
              </w:rPr>
            </w:pPr>
            <w:r w:rsidRPr="006B0CAF">
              <w:rPr>
                <w:rFonts w:ascii="Times New Roman" w:hAnsi="Times New Roman"/>
                <w:b/>
                <w:bCs/>
                <w:color w:val="000000"/>
                <w:sz w:val="18"/>
                <w:szCs w:val="18"/>
                <w:lang w:eastAsia="sk-SK"/>
              </w:rPr>
              <w:t>(v tis. eur)</w:t>
            </w:r>
          </w:p>
        </w:tc>
        <w:tc>
          <w:tcPr>
            <w:tcW w:w="700" w:type="pct"/>
            <w:tcBorders>
              <w:top w:val="single" w:sz="8" w:space="0" w:color="auto"/>
              <w:left w:val="nil"/>
              <w:bottom w:val="single" w:sz="8" w:space="0" w:color="auto"/>
              <w:right w:val="nil"/>
            </w:tcBorders>
            <w:shd w:val="clear" w:color="000000" w:fill="FABF8F"/>
            <w:vAlign w:val="center"/>
            <w:hideMark/>
          </w:tcPr>
          <w:p w14:paraId="2713C5C5" w14:textId="77777777" w:rsidR="006B0CAF" w:rsidRPr="006B0CAF" w:rsidRDefault="006B0CAF" w:rsidP="006B0CAF">
            <w:pPr>
              <w:spacing w:after="0" w:line="240" w:lineRule="auto"/>
              <w:jc w:val="center"/>
              <w:rPr>
                <w:rFonts w:ascii="Times New Roman" w:hAnsi="Times New Roman"/>
                <w:b/>
                <w:bCs/>
                <w:color w:val="000000"/>
                <w:sz w:val="18"/>
                <w:szCs w:val="18"/>
                <w:lang w:eastAsia="sk-SK"/>
              </w:rPr>
            </w:pPr>
            <w:r w:rsidRPr="006B0CAF">
              <w:rPr>
                <w:rFonts w:ascii="Times New Roman" w:hAnsi="Times New Roman"/>
                <w:b/>
                <w:bCs/>
                <w:color w:val="000000"/>
                <w:sz w:val="18"/>
                <w:szCs w:val="18"/>
                <w:lang w:eastAsia="sk-SK"/>
              </w:rPr>
              <w:t> </w:t>
            </w:r>
          </w:p>
        </w:tc>
      </w:tr>
      <w:tr w:rsidR="00DA2488" w:rsidRPr="001567C8" w14:paraId="3E565096" w14:textId="77777777" w:rsidTr="0085799C">
        <w:trPr>
          <w:trHeight w:val="227"/>
        </w:trPr>
        <w:tc>
          <w:tcPr>
            <w:tcW w:w="2901" w:type="pct"/>
            <w:tcBorders>
              <w:top w:val="nil"/>
              <w:left w:val="nil"/>
              <w:bottom w:val="single" w:sz="8" w:space="0" w:color="auto"/>
              <w:right w:val="nil"/>
            </w:tcBorders>
            <w:shd w:val="clear" w:color="000000" w:fill="B8CCE4"/>
            <w:vAlign w:val="center"/>
            <w:hideMark/>
          </w:tcPr>
          <w:p w14:paraId="00647314" w14:textId="77777777" w:rsidR="006B0CAF" w:rsidRPr="006B0CAF" w:rsidRDefault="006B0CAF" w:rsidP="006B0CAF">
            <w:pPr>
              <w:spacing w:after="0" w:line="240" w:lineRule="auto"/>
              <w:rPr>
                <w:rFonts w:ascii="Times New Roman" w:hAnsi="Times New Roman"/>
                <w:b/>
                <w:bCs/>
                <w:color w:val="000000"/>
                <w:sz w:val="18"/>
                <w:szCs w:val="18"/>
                <w:lang w:eastAsia="sk-SK"/>
              </w:rPr>
            </w:pPr>
            <w:r w:rsidRPr="006B0CAF">
              <w:rPr>
                <w:rFonts w:ascii="Times New Roman" w:hAnsi="Times New Roman"/>
                <w:b/>
                <w:bCs/>
                <w:color w:val="000000"/>
                <w:sz w:val="18"/>
                <w:szCs w:val="18"/>
                <w:lang w:eastAsia="sk-SK"/>
              </w:rPr>
              <w:t>Subjekty (v tis. eur)</w:t>
            </w:r>
          </w:p>
        </w:tc>
        <w:tc>
          <w:tcPr>
            <w:tcW w:w="699" w:type="pct"/>
            <w:tcBorders>
              <w:top w:val="nil"/>
              <w:left w:val="nil"/>
              <w:bottom w:val="single" w:sz="8" w:space="0" w:color="auto"/>
              <w:right w:val="nil"/>
            </w:tcBorders>
            <w:shd w:val="clear" w:color="000000" w:fill="B8CCE4"/>
            <w:vAlign w:val="center"/>
            <w:hideMark/>
          </w:tcPr>
          <w:p w14:paraId="289F66F0" w14:textId="77777777" w:rsidR="006B0CAF" w:rsidRPr="006B0CAF" w:rsidRDefault="006B0CAF" w:rsidP="006B0CAF">
            <w:pPr>
              <w:spacing w:after="0" w:line="240" w:lineRule="auto"/>
              <w:jc w:val="center"/>
              <w:rPr>
                <w:rFonts w:ascii="Times New Roman" w:hAnsi="Times New Roman"/>
                <w:b/>
                <w:bCs/>
                <w:color w:val="000000"/>
                <w:sz w:val="18"/>
                <w:szCs w:val="18"/>
                <w:lang w:eastAsia="sk-SK"/>
              </w:rPr>
            </w:pPr>
            <w:r w:rsidRPr="006B0CAF">
              <w:rPr>
                <w:rFonts w:ascii="Times New Roman" w:hAnsi="Times New Roman"/>
                <w:b/>
                <w:bCs/>
                <w:color w:val="000000"/>
                <w:sz w:val="18"/>
                <w:szCs w:val="18"/>
                <w:lang w:eastAsia="sk-SK"/>
              </w:rPr>
              <w:t>2024</w:t>
            </w:r>
          </w:p>
        </w:tc>
        <w:tc>
          <w:tcPr>
            <w:tcW w:w="699" w:type="pct"/>
            <w:tcBorders>
              <w:top w:val="nil"/>
              <w:left w:val="nil"/>
              <w:bottom w:val="single" w:sz="8" w:space="0" w:color="auto"/>
              <w:right w:val="nil"/>
            </w:tcBorders>
            <w:shd w:val="clear" w:color="000000" w:fill="B8CCE4"/>
            <w:vAlign w:val="center"/>
            <w:hideMark/>
          </w:tcPr>
          <w:p w14:paraId="063CC029" w14:textId="77777777" w:rsidR="006B0CAF" w:rsidRPr="006B0CAF" w:rsidRDefault="006B0CAF" w:rsidP="006B0CAF">
            <w:pPr>
              <w:spacing w:after="0" w:line="240" w:lineRule="auto"/>
              <w:jc w:val="center"/>
              <w:rPr>
                <w:rFonts w:ascii="Times New Roman" w:hAnsi="Times New Roman"/>
                <w:b/>
                <w:bCs/>
                <w:color w:val="000000"/>
                <w:sz w:val="18"/>
                <w:szCs w:val="18"/>
                <w:lang w:eastAsia="sk-SK"/>
              </w:rPr>
            </w:pPr>
            <w:r w:rsidRPr="006B0CAF">
              <w:rPr>
                <w:rFonts w:ascii="Times New Roman" w:hAnsi="Times New Roman"/>
                <w:b/>
                <w:bCs/>
                <w:color w:val="000000"/>
                <w:sz w:val="18"/>
                <w:szCs w:val="18"/>
                <w:lang w:eastAsia="sk-SK"/>
              </w:rPr>
              <w:t>2023</w:t>
            </w:r>
          </w:p>
        </w:tc>
        <w:tc>
          <w:tcPr>
            <w:tcW w:w="700" w:type="pct"/>
            <w:tcBorders>
              <w:top w:val="nil"/>
              <w:left w:val="nil"/>
              <w:bottom w:val="single" w:sz="8" w:space="0" w:color="auto"/>
              <w:right w:val="nil"/>
            </w:tcBorders>
            <w:shd w:val="clear" w:color="000000" w:fill="B8CCE4"/>
            <w:vAlign w:val="center"/>
            <w:hideMark/>
          </w:tcPr>
          <w:p w14:paraId="63A4A4E2" w14:textId="77777777" w:rsidR="006B0CAF" w:rsidRPr="006B0CAF" w:rsidRDefault="006B0CAF" w:rsidP="006B0CAF">
            <w:pPr>
              <w:spacing w:after="0" w:line="240" w:lineRule="auto"/>
              <w:jc w:val="center"/>
              <w:rPr>
                <w:rFonts w:ascii="Times New Roman" w:hAnsi="Times New Roman"/>
                <w:b/>
                <w:bCs/>
                <w:color w:val="000000"/>
                <w:sz w:val="18"/>
                <w:szCs w:val="18"/>
                <w:lang w:eastAsia="sk-SK"/>
              </w:rPr>
            </w:pPr>
            <w:r w:rsidRPr="006B0CAF">
              <w:rPr>
                <w:rFonts w:ascii="Times New Roman" w:hAnsi="Times New Roman"/>
                <w:b/>
                <w:bCs/>
                <w:color w:val="000000"/>
                <w:sz w:val="18"/>
                <w:szCs w:val="18"/>
                <w:lang w:eastAsia="sk-SK"/>
              </w:rPr>
              <w:t>Δ 2024-2023</w:t>
            </w:r>
          </w:p>
        </w:tc>
      </w:tr>
      <w:tr w:rsidR="00DA2488" w:rsidRPr="001567C8" w14:paraId="4A977351" w14:textId="77777777" w:rsidTr="0085799C">
        <w:trPr>
          <w:trHeight w:val="227"/>
        </w:trPr>
        <w:tc>
          <w:tcPr>
            <w:tcW w:w="2901" w:type="pct"/>
            <w:tcBorders>
              <w:top w:val="nil"/>
              <w:left w:val="nil"/>
              <w:bottom w:val="nil"/>
              <w:right w:val="nil"/>
            </w:tcBorders>
            <w:vAlign w:val="center"/>
            <w:hideMark/>
          </w:tcPr>
          <w:p w14:paraId="105E6635" w14:textId="77777777" w:rsidR="006B0CAF" w:rsidRPr="006B0CAF" w:rsidRDefault="006B0CAF" w:rsidP="006B0CAF">
            <w:pPr>
              <w:spacing w:after="0" w:line="240" w:lineRule="auto"/>
              <w:rPr>
                <w:rFonts w:ascii="Times New Roman" w:hAnsi="Times New Roman"/>
                <w:color w:val="000000"/>
                <w:sz w:val="18"/>
                <w:szCs w:val="18"/>
                <w:lang w:eastAsia="sk-SK"/>
              </w:rPr>
            </w:pPr>
            <w:r w:rsidRPr="006B0CAF">
              <w:rPr>
                <w:rFonts w:ascii="Times New Roman" w:hAnsi="Times New Roman"/>
                <w:color w:val="000000"/>
                <w:sz w:val="18"/>
                <w:szCs w:val="18"/>
                <w:lang w:eastAsia="sk-SK"/>
              </w:rPr>
              <w:t>Ústredná správa a štátne podniky</w:t>
            </w:r>
          </w:p>
        </w:tc>
        <w:tc>
          <w:tcPr>
            <w:tcW w:w="699" w:type="pct"/>
            <w:tcBorders>
              <w:top w:val="nil"/>
              <w:left w:val="nil"/>
              <w:bottom w:val="nil"/>
              <w:right w:val="nil"/>
            </w:tcBorders>
            <w:noWrap/>
            <w:vAlign w:val="center"/>
            <w:hideMark/>
          </w:tcPr>
          <w:p w14:paraId="1083BF52" w14:textId="77777777" w:rsidR="006B0CAF" w:rsidRPr="006B0CAF" w:rsidRDefault="006B0CAF" w:rsidP="006B0CAF">
            <w:pPr>
              <w:spacing w:after="0" w:line="240" w:lineRule="auto"/>
              <w:jc w:val="right"/>
              <w:rPr>
                <w:rFonts w:ascii="Times New Roman" w:hAnsi="Times New Roman"/>
                <w:color w:val="000000"/>
                <w:sz w:val="18"/>
                <w:szCs w:val="18"/>
                <w:lang w:eastAsia="sk-SK"/>
              </w:rPr>
            </w:pPr>
            <w:r w:rsidRPr="006B0CAF">
              <w:rPr>
                <w:rFonts w:ascii="Times New Roman" w:hAnsi="Times New Roman"/>
                <w:color w:val="000000"/>
                <w:sz w:val="18"/>
                <w:szCs w:val="18"/>
                <w:lang w:eastAsia="sk-SK"/>
              </w:rPr>
              <w:t>20 212 559</w:t>
            </w:r>
          </w:p>
        </w:tc>
        <w:tc>
          <w:tcPr>
            <w:tcW w:w="699" w:type="pct"/>
            <w:tcBorders>
              <w:top w:val="nil"/>
              <w:left w:val="nil"/>
              <w:bottom w:val="nil"/>
              <w:right w:val="nil"/>
            </w:tcBorders>
            <w:noWrap/>
            <w:vAlign w:val="center"/>
            <w:hideMark/>
          </w:tcPr>
          <w:p w14:paraId="294F6BE1" w14:textId="77777777" w:rsidR="006B0CAF" w:rsidRPr="006B0CAF" w:rsidRDefault="006B0CAF" w:rsidP="006B0CAF">
            <w:pPr>
              <w:spacing w:after="0" w:line="240" w:lineRule="auto"/>
              <w:jc w:val="right"/>
              <w:rPr>
                <w:rFonts w:ascii="Times New Roman" w:hAnsi="Times New Roman"/>
                <w:color w:val="000000"/>
                <w:sz w:val="18"/>
                <w:szCs w:val="18"/>
                <w:lang w:eastAsia="sk-SK"/>
              </w:rPr>
            </w:pPr>
            <w:r w:rsidRPr="006B0CAF">
              <w:rPr>
                <w:rFonts w:ascii="Times New Roman" w:hAnsi="Times New Roman"/>
                <w:color w:val="000000"/>
                <w:sz w:val="18"/>
                <w:szCs w:val="18"/>
                <w:lang w:eastAsia="sk-SK"/>
              </w:rPr>
              <w:t>21 842 847</w:t>
            </w:r>
          </w:p>
        </w:tc>
        <w:tc>
          <w:tcPr>
            <w:tcW w:w="700" w:type="pct"/>
            <w:tcBorders>
              <w:top w:val="nil"/>
              <w:left w:val="nil"/>
              <w:bottom w:val="nil"/>
              <w:right w:val="nil"/>
            </w:tcBorders>
            <w:vAlign w:val="center"/>
            <w:hideMark/>
          </w:tcPr>
          <w:p w14:paraId="66EA6E54" w14:textId="77777777" w:rsidR="006B0CAF" w:rsidRPr="006B0CAF" w:rsidRDefault="006B0CAF" w:rsidP="006B0CAF">
            <w:pPr>
              <w:spacing w:after="0" w:line="240" w:lineRule="auto"/>
              <w:jc w:val="right"/>
              <w:rPr>
                <w:rFonts w:ascii="Times New Roman" w:hAnsi="Times New Roman"/>
                <w:color w:val="000000"/>
                <w:sz w:val="18"/>
                <w:szCs w:val="18"/>
                <w:lang w:eastAsia="sk-SK"/>
              </w:rPr>
            </w:pPr>
            <w:r w:rsidRPr="006B0CAF">
              <w:rPr>
                <w:rFonts w:ascii="Times New Roman" w:hAnsi="Times New Roman"/>
                <w:color w:val="000000"/>
                <w:sz w:val="18"/>
                <w:szCs w:val="18"/>
                <w:lang w:eastAsia="sk-SK"/>
              </w:rPr>
              <w:t>-1 630 288</w:t>
            </w:r>
          </w:p>
        </w:tc>
      </w:tr>
      <w:tr w:rsidR="00DA2488" w:rsidRPr="001567C8" w14:paraId="34A5C211" w14:textId="77777777" w:rsidTr="0085799C">
        <w:trPr>
          <w:trHeight w:val="227"/>
        </w:trPr>
        <w:tc>
          <w:tcPr>
            <w:tcW w:w="2901" w:type="pct"/>
            <w:tcBorders>
              <w:top w:val="nil"/>
              <w:left w:val="nil"/>
              <w:bottom w:val="nil"/>
              <w:right w:val="nil"/>
            </w:tcBorders>
            <w:vAlign w:val="center"/>
            <w:hideMark/>
          </w:tcPr>
          <w:p w14:paraId="2F2FCC5C" w14:textId="77777777" w:rsidR="006B0CAF" w:rsidRPr="006B0CAF" w:rsidRDefault="006B0CAF" w:rsidP="006B0CAF">
            <w:pPr>
              <w:spacing w:after="0" w:line="240" w:lineRule="auto"/>
              <w:rPr>
                <w:rFonts w:ascii="Times New Roman" w:hAnsi="Times New Roman"/>
                <w:color w:val="000000"/>
                <w:sz w:val="18"/>
                <w:szCs w:val="18"/>
                <w:lang w:eastAsia="sk-SK"/>
              </w:rPr>
            </w:pPr>
            <w:r w:rsidRPr="006B0CAF">
              <w:rPr>
                <w:rFonts w:ascii="Times New Roman" w:hAnsi="Times New Roman"/>
                <w:color w:val="000000"/>
                <w:sz w:val="18"/>
                <w:szCs w:val="18"/>
                <w:lang w:eastAsia="sk-SK"/>
              </w:rPr>
              <w:t>Obce a ich rozpočtové a príspevkové organizácie a podniky územnej samosprávy</w:t>
            </w:r>
          </w:p>
        </w:tc>
        <w:tc>
          <w:tcPr>
            <w:tcW w:w="699" w:type="pct"/>
            <w:tcBorders>
              <w:top w:val="nil"/>
              <w:left w:val="nil"/>
              <w:bottom w:val="nil"/>
              <w:right w:val="nil"/>
            </w:tcBorders>
            <w:noWrap/>
            <w:vAlign w:val="center"/>
            <w:hideMark/>
          </w:tcPr>
          <w:p w14:paraId="57BFA868" w14:textId="77777777" w:rsidR="006B0CAF" w:rsidRPr="006B0CAF" w:rsidRDefault="006B0CAF" w:rsidP="006B0CAF">
            <w:pPr>
              <w:spacing w:after="0" w:line="240" w:lineRule="auto"/>
              <w:jc w:val="right"/>
              <w:rPr>
                <w:rFonts w:ascii="Times New Roman" w:hAnsi="Times New Roman"/>
                <w:color w:val="000000"/>
                <w:sz w:val="18"/>
                <w:szCs w:val="18"/>
                <w:lang w:eastAsia="sk-SK"/>
              </w:rPr>
            </w:pPr>
            <w:r w:rsidRPr="006B0CAF">
              <w:rPr>
                <w:rFonts w:ascii="Times New Roman" w:hAnsi="Times New Roman"/>
                <w:color w:val="000000"/>
                <w:sz w:val="18"/>
                <w:szCs w:val="18"/>
                <w:lang w:eastAsia="sk-SK"/>
              </w:rPr>
              <w:t>738 462</w:t>
            </w:r>
          </w:p>
        </w:tc>
        <w:tc>
          <w:tcPr>
            <w:tcW w:w="699" w:type="pct"/>
            <w:tcBorders>
              <w:top w:val="nil"/>
              <w:left w:val="nil"/>
              <w:bottom w:val="nil"/>
              <w:right w:val="nil"/>
            </w:tcBorders>
            <w:noWrap/>
            <w:vAlign w:val="center"/>
            <w:hideMark/>
          </w:tcPr>
          <w:p w14:paraId="6EAC8674" w14:textId="77777777" w:rsidR="006B0CAF" w:rsidRPr="006B0CAF" w:rsidRDefault="006B0CAF" w:rsidP="006B0CAF">
            <w:pPr>
              <w:spacing w:after="0" w:line="240" w:lineRule="auto"/>
              <w:jc w:val="right"/>
              <w:rPr>
                <w:rFonts w:ascii="Times New Roman" w:hAnsi="Times New Roman"/>
                <w:color w:val="000000"/>
                <w:sz w:val="18"/>
                <w:szCs w:val="18"/>
                <w:lang w:eastAsia="sk-SK"/>
              </w:rPr>
            </w:pPr>
            <w:r w:rsidRPr="006B0CAF">
              <w:rPr>
                <w:rFonts w:ascii="Times New Roman" w:hAnsi="Times New Roman"/>
                <w:color w:val="000000"/>
                <w:sz w:val="18"/>
                <w:szCs w:val="18"/>
                <w:lang w:eastAsia="sk-SK"/>
              </w:rPr>
              <w:t>612 308</w:t>
            </w:r>
          </w:p>
        </w:tc>
        <w:tc>
          <w:tcPr>
            <w:tcW w:w="700" w:type="pct"/>
            <w:tcBorders>
              <w:top w:val="nil"/>
              <w:left w:val="nil"/>
              <w:bottom w:val="nil"/>
              <w:right w:val="nil"/>
            </w:tcBorders>
            <w:vAlign w:val="center"/>
            <w:hideMark/>
          </w:tcPr>
          <w:p w14:paraId="6BAF06D3" w14:textId="77777777" w:rsidR="006B0CAF" w:rsidRPr="006B0CAF" w:rsidRDefault="006B0CAF" w:rsidP="006B0CAF">
            <w:pPr>
              <w:spacing w:after="0" w:line="240" w:lineRule="auto"/>
              <w:jc w:val="right"/>
              <w:rPr>
                <w:rFonts w:ascii="Times New Roman" w:hAnsi="Times New Roman"/>
                <w:color w:val="000000"/>
                <w:sz w:val="18"/>
                <w:szCs w:val="18"/>
                <w:lang w:eastAsia="sk-SK"/>
              </w:rPr>
            </w:pPr>
            <w:r w:rsidRPr="006B0CAF">
              <w:rPr>
                <w:rFonts w:ascii="Times New Roman" w:hAnsi="Times New Roman"/>
                <w:color w:val="000000"/>
                <w:sz w:val="18"/>
                <w:szCs w:val="18"/>
                <w:lang w:eastAsia="sk-SK"/>
              </w:rPr>
              <w:t>126 154</w:t>
            </w:r>
          </w:p>
        </w:tc>
      </w:tr>
      <w:tr w:rsidR="00DA2488" w:rsidRPr="001567C8" w14:paraId="0240A499" w14:textId="77777777" w:rsidTr="0085799C">
        <w:trPr>
          <w:trHeight w:val="227"/>
        </w:trPr>
        <w:tc>
          <w:tcPr>
            <w:tcW w:w="2901" w:type="pct"/>
            <w:tcBorders>
              <w:top w:val="nil"/>
              <w:left w:val="nil"/>
              <w:bottom w:val="nil"/>
              <w:right w:val="nil"/>
            </w:tcBorders>
            <w:vAlign w:val="center"/>
            <w:hideMark/>
          </w:tcPr>
          <w:p w14:paraId="5612D1ED" w14:textId="77777777" w:rsidR="006B0CAF" w:rsidRPr="006B0CAF" w:rsidRDefault="006B0CAF" w:rsidP="006B0CAF">
            <w:pPr>
              <w:spacing w:after="0" w:line="240" w:lineRule="auto"/>
              <w:rPr>
                <w:rFonts w:ascii="Times New Roman" w:hAnsi="Times New Roman"/>
                <w:color w:val="000000"/>
                <w:sz w:val="18"/>
                <w:szCs w:val="18"/>
                <w:lang w:eastAsia="sk-SK"/>
              </w:rPr>
            </w:pPr>
            <w:r w:rsidRPr="006B0CAF">
              <w:rPr>
                <w:rFonts w:ascii="Times New Roman" w:hAnsi="Times New Roman"/>
                <w:color w:val="000000"/>
                <w:sz w:val="18"/>
                <w:szCs w:val="18"/>
                <w:lang w:eastAsia="sk-SK"/>
              </w:rPr>
              <w:t>Vyššie územné celky a ich rozpočtové a príspevkové organizácie a podniky územnej samosprávy</w:t>
            </w:r>
          </w:p>
        </w:tc>
        <w:tc>
          <w:tcPr>
            <w:tcW w:w="699" w:type="pct"/>
            <w:tcBorders>
              <w:top w:val="nil"/>
              <w:left w:val="nil"/>
              <w:bottom w:val="nil"/>
              <w:right w:val="nil"/>
            </w:tcBorders>
            <w:noWrap/>
            <w:vAlign w:val="center"/>
            <w:hideMark/>
          </w:tcPr>
          <w:p w14:paraId="2B0C6371" w14:textId="77777777" w:rsidR="006B0CAF" w:rsidRPr="006B0CAF" w:rsidRDefault="006B0CAF" w:rsidP="006B0CAF">
            <w:pPr>
              <w:spacing w:after="0" w:line="240" w:lineRule="auto"/>
              <w:jc w:val="right"/>
              <w:rPr>
                <w:rFonts w:ascii="Times New Roman" w:hAnsi="Times New Roman"/>
                <w:color w:val="000000"/>
                <w:sz w:val="18"/>
                <w:szCs w:val="18"/>
                <w:lang w:eastAsia="sk-SK"/>
              </w:rPr>
            </w:pPr>
            <w:r w:rsidRPr="006B0CAF">
              <w:rPr>
                <w:rFonts w:ascii="Times New Roman" w:hAnsi="Times New Roman"/>
                <w:color w:val="000000"/>
                <w:sz w:val="18"/>
                <w:szCs w:val="18"/>
                <w:lang w:eastAsia="sk-SK"/>
              </w:rPr>
              <w:t>13 937</w:t>
            </w:r>
          </w:p>
        </w:tc>
        <w:tc>
          <w:tcPr>
            <w:tcW w:w="699" w:type="pct"/>
            <w:tcBorders>
              <w:top w:val="nil"/>
              <w:left w:val="nil"/>
              <w:bottom w:val="nil"/>
              <w:right w:val="nil"/>
            </w:tcBorders>
            <w:noWrap/>
            <w:vAlign w:val="center"/>
            <w:hideMark/>
          </w:tcPr>
          <w:p w14:paraId="154FA093" w14:textId="77777777" w:rsidR="006B0CAF" w:rsidRPr="006B0CAF" w:rsidRDefault="006B0CAF" w:rsidP="006B0CAF">
            <w:pPr>
              <w:spacing w:after="0" w:line="240" w:lineRule="auto"/>
              <w:jc w:val="right"/>
              <w:rPr>
                <w:rFonts w:ascii="Times New Roman" w:hAnsi="Times New Roman"/>
                <w:color w:val="000000"/>
                <w:sz w:val="18"/>
                <w:szCs w:val="18"/>
                <w:lang w:eastAsia="sk-SK"/>
              </w:rPr>
            </w:pPr>
            <w:r w:rsidRPr="006B0CAF">
              <w:rPr>
                <w:rFonts w:ascii="Times New Roman" w:hAnsi="Times New Roman"/>
                <w:color w:val="000000"/>
                <w:sz w:val="18"/>
                <w:szCs w:val="18"/>
                <w:lang w:eastAsia="sk-SK"/>
              </w:rPr>
              <w:t>12 080</w:t>
            </w:r>
          </w:p>
        </w:tc>
        <w:tc>
          <w:tcPr>
            <w:tcW w:w="700" w:type="pct"/>
            <w:tcBorders>
              <w:top w:val="nil"/>
              <w:left w:val="nil"/>
              <w:bottom w:val="nil"/>
              <w:right w:val="nil"/>
            </w:tcBorders>
            <w:vAlign w:val="center"/>
            <w:hideMark/>
          </w:tcPr>
          <w:p w14:paraId="2ACFD58F" w14:textId="77777777" w:rsidR="006B0CAF" w:rsidRPr="006B0CAF" w:rsidRDefault="006B0CAF" w:rsidP="006B0CAF">
            <w:pPr>
              <w:spacing w:after="0" w:line="240" w:lineRule="auto"/>
              <w:jc w:val="right"/>
              <w:rPr>
                <w:rFonts w:ascii="Times New Roman" w:hAnsi="Times New Roman"/>
                <w:color w:val="000000"/>
                <w:sz w:val="18"/>
                <w:szCs w:val="18"/>
                <w:lang w:eastAsia="sk-SK"/>
              </w:rPr>
            </w:pPr>
            <w:r w:rsidRPr="006B0CAF">
              <w:rPr>
                <w:rFonts w:ascii="Times New Roman" w:hAnsi="Times New Roman"/>
                <w:color w:val="000000"/>
                <w:sz w:val="18"/>
                <w:szCs w:val="18"/>
                <w:lang w:eastAsia="sk-SK"/>
              </w:rPr>
              <w:t>1 857</w:t>
            </w:r>
          </w:p>
        </w:tc>
      </w:tr>
      <w:tr w:rsidR="00DA2488" w:rsidRPr="001567C8" w14:paraId="4CC27878" w14:textId="77777777" w:rsidTr="0085799C">
        <w:trPr>
          <w:trHeight w:val="227"/>
        </w:trPr>
        <w:tc>
          <w:tcPr>
            <w:tcW w:w="2901" w:type="pct"/>
            <w:tcBorders>
              <w:top w:val="single" w:sz="8" w:space="0" w:color="auto"/>
              <w:left w:val="nil"/>
              <w:bottom w:val="single" w:sz="8" w:space="0" w:color="auto"/>
              <w:right w:val="nil"/>
            </w:tcBorders>
            <w:noWrap/>
            <w:vAlign w:val="center"/>
            <w:hideMark/>
          </w:tcPr>
          <w:p w14:paraId="04F7264D" w14:textId="77777777" w:rsidR="006B0CAF" w:rsidRPr="006B0CAF" w:rsidRDefault="006B0CAF" w:rsidP="006B0CAF">
            <w:pPr>
              <w:spacing w:after="0" w:line="240" w:lineRule="auto"/>
              <w:rPr>
                <w:rFonts w:ascii="Times New Roman" w:hAnsi="Times New Roman"/>
                <w:b/>
                <w:bCs/>
                <w:color w:val="000000"/>
                <w:sz w:val="18"/>
                <w:szCs w:val="18"/>
                <w:lang w:eastAsia="sk-SK"/>
              </w:rPr>
            </w:pPr>
            <w:r w:rsidRPr="006B0CAF">
              <w:rPr>
                <w:rFonts w:ascii="Times New Roman" w:hAnsi="Times New Roman"/>
                <w:b/>
                <w:bCs/>
                <w:color w:val="000000"/>
                <w:sz w:val="18"/>
                <w:szCs w:val="18"/>
                <w:lang w:eastAsia="sk-SK"/>
              </w:rPr>
              <w:t>Spolu  (nekonsolidované)</w:t>
            </w:r>
          </w:p>
        </w:tc>
        <w:tc>
          <w:tcPr>
            <w:tcW w:w="699" w:type="pct"/>
            <w:tcBorders>
              <w:top w:val="single" w:sz="8" w:space="0" w:color="auto"/>
              <w:left w:val="nil"/>
              <w:bottom w:val="single" w:sz="8" w:space="0" w:color="auto"/>
              <w:right w:val="nil"/>
            </w:tcBorders>
            <w:noWrap/>
            <w:vAlign w:val="center"/>
            <w:hideMark/>
          </w:tcPr>
          <w:p w14:paraId="18850B9A" w14:textId="77777777" w:rsidR="006B0CAF" w:rsidRPr="006B0CAF" w:rsidRDefault="006B0CAF" w:rsidP="006B0CAF">
            <w:pPr>
              <w:spacing w:after="0" w:line="240" w:lineRule="auto"/>
              <w:jc w:val="right"/>
              <w:rPr>
                <w:rFonts w:ascii="Times New Roman" w:hAnsi="Times New Roman"/>
                <w:b/>
                <w:bCs/>
                <w:color w:val="000000"/>
                <w:sz w:val="18"/>
                <w:szCs w:val="18"/>
                <w:lang w:eastAsia="sk-SK"/>
              </w:rPr>
            </w:pPr>
            <w:r w:rsidRPr="006B0CAF">
              <w:rPr>
                <w:rFonts w:ascii="Times New Roman" w:hAnsi="Times New Roman"/>
                <w:b/>
                <w:bCs/>
                <w:color w:val="000000"/>
                <w:sz w:val="18"/>
                <w:szCs w:val="18"/>
                <w:lang w:eastAsia="sk-SK"/>
              </w:rPr>
              <w:t>20 964 958</w:t>
            </w:r>
          </w:p>
        </w:tc>
        <w:tc>
          <w:tcPr>
            <w:tcW w:w="699" w:type="pct"/>
            <w:tcBorders>
              <w:top w:val="single" w:sz="8" w:space="0" w:color="auto"/>
              <w:left w:val="nil"/>
              <w:bottom w:val="single" w:sz="8" w:space="0" w:color="auto"/>
              <w:right w:val="nil"/>
            </w:tcBorders>
            <w:noWrap/>
            <w:vAlign w:val="center"/>
            <w:hideMark/>
          </w:tcPr>
          <w:p w14:paraId="431AE32F" w14:textId="77777777" w:rsidR="006B0CAF" w:rsidRPr="006B0CAF" w:rsidRDefault="006B0CAF" w:rsidP="006B0CAF">
            <w:pPr>
              <w:spacing w:after="0" w:line="240" w:lineRule="auto"/>
              <w:jc w:val="right"/>
              <w:rPr>
                <w:rFonts w:ascii="Times New Roman" w:hAnsi="Times New Roman"/>
                <w:b/>
                <w:bCs/>
                <w:color w:val="000000"/>
                <w:sz w:val="18"/>
                <w:szCs w:val="18"/>
                <w:lang w:eastAsia="sk-SK"/>
              </w:rPr>
            </w:pPr>
            <w:r w:rsidRPr="006B0CAF">
              <w:rPr>
                <w:rFonts w:ascii="Times New Roman" w:hAnsi="Times New Roman"/>
                <w:b/>
                <w:bCs/>
                <w:color w:val="000000"/>
                <w:sz w:val="18"/>
                <w:szCs w:val="18"/>
                <w:lang w:eastAsia="sk-SK"/>
              </w:rPr>
              <w:t>22 467 235</w:t>
            </w:r>
          </w:p>
        </w:tc>
        <w:tc>
          <w:tcPr>
            <w:tcW w:w="700" w:type="pct"/>
            <w:tcBorders>
              <w:top w:val="single" w:sz="8" w:space="0" w:color="auto"/>
              <w:left w:val="nil"/>
              <w:bottom w:val="single" w:sz="8" w:space="0" w:color="auto"/>
              <w:right w:val="nil"/>
            </w:tcBorders>
            <w:vAlign w:val="center"/>
            <w:hideMark/>
          </w:tcPr>
          <w:p w14:paraId="798A6144" w14:textId="77777777" w:rsidR="006B0CAF" w:rsidRPr="006B0CAF" w:rsidRDefault="006B0CAF" w:rsidP="006B0CAF">
            <w:pPr>
              <w:spacing w:after="0" w:line="240" w:lineRule="auto"/>
              <w:jc w:val="right"/>
              <w:rPr>
                <w:rFonts w:ascii="Times New Roman" w:hAnsi="Times New Roman"/>
                <w:b/>
                <w:bCs/>
                <w:color w:val="000000"/>
                <w:sz w:val="18"/>
                <w:szCs w:val="18"/>
                <w:lang w:eastAsia="sk-SK"/>
              </w:rPr>
            </w:pPr>
            <w:r w:rsidRPr="006B0CAF">
              <w:rPr>
                <w:rFonts w:ascii="Times New Roman" w:hAnsi="Times New Roman"/>
                <w:b/>
                <w:bCs/>
                <w:color w:val="000000"/>
                <w:sz w:val="18"/>
                <w:szCs w:val="18"/>
                <w:lang w:eastAsia="sk-SK"/>
              </w:rPr>
              <w:t>-1 502 277</w:t>
            </w:r>
          </w:p>
        </w:tc>
      </w:tr>
      <w:tr w:rsidR="00DA2488" w:rsidRPr="001567C8" w14:paraId="3214EE99" w14:textId="77777777" w:rsidTr="0085799C">
        <w:trPr>
          <w:trHeight w:val="227"/>
        </w:trPr>
        <w:tc>
          <w:tcPr>
            <w:tcW w:w="2901" w:type="pct"/>
            <w:tcBorders>
              <w:top w:val="nil"/>
              <w:left w:val="nil"/>
              <w:bottom w:val="single" w:sz="8" w:space="0" w:color="auto"/>
              <w:right w:val="nil"/>
            </w:tcBorders>
            <w:noWrap/>
            <w:vAlign w:val="center"/>
            <w:hideMark/>
          </w:tcPr>
          <w:p w14:paraId="5B947CB7" w14:textId="77777777" w:rsidR="006B0CAF" w:rsidRPr="006B0CAF" w:rsidRDefault="006B0CAF" w:rsidP="006B0CAF">
            <w:pPr>
              <w:spacing w:after="0" w:line="240" w:lineRule="auto"/>
              <w:rPr>
                <w:rFonts w:ascii="Times New Roman" w:hAnsi="Times New Roman"/>
                <w:color w:val="000000"/>
                <w:sz w:val="18"/>
                <w:szCs w:val="18"/>
                <w:lang w:eastAsia="sk-SK"/>
              </w:rPr>
            </w:pPr>
            <w:r w:rsidRPr="006B0CAF">
              <w:rPr>
                <w:rFonts w:ascii="Times New Roman" w:hAnsi="Times New Roman"/>
                <w:color w:val="000000"/>
                <w:sz w:val="18"/>
                <w:szCs w:val="18"/>
                <w:lang w:eastAsia="sk-SK"/>
              </w:rPr>
              <w:t>Objem konsolidácie</w:t>
            </w:r>
          </w:p>
        </w:tc>
        <w:tc>
          <w:tcPr>
            <w:tcW w:w="699" w:type="pct"/>
            <w:tcBorders>
              <w:top w:val="nil"/>
              <w:left w:val="nil"/>
              <w:bottom w:val="single" w:sz="8" w:space="0" w:color="auto"/>
              <w:right w:val="nil"/>
            </w:tcBorders>
            <w:noWrap/>
            <w:vAlign w:val="center"/>
            <w:hideMark/>
          </w:tcPr>
          <w:p w14:paraId="6A81729C" w14:textId="77777777" w:rsidR="006B0CAF" w:rsidRPr="006B0CAF" w:rsidRDefault="006B0CAF" w:rsidP="006B0CAF">
            <w:pPr>
              <w:spacing w:after="0" w:line="240" w:lineRule="auto"/>
              <w:jc w:val="right"/>
              <w:rPr>
                <w:rFonts w:ascii="Times New Roman" w:hAnsi="Times New Roman"/>
                <w:color w:val="000000"/>
                <w:sz w:val="18"/>
                <w:szCs w:val="18"/>
                <w:lang w:eastAsia="sk-SK"/>
              </w:rPr>
            </w:pPr>
            <w:r w:rsidRPr="006B0CAF">
              <w:rPr>
                <w:rFonts w:ascii="Times New Roman" w:hAnsi="Times New Roman"/>
                <w:color w:val="000000"/>
                <w:sz w:val="18"/>
                <w:szCs w:val="18"/>
                <w:lang w:eastAsia="sk-SK"/>
              </w:rPr>
              <w:t>311 084</w:t>
            </w:r>
          </w:p>
        </w:tc>
        <w:tc>
          <w:tcPr>
            <w:tcW w:w="699" w:type="pct"/>
            <w:tcBorders>
              <w:top w:val="nil"/>
              <w:left w:val="nil"/>
              <w:bottom w:val="single" w:sz="8" w:space="0" w:color="auto"/>
              <w:right w:val="nil"/>
            </w:tcBorders>
            <w:noWrap/>
            <w:vAlign w:val="center"/>
            <w:hideMark/>
          </w:tcPr>
          <w:p w14:paraId="0316CDBA" w14:textId="77777777" w:rsidR="006B0CAF" w:rsidRPr="006B0CAF" w:rsidRDefault="006B0CAF" w:rsidP="006B0CAF">
            <w:pPr>
              <w:spacing w:after="0" w:line="240" w:lineRule="auto"/>
              <w:jc w:val="right"/>
              <w:rPr>
                <w:rFonts w:ascii="Times New Roman" w:hAnsi="Times New Roman"/>
                <w:color w:val="000000"/>
                <w:sz w:val="18"/>
                <w:szCs w:val="18"/>
                <w:lang w:eastAsia="sk-SK"/>
              </w:rPr>
            </w:pPr>
            <w:r w:rsidRPr="006B0CAF">
              <w:rPr>
                <w:rFonts w:ascii="Times New Roman" w:hAnsi="Times New Roman"/>
                <w:color w:val="000000"/>
                <w:sz w:val="18"/>
                <w:szCs w:val="18"/>
                <w:lang w:eastAsia="sk-SK"/>
              </w:rPr>
              <w:t>377 431</w:t>
            </w:r>
          </w:p>
        </w:tc>
        <w:tc>
          <w:tcPr>
            <w:tcW w:w="700" w:type="pct"/>
            <w:tcBorders>
              <w:top w:val="nil"/>
              <w:left w:val="nil"/>
              <w:bottom w:val="single" w:sz="8" w:space="0" w:color="auto"/>
              <w:right w:val="nil"/>
            </w:tcBorders>
            <w:vAlign w:val="center"/>
            <w:hideMark/>
          </w:tcPr>
          <w:p w14:paraId="1CDF0023" w14:textId="77777777" w:rsidR="006B0CAF" w:rsidRPr="006B0CAF" w:rsidRDefault="006B0CAF" w:rsidP="006B0CAF">
            <w:pPr>
              <w:spacing w:after="0" w:line="240" w:lineRule="auto"/>
              <w:jc w:val="right"/>
              <w:rPr>
                <w:rFonts w:ascii="Times New Roman" w:hAnsi="Times New Roman"/>
                <w:color w:val="000000"/>
                <w:sz w:val="18"/>
                <w:szCs w:val="18"/>
                <w:lang w:eastAsia="sk-SK"/>
              </w:rPr>
            </w:pPr>
            <w:r w:rsidRPr="006B0CAF">
              <w:rPr>
                <w:rFonts w:ascii="Times New Roman" w:hAnsi="Times New Roman"/>
                <w:color w:val="000000"/>
                <w:sz w:val="18"/>
                <w:szCs w:val="18"/>
                <w:lang w:eastAsia="sk-SK"/>
              </w:rPr>
              <w:t>-66 347</w:t>
            </w:r>
          </w:p>
        </w:tc>
      </w:tr>
      <w:tr w:rsidR="00DA2488" w:rsidRPr="001567C8" w14:paraId="0A9FE325" w14:textId="77777777" w:rsidTr="0085799C">
        <w:trPr>
          <w:trHeight w:val="227"/>
        </w:trPr>
        <w:tc>
          <w:tcPr>
            <w:tcW w:w="2901" w:type="pct"/>
            <w:tcBorders>
              <w:top w:val="nil"/>
              <w:left w:val="nil"/>
              <w:bottom w:val="single" w:sz="8" w:space="0" w:color="auto"/>
              <w:right w:val="nil"/>
            </w:tcBorders>
            <w:noWrap/>
            <w:vAlign w:val="center"/>
            <w:hideMark/>
          </w:tcPr>
          <w:p w14:paraId="681230AE" w14:textId="77777777" w:rsidR="006B0CAF" w:rsidRPr="006B0CAF" w:rsidRDefault="006B0CAF" w:rsidP="006B0CAF">
            <w:pPr>
              <w:spacing w:after="0" w:line="240" w:lineRule="auto"/>
              <w:rPr>
                <w:rFonts w:ascii="Times New Roman" w:hAnsi="Times New Roman"/>
                <w:b/>
                <w:bCs/>
                <w:color w:val="000000"/>
                <w:sz w:val="18"/>
                <w:szCs w:val="18"/>
                <w:lang w:eastAsia="sk-SK"/>
              </w:rPr>
            </w:pPr>
            <w:r w:rsidRPr="006B0CAF">
              <w:rPr>
                <w:rFonts w:ascii="Times New Roman" w:hAnsi="Times New Roman"/>
                <w:b/>
                <w:bCs/>
                <w:color w:val="000000"/>
                <w:sz w:val="18"/>
                <w:szCs w:val="18"/>
                <w:lang w:eastAsia="sk-SK"/>
              </w:rPr>
              <w:t>Spolu  (konsolidované)</w:t>
            </w:r>
          </w:p>
        </w:tc>
        <w:tc>
          <w:tcPr>
            <w:tcW w:w="699" w:type="pct"/>
            <w:tcBorders>
              <w:top w:val="nil"/>
              <w:left w:val="nil"/>
              <w:bottom w:val="single" w:sz="8" w:space="0" w:color="auto"/>
              <w:right w:val="nil"/>
            </w:tcBorders>
            <w:noWrap/>
            <w:vAlign w:val="center"/>
            <w:hideMark/>
          </w:tcPr>
          <w:p w14:paraId="1CE27FE5" w14:textId="77777777" w:rsidR="006B0CAF" w:rsidRPr="006B0CAF" w:rsidRDefault="006B0CAF" w:rsidP="006B0CAF">
            <w:pPr>
              <w:spacing w:after="0" w:line="240" w:lineRule="auto"/>
              <w:jc w:val="right"/>
              <w:rPr>
                <w:rFonts w:ascii="Times New Roman" w:hAnsi="Times New Roman"/>
                <w:b/>
                <w:bCs/>
                <w:color w:val="000000"/>
                <w:sz w:val="18"/>
                <w:szCs w:val="18"/>
                <w:lang w:eastAsia="sk-SK"/>
              </w:rPr>
            </w:pPr>
            <w:r w:rsidRPr="006B0CAF">
              <w:rPr>
                <w:rFonts w:ascii="Times New Roman" w:hAnsi="Times New Roman"/>
                <w:b/>
                <w:bCs/>
                <w:color w:val="000000"/>
                <w:sz w:val="18"/>
                <w:szCs w:val="18"/>
                <w:lang w:eastAsia="sk-SK"/>
              </w:rPr>
              <w:t>20 653 874</w:t>
            </w:r>
          </w:p>
        </w:tc>
        <w:tc>
          <w:tcPr>
            <w:tcW w:w="699" w:type="pct"/>
            <w:tcBorders>
              <w:top w:val="nil"/>
              <w:left w:val="nil"/>
              <w:bottom w:val="single" w:sz="8" w:space="0" w:color="auto"/>
              <w:right w:val="nil"/>
            </w:tcBorders>
            <w:noWrap/>
            <w:vAlign w:val="center"/>
            <w:hideMark/>
          </w:tcPr>
          <w:p w14:paraId="38513142" w14:textId="77777777" w:rsidR="006B0CAF" w:rsidRPr="006B0CAF" w:rsidRDefault="006B0CAF" w:rsidP="006B0CAF">
            <w:pPr>
              <w:spacing w:after="0" w:line="240" w:lineRule="auto"/>
              <w:jc w:val="right"/>
              <w:rPr>
                <w:rFonts w:ascii="Times New Roman" w:hAnsi="Times New Roman"/>
                <w:b/>
                <w:bCs/>
                <w:color w:val="000000"/>
                <w:sz w:val="18"/>
                <w:szCs w:val="18"/>
                <w:lang w:eastAsia="sk-SK"/>
              </w:rPr>
            </w:pPr>
            <w:r w:rsidRPr="006B0CAF">
              <w:rPr>
                <w:rFonts w:ascii="Times New Roman" w:hAnsi="Times New Roman"/>
                <w:b/>
                <w:bCs/>
                <w:color w:val="000000"/>
                <w:sz w:val="18"/>
                <w:szCs w:val="18"/>
                <w:lang w:eastAsia="sk-SK"/>
              </w:rPr>
              <w:t>22 089 804</w:t>
            </w:r>
          </w:p>
        </w:tc>
        <w:tc>
          <w:tcPr>
            <w:tcW w:w="700" w:type="pct"/>
            <w:tcBorders>
              <w:top w:val="nil"/>
              <w:left w:val="nil"/>
              <w:bottom w:val="single" w:sz="8" w:space="0" w:color="auto"/>
              <w:right w:val="nil"/>
            </w:tcBorders>
            <w:vAlign w:val="center"/>
            <w:hideMark/>
          </w:tcPr>
          <w:p w14:paraId="1DDB8C3E" w14:textId="77777777" w:rsidR="006B0CAF" w:rsidRPr="006B0CAF" w:rsidRDefault="006B0CAF" w:rsidP="006B0CAF">
            <w:pPr>
              <w:spacing w:after="0" w:line="240" w:lineRule="auto"/>
              <w:jc w:val="right"/>
              <w:rPr>
                <w:rFonts w:ascii="Times New Roman" w:hAnsi="Times New Roman"/>
                <w:b/>
                <w:bCs/>
                <w:color w:val="000000"/>
                <w:sz w:val="18"/>
                <w:szCs w:val="18"/>
                <w:lang w:eastAsia="sk-SK"/>
              </w:rPr>
            </w:pPr>
            <w:r w:rsidRPr="006B0CAF">
              <w:rPr>
                <w:rFonts w:ascii="Times New Roman" w:hAnsi="Times New Roman"/>
                <w:b/>
                <w:bCs/>
                <w:color w:val="000000"/>
                <w:sz w:val="18"/>
                <w:szCs w:val="18"/>
                <w:lang w:eastAsia="sk-SK"/>
              </w:rPr>
              <w:t>-1 435 930</w:t>
            </w:r>
          </w:p>
        </w:tc>
      </w:tr>
      <w:tr w:rsidR="00DA2488" w:rsidRPr="001567C8" w14:paraId="64D72D88" w14:textId="77777777" w:rsidTr="00DA2488">
        <w:trPr>
          <w:trHeight w:val="227"/>
        </w:trPr>
        <w:tc>
          <w:tcPr>
            <w:tcW w:w="5000" w:type="pct"/>
            <w:gridSpan w:val="4"/>
            <w:tcBorders>
              <w:top w:val="single" w:sz="8" w:space="0" w:color="auto"/>
              <w:left w:val="nil"/>
              <w:bottom w:val="nil"/>
              <w:right w:val="nil"/>
            </w:tcBorders>
            <w:vAlign w:val="center"/>
            <w:hideMark/>
          </w:tcPr>
          <w:p w14:paraId="32D9B3E5" w14:textId="6F28F013" w:rsidR="006B0CAF" w:rsidRPr="006B0CAF" w:rsidRDefault="006B0CAF" w:rsidP="006B0CAF">
            <w:pPr>
              <w:spacing w:after="0" w:line="240" w:lineRule="auto"/>
              <w:rPr>
                <w:rFonts w:ascii="Times New Roman" w:hAnsi="Times New Roman"/>
                <w:color w:val="000000"/>
                <w:sz w:val="16"/>
                <w:szCs w:val="16"/>
                <w:lang w:eastAsia="sk-SK"/>
              </w:rPr>
            </w:pPr>
            <w:r w:rsidRPr="006B0CAF">
              <w:rPr>
                <w:rFonts w:ascii="Times New Roman" w:hAnsi="Times New Roman"/>
                <w:color w:val="000000"/>
                <w:sz w:val="16"/>
                <w:szCs w:val="16"/>
                <w:lang w:eastAsia="sk-SK"/>
              </w:rPr>
              <w:t>Poznámka: Hodnota ústrednej správy, ako aj hodnota objemu konsolidácie za rok 2023 boli upravené z dôvodu aktualizácie vstupných údajov.</w:t>
            </w:r>
            <w:r w:rsidRPr="006B0CAF">
              <w:rPr>
                <w:rFonts w:ascii="Times New Roman" w:hAnsi="Times New Roman"/>
                <w:color w:val="000000"/>
                <w:sz w:val="16"/>
                <w:szCs w:val="16"/>
                <w:lang w:eastAsia="sk-SK"/>
              </w:rPr>
              <w:br/>
              <w:t xml:space="preserve">Zdroj: Individuálne a konsolidované účtovné závierky subjektov k </w:t>
            </w:r>
            <w:r w:rsidR="00F418A2">
              <w:rPr>
                <w:rFonts w:ascii="Times New Roman" w:hAnsi="Times New Roman"/>
                <w:color w:val="000000"/>
                <w:sz w:val="16"/>
                <w:szCs w:val="16"/>
                <w:lang w:eastAsia="sk-SK"/>
              </w:rPr>
              <w:t>31.</w:t>
            </w:r>
            <w:r w:rsidR="00867606">
              <w:rPr>
                <w:rFonts w:ascii="Times New Roman" w:hAnsi="Times New Roman"/>
                <w:color w:val="000000"/>
                <w:sz w:val="16"/>
                <w:szCs w:val="16"/>
                <w:lang w:eastAsia="sk-SK"/>
              </w:rPr>
              <w:t xml:space="preserve"> </w:t>
            </w:r>
            <w:r w:rsidR="00F418A2">
              <w:rPr>
                <w:rFonts w:ascii="Times New Roman" w:hAnsi="Times New Roman"/>
                <w:color w:val="000000"/>
                <w:sz w:val="16"/>
                <w:szCs w:val="16"/>
                <w:lang w:eastAsia="sk-SK"/>
              </w:rPr>
              <w:t>12.</w:t>
            </w:r>
            <w:r w:rsidR="00867606">
              <w:rPr>
                <w:rFonts w:ascii="Times New Roman" w:hAnsi="Times New Roman"/>
                <w:color w:val="000000"/>
                <w:sz w:val="16"/>
                <w:szCs w:val="16"/>
                <w:lang w:eastAsia="sk-SK"/>
              </w:rPr>
              <w:t xml:space="preserve"> </w:t>
            </w:r>
            <w:r w:rsidR="00F418A2">
              <w:rPr>
                <w:rFonts w:ascii="Times New Roman" w:hAnsi="Times New Roman"/>
                <w:color w:val="000000"/>
                <w:sz w:val="16"/>
                <w:szCs w:val="16"/>
                <w:lang w:eastAsia="sk-SK"/>
              </w:rPr>
              <w:t>2024</w:t>
            </w:r>
            <w:r w:rsidRPr="006B0CAF">
              <w:rPr>
                <w:rFonts w:ascii="Times New Roman" w:hAnsi="Times New Roman"/>
                <w:color w:val="000000"/>
                <w:sz w:val="16"/>
                <w:szCs w:val="16"/>
                <w:lang w:eastAsia="sk-SK"/>
              </w:rPr>
              <w:t xml:space="preserve"> zverejnené v registri www.registeruz.sk a databáza MF SR</w:t>
            </w:r>
          </w:p>
        </w:tc>
      </w:tr>
    </w:tbl>
    <w:p w14:paraId="3D53721D" w14:textId="77777777" w:rsidR="009170D1" w:rsidRPr="0085799C" w:rsidRDefault="009170D1">
      <w:pPr>
        <w:spacing w:after="120" w:line="240" w:lineRule="auto"/>
        <w:ind w:right="-2"/>
        <w:jc w:val="both"/>
        <w:rPr>
          <w:rFonts w:ascii="Times New Roman" w:hAnsi="Times New Roman"/>
          <w:szCs w:val="22"/>
          <w:highlight w:val="yellow"/>
        </w:rPr>
      </w:pPr>
    </w:p>
    <w:p w14:paraId="2F640B0B" w14:textId="5F12544E" w:rsidR="00661713" w:rsidRPr="0085799C" w:rsidRDefault="00661713" w:rsidP="0085799C">
      <w:pPr>
        <w:spacing w:after="120" w:line="240" w:lineRule="auto"/>
        <w:jc w:val="both"/>
        <w:rPr>
          <w:rFonts w:ascii="Times New Roman" w:hAnsi="Times New Roman"/>
          <w:szCs w:val="22"/>
        </w:rPr>
      </w:pPr>
      <w:r w:rsidRPr="0085799C">
        <w:rPr>
          <w:rFonts w:ascii="Times New Roman" w:hAnsi="Times New Roman"/>
          <w:szCs w:val="22"/>
        </w:rPr>
        <w:t xml:space="preserve">Keďže niektoré podmienené záväzky predstavujú vzťah medzi subjektmi verejnej správy, je vhodné prezentovať aj podmienené záväzky ako konsolidované. Hodnotu konsolidácie predstavujú napríklad potenciálne úhrady z konaní jedného subjektu verejnej správy voči inému subjektu verejnej správy, vzájomné súdne spory, či poskytnuté záruky, z ktorých by plnenie predstavovalo len presun prostriedkov v rámci verejnej správy. </w:t>
      </w:r>
      <w:r w:rsidRPr="0085799C">
        <w:rPr>
          <w:rFonts w:ascii="Times New Roman" w:hAnsi="Times New Roman"/>
          <w:szCs w:val="22"/>
          <w:u w:val="single"/>
        </w:rPr>
        <w:t>Takto očistené podmienené záväzky verejnej správy predstavujú hodnotu 20</w:t>
      </w:r>
      <w:r w:rsidR="001D00F2">
        <w:rPr>
          <w:rFonts w:ascii="Times New Roman" w:hAnsi="Times New Roman"/>
          <w:szCs w:val="22"/>
          <w:u w:val="single"/>
        </w:rPr>
        <w:t> </w:t>
      </w:r>
      <w:r w:rsidRPr="0085799C">
        <w:rPr>
          <w:rFonts w:ascii="Times New Roman" w:hAnsi="Times New Roman"/>
          <w:szCs w:val="22"/>
          <w:u w:val="single"/>
        </w:rPr>
        <w:t>653</w:t>
      </w:r>
      <w:r w:rsidR="001D00F2">
        <w:rPr>
          <w:rFonts w:ascii="Times New Roman" w:hAnsi="Times New Roman"/>
          <w:szCs w:val="22"/>
          <w:u w:val="single"/>
        </w:rPr>
        <w:t> </w:t>
      </w:r>
      <w:r w:rsidRPr="0085799C">
        <w:rPr>
          <w:rFonts w:ascii="Times New Roman" w:hAnsi="Times New Roman"/>
          <w:szCs w:val="22"/>
          <w:u w:val="single"/>
        </w:rPr>
        <w:t>874</w:t>
      </w:r>
      <w:r w:rsidR="001D00F2">
        <w:rPr>
          <w:rFonts w:ascii="Times New Roman" w:hAnsi="Times New Roman"/>
          <w:szCs w:val="22"/>
          <w:u w:val="single"/>
        </w:rPr>
        <w:t> </w:t>
      </w:r>
      <w:r w:rsidRPr="0085799C">
        <w:rPr>
          <w:rFonts w:ascii="Times New Roman" w:hAnsi="Times New Roman"/>
          <w:szCs w:val="22"/>
          <w:u w:val="single"/>
        </w:rPr>
        <w:t>tis.</w:t>
      </w:r>
      <w:r w:rsidR="001D00F2">
        <w:rPr>
          <w:rFonts w:ascii="Times New Roman" w:hAnsi="Times New Roman"/>
          <w:szCs w:val="22"/>
          <w:u w:val="single"/>
        </w:rPr>
        <w:t> </w:t>
      </w:r>
      <w:r w:rsidRPr="0085799C">
        <w:rPr>
          <w:rFonts w:ascii="Times New Roman" w:hAnsi="Times New Roman"/>
          <w:szCs w:val="22"/>
          <w:u w:val="single"/>
        </w:rPr>
        <w:t>eur.</w:t>
      </w:r>
      <w:r w:rsidRPr="0085799C">
        <w:rPr>
          <w:rFonts w:ascii="Times New Roman" w:hAnsi="Times New Roman"/>
          <w:szCs w:val="22"/>
        </w:rPr>
        <w:t xml:space="preserve"> </w:t>
      </w:r>
    </w:p>
    <w:p w14:paraId="5A5047EF" w14:textId="7D3D9EA3" w:rsidR="00661713" w:rsidRPr="0085799C" w:rsidRDefault="00661713" w:rsidP="0085799C">
      <w:pPr>
        <w:spacing w:after="120" w:line="240" w:lineRule="auto"/>
        <w:jc w:val="both"/>
        <w:rPr>
          <w:rFonts w:ascii="Times New Roman" w:hAnsi="Times New Roman"/>
          <w:szCs w:val="22"/>
        </w:rPr>
      </w:pPr>
      <w:r w:rsidRPr="0085799C">
        <w:rPr>
          <w:rFonts w:ascii="Times New Roman" w:hAnsi="Times New Roman"/>
          <w:szCs w:val="22"/>
        </w:rPr>
        <w:t>Podľa údajov dostupných z účtovných závierok hodnotených subjektov dosiahli podmienené záväzky na nekonsolidovanej báze medziročne celkový pokles o</w:t>
      </w:r>
      <w:r w:rsidR="003D4D11">
        <w:rPr>
          <w:rFonts w:ascii="Times New Roman" w:hAnsi="Times New Roman"/>
          <w:szCs w:val="22"/>
        </w:rPr>
        <w:t> </w:t>
      </w:r>
      <w:r w:rsidRPr="0085799C">
        <w:rPr>
          <w:rFonts w:ascii="Times New Roman" w:hAnsi="Times New Roman"/>
          <w:szCs w:val="22"/>
        </w:rPr>
        <w:t>1</w:t>
      </w:r>
      <w:r w:rsidR="003D4D11">
        <w:rPr>
          <w:rFonts w:ascii="Times New Roman" w:hAnsi="Times New Roman"/>
          <w:szCs w:val="22"/>
        </w:rPr>
        <w:t> </w:t>
      </w:r>
      <w:r w:rsidRPr="0085799C">
        <w:rPr>
          <w:rFonts w:ascii="Times New Roman" w:hAnsi="Times New Roman"/>
          <w:szCs w:val="22"/>
        </w:rPr>
        <w:t>502</w:t>
      </w:r>
      <w:r w:rsidR="003D4D11">
        <w:rPr>
          <w:rFonts w:ascii="Times New Roman" w:hAnsi="Times New Roman"/>
          <w:szCs w:val="22"/>
        </w:rPr>
        <w:t> </w:t>
      </w:r>
      <w:r w:rsidRPr="0085799C">
        <w:rPr>
          <w:rFonts w:ascii="Times New Roman" w:hAnsi="Times New Roman"/>
          <w:szCs w:val="22"/>
        </w:rPr>
        <w:t>277</w:t>
      </w:r>
      <w:r w:rsidR="003D4D11">
        <w:rPr>
          <w:rFonts w:ascii="Times New Roman" w:hAnsi="Times New Roman"/>
          <w:szCs w:val="22"/>
        </w:rPr>
        <w:t> </w:t>
      </w:r>
      <w:r w:rsidRPr="0085799C">
        <w:rPr>
          <w:rFonts w:ascii="Times New Roman" w:hAnsi="Times New Roman"/>
          <w:szCs w:val="22"/>
        </w:rPr>
        <w:t>tis.</w:t>
      </w:r>
      <w:r w:rsidR="003D4D11">
        <w:rPr>
          <w:rFonts w:ascii="Times New Roman" w:hAnsi="Times New Roman"/>
          <w:szCs w:val="22"/>
        </w:rPr>
        <w:t> </w:t>
      </w:r>
      <w:r w:rsidRPr="0085799C">
        <w:rPr>
          <w:rFonts w:ascii="Times New Roman" w:hAnsi="Times New Roman"/>
          <w:szCs w:val="22"/>
        </w:rPr>
        <w:t>eur (resp. 1</w:t>
      </w:r>
      <w:r w:rsidR="003D4D11">
        <w:rPr>
          <w:rFonts w:ascii="Times New Roman" w:hAnsi="Times New Roman"/>
          <w:szCs w:val="22"/>
        </w:rPr>
        <w:t> </w:t>
      </w:r>
      <w:r w:rsidRPr="0085799C">
        <w:rPr>
          <w:rFonts w:ascii="Times New Roman" w:hAnsi="Times New Roman"/>
          <w:szCs w:val="22"/>
        </w:rPr>
        <w:t>435</w:t>
      </w:r>
      <w:r w:rsidR="003D4D11">
        <w:rPr>
          <w:rFonts w:ascii="Times New Roman" w:hAnsi="Times New Roman"/>
          <w:szCs w:val="22"/>
        </w:rPr>
        <w:t> </w:t>
      </w:r>
      <w:r w:rsidRPr="0085799C">
        <w:rPr>
          <w:rFonts w:ascii="Times New Roman" w:hAnsi="Times New Roman"/>
          <w:szCs w:val="22"/>
        </w:rPr>
        <w:t>930</w:t>
      </w:r>
      <w:r w:rsidR="003D4D11">
        <w:rPr>
          <w:rFonts w:ascii="Times New Roman" w:hAnsi="Times New Roman"/>
          <w:szCs w:val="22"/>
        </w:rPr>
        <w:t> </w:t>
      </w:r>
      <w:r w:rsidRPr="0085799C">
        <w:rPr>
          <w:rFonts w:ascii="Times New Roman" w:hAnsi="Times New Roman"/>
          <w:szCs w:val="22"/>
        </w:rPr>
        <w:t>tis.</w:t>
      </w:r>
      <w:r w:rsidR="003D4D11">
        <w:rPr>
          <w:rFonts w:ascii="Times New Roman" w:hAnsi="Times New Roman"/>
          <w:szCs w:val="22"/>
        </w:rPr>
        <w:t> </w:t>
      </w:r>
      <w:r w:rsidRPr="0085799C">
        <w:rPr>
          <w:rFonts w:ascii="Times New Roman" w:hAnsi="Times New Roman"/>
          <w:szCs w:val="22"/>
        </w:rPr>
        <w:t>eur po konsolidácii). Celková medziročná zmena je zložená z položiek, ktoré medziročne poklesli a z položiek, ktoré boli zachytené v prehľade prvýkrát, resp. zaznamenali medziročný nárast.</w:t>
      </w:r>
    </w:p>
    <w:p w14:paraId="616ABEDF" w14:textId="324DBAAA" w:rsidR="00D5565B" w:rsidRPr="00BB0D4F" w:rsidRDefault="00661713" w:rsidP="0085799C">
      <w:pPr>
        <w:spacing w:after="120" w:line="240" w:lineRule="auto"/>
        <w:jc w:val="both"/>
        <w:rPr>
          <w:rFonts w:ascii="Times New Roman" w:hAnsi="Times New Roman"/>
          <w:szCs w:val="22"/>
        </w:rPr>
      </w:pPr>
      <w:r w:rsidRPr="0085799C">
        <w:rPr>
          <w:rFonts w:ascii="Times New Roman" w:hAnsi="Times New Roman"/>
          <w:szCs w:val="22"/>
        </w:rPr>
        <w:t xml:space="preserve">Medziročne boli reportované zo strany subjektov niektoré nové </w:t>
      </w:r>
      <w:proofErr w:type="spellStart"/>
      <w:r w:rsidRPr="0085799C">
        <w:rPr>
          <w:rFonts w:ascii="Times New Roman" w:hAnsi="Times New Roman"/>
          <w:szCs w:val="22"/>
        </w:rPr>
        <w:t>mimobilančné</w:t>
      </w:r>
      <w:proofErr w:type="spellEnd"/>
      <w:r w:rsidRPr="0085799C">
        <w:rPr>
          <w:rFonts w:ascii="Times New Roman" w:hAnsi="Times New Roman"/>
          <w:szCs w:val="22"/>
        </w:rPr>
        <w:t xml:space="preserve"> položky na strane podmienených pasív, u viacerých položiek došlo k poklesu hodnoty. V prípade ústrednej správy došlo k celkovému medziročnému poklesu o</w:t>
      </w:r>
      <w:r w:rsidR="003D4D11">
        <w:rPr>
          <w:rFonts w:ascii="Times New Roman" w:hAnsi="Times New Roman"/>
          <w:szCs w:val="22"/>
        </w:rPr>
        <w:t> </w:t>
      </w:r>
      <w:r w:rsidRPr="0085799C">
        <w:rPr>
          <w:rFonts w:ascii="Times New Roman" w:hAnsi="Times New Roman"/>
          <w:szCs w:val="22"/>
        </w:rPr>
        <w:t>1</w:t>
      </w:r>
      <w:r w:rsidR="003D4D11">
        <w:rPr>
          <w:rFonts w:ascii="Times New Roman" w:hAnsi="Times New Roman"/>
          <w:szCs w:val="22"/>
        </w:rPr>
        <w:t> </w:t>
      </w:r>
      <w:r w:rsidRPr="0085799C">
        <w:rPr>
          <w:rFonts w:ascii="Times New Roman" w:hAnsi="Times New Roman"/>
          <w:szCs w:val="22"/>
        </w:rPr>
        <w:t>630</w:t>
      </w:r>
      <w:r w:rsidR="003D4D11">
        <w:rPr>
          <w:rFonts w:ascii="Times New Roman" w:hAnsi="Times New Roman"/>
          <w:szCs w:val="22"/>
        </w:rPr>
        <w:t> </w:t>
      </w:r>
      <w:r w:rsidRPr="0085799C">
        <w:rPr>
          <w:rFonts w:ascii="Times New Roman" w:hAnsi="Times New Roman"/>
          <w:szCs w:val="22"/>
        </w:rPr>
        <w:t>288</w:t>
      </w:r>
      <w:r w:rsidR="003D4D11">
        <w:rPr>
          <w:rFonts w:ascii="Times New Roman" w:hAnsi="Times New Roman"/>
          <w:szCs w:val="22"/>
        </w:rPr>
        <w:t> </w:t>
      </w:r>
      <w:r w:rsidRPr="0085799C">
        <w:rPr>
          <w:rFonts w:ascii="Times New Roman" w:hAnsi="Times New Roman"/>
          <w:szCs w:val="22"/>
        </w:rPr>
        <w:t>tis.</w:t>
      </w:r>
      <w:r w:rsidR="003D4D11">
        <w:rPr>
          <w:rFonts w:ascii="Times New Roman" w:hAnsi="Times New Roman"/>
          <w:szCs w:val="22"/>
        </w:rPr>
        <w:t> </w:t>
      </w:r>
      <w:r w:rsidRPr="0085799C">
        <w:rPr>
          <w:rFonts w:ascii="Times New Roman" w:hAnsi="Times New Roman"/>
          <w:szCs w:val="22"/>
        </w:rPr>
        <w:t>eur, z toho Ministerstvo vnútra SR zaznamenalo pokles v rámci pasívnych súdnych sporov v hodnote 869</w:t>
      </w:r>
      <w:r w:rsidR="003D4D11">
        <w:rPr>
          <w:rFonts w:ascii="Times New Roman" w:hAnsi="Times New Roman"/>
          <w:szCs w:val="22"/>
        </w:rPr>
        <w:t> </w:t>
      </w:r>
      <w:r w:rsidRPr="0085799C">
        <w:rPr>
          <w:rFonts w:ascii="Times New Roman" w:hAnsi="Times New Roman"/>
          <w:szCs w:val="22"/>
        </w:rPr>
        <w:t>055</w:t>
      </w:r>
      <w:r w:rsidR="003D4D11">
        <w:rPr>
          <w:rFonts w:ascii="Times New Roman" w:hAnsi="Times New Roman"/>
          <w:szCs w:val="22"/>
        </w:rPr>
        <w:t> </w:t>
      </w:r>
      <w:r w:rsidRPr="0085799C">
        <w:rPr>
          <w:rFonts w:ascii="Times New Roman" w:hAnsi="Times New Roman"/>
          <w:szCs w:val="22"/>
        </w:rPr>
        <w:t>tis.</w:t>
      </w:r>
      <w:r w:rsidR="003D4D11">
        <w:rPr>
          <w:rFonts w:ascii="Times New Roman" w:hAnsi="Times New Roman"/>
          <w:szCs w:val="22"/>
        </w:rPr>
        <w:t> </w:t>
      </w:r>
      <w:r w:rsidRPr="0085799C">
        <w:rPr>
          <w:rFonts w:ascii="Times New Roman" w:hAnsi="Times New Roman"/>
          <w:szCs w:val="22"/>
        </w:rPr>
        <w:t>eur, Slovenský plynárenský priemysel, a.s. zaznamenal pokles komoditných derivátov v hodnote 448</w:t>
      </w:r>
      <w:r w:rsidR="003D4D11">
        <w:rPr>
          <w:rFonts w:ascii="Times New Roman" w:hAnsi="Times New Roman"/>
          <w:szCs w:val="22"/>
        </w:rPr>
        <w:t> </w:t>
      </w:r>
      <w:r w:rsidRPr="0085799C">
        <w:rPr>
          <w:rFonts w:ascii="Times New Roman" w:hAnsi="Times New Roman"/>
          <w:szCs w:val="22"/>
        </w:rPr>
        <w:t>540</w:t>
      </w:r>
      <w:r w:rsidR="003D4D11">
        <w:rPr>
          <w:rFonts w:ascii="Times New Roman" w:hAnsi="Times New Roman"/>
          <w:szCs w:val="22"/>
        </w:rPr>
        <w:t> </w:t>
      </w:r>
      <w:r w:rsidRPr="0085799C">
        <w:rPr>
          <w:rFonts w:ascii="Times New Roman" w:hAnsi="Times New Roman"/>
          <w:szCs w:val="22"/>
        </w:rPr>
        <w:t>tis.</w:t>
      </w:r>
      <w:r w:rsidR="003D4D11">
        <w:rPr>
          <w:rFonts w:ascii="Times New Roman" w:hAnsi="Times New Roman"/>
          <w:szCs w:val="22"/>
        </w:rPr>
        <w:t> </w:t>
      </w:r>
      <w:r w:rsidRPr="0085799C">
        <w:rPr>
          <w:rFonts w:ascii="Times New Roman" w:hAnsi="Times New Roman"/>
          <w:szCs w:val="22"/>
        </w:rPr>
        <w:t>eur, NDF II pokles záruk o</w:t>
      </w:r>
      <w:r w:rsidR="00D44325" w:rsidRPr="00BB0D4F">
        <w:rPr>
          <w:rFonts w:ascii="Times New Roman" w:hAnsi="Times New Roman"/>
          <w:szCs w:val="22"/>
        </w:rPr>
        <w:t> </w:t>
      </w:r>
      <w:r w:rsidRPr="0085799C">
        <w:rPr>
          <w:rFonts w:ascii="Times New Roman" w:hAnsi="Times New Roman"/>
          <w:szCs w:val="22"/>
        </w:rPr>
        <w:t>167</w:t>
      </w:r>
      <w:r w:rsidR="00D44325" w:rsidRPr="00BB0D4F">
        <w:rPr>
          <w:rFonts w:ascii="Times New Roman" w:hAnsi="Times New Roman"/>
          <w:szCs w:val="22"/>
        </w:rPr>
        <w:t> </w:t>
      </w:r>
      <w:r w:rsidRPr="0085799C">
        <w:rPr>
          <w:rFonts w:ascii="Times New Roman" w:hAnsi="Times New Roman"/>
          <w:szCs w:val="22"/>
        </w:rPr>
        <w:t>789</w:t>
      </w:r>
      <w:r w:rsidR="00D44325" w:rsidRPr="00BB0D4F">
        <w:rPr>
          <w:rFonts w:ascii="Times New Roman" w:hAnsi="Times New Roman"/>
          <w:szCs w:val="22"/>
        </w:rPr>
        <w:t> </w:t>
      </w:r>
      <w:r w:rsidRPr="0085799C">
        <w:rPr>
          <w:rFonts w:ascii="Times New Roman" w:hAnsi="Times New Roman"/>
          <w:szCs w:val="22"/>
        </w:rPr>
        <w:t>tis.</w:t>
      </w:r>
      <w:r w:rsidR="003D4D11">
        <w:rPr>
          <w:rFonts w:ascii="Times New Roman" w:hAnsi="Times New Roman"/>
          <w:szCs w:val="22"/>
        </w:rPr>
        <w:t> </w:t>
      </w:r>
      <w:r w:rsidRPr="0085799C">
        <w:rPr>
          <w:rFonts w:ascii="Times New Roman" w:hAnsi="Times New Roman"/>
          <w:szCs w:val="22"/>
        </w:rPr>
        <w:t>eur a Exportno-importná banka SR medziročný nárast bankových a iných záruk o</w:t>
      </w:r>
      <w:r w:rsidR="00D44325" w:rsidRPr="00BB0D4F">
        <w:rPr>
          <w:rFonts w:ascii="Times New Roman" w:hAnsi="Times New Roman"/>
          <w:szCs w:val="22"/>
        </w:rPr>
        <w:t> </w:t>
      </w:r>
      <w:r w:rsidRPr="0085799C">
        <w:rPr>
          <w:rFonts w:ascii="Times New Roman" w:hAnsi="Times New Roman"/>
          <w:szCs w:val="22"/>
        </w:rPr>
        <w:t>27</w:t>
      </w:r>
      <w:r w:rsidR="00D44325" w:rsidRPr="00BB0D4F">
        <w:rPr>
          <w:rFonts w:ascii="Times New Roman" w:hAnsi="Times New Roman"/>
          <w:szCs w:val="22"/>
        </w:rPr>
        <w:t> </w:t>
      </w:r>
      <w:r w:rsidRPr="0085799C">
        <w:rPr>
          <w:rFonts w:ascii="Times New Roman" w:hAnsi="Times New Roman"/>
          <w:szCs w:val="22"/>
        </w:rPr>
        <w:t>517</w:t>
      </w:r>
      <w:r w:rsidR="00D44325" w:rsidRPr="00BB0D4F">
        <w:rPr>
          <w:rFonts w:ascii="Times New Roman" w:hAnsi="Times New Roman"/>
          <w:szCs w:val="22"/>
        </w:rPr>
        <w:t> </w:t>
      </w:r>
      <w:r w:rsidRPr="0085799C">
        <w:rPr>
          <w:rFonts w:ascii="Times New Roman" w:hAnsi="Times New Roman"/>
          <w:szCs w:val="22"/>
        </w:rPr>
        <w:t>tis.</w:t>
      </w:r>
      <w:r w:rsidR="003D4D11">
        <w:rPr>
          <w:rFonts w:ascii="Times New Roman" w:hAnsi="Times New Roman"/>
          <w:szCs w:val="22"/>
        </w:rPr>
        <w:t> </w:t>
      </w:r>
      <w:r w:rsidRPr="0085799C">
        <w:rPr>
          <w:rFonts w:ascii="Times New Roman" w:hAnsi="Times New Roman"/>
          <w:szCs w:val="22"/>
        </w:rPr>
        <w:t>eur, prepočítaný podiel štátu (34 %) na založenom majetku</w:t>
      </w:r>
      <w:r w:rsidR="00D5565B" w:rsidRPr="00BB0D4F">
        <w:rPr>
          <w:rFonts w:ascii="Times New Roman" w:hAnsi="Times New Roman"/>
          <w:szCs w:val="22"/>
        </w:rPr>
        <w:t>.</w:t>
      </w:r>
      <w:r w:rsidRPr="0085799C">
        <w:rPr>
          <w:rFonts w:ascii="Times New Roman" w:hAnsi="Times New Roman"/>
          <w:szCs w:val="22"/>
        </w:rPr>
        <w:t xml:space="preserve"> </w:t>
      </w:r>
    </w:p>
    <w:p w14:paraId="613D1F24" w14:textId="3A495DD0" w:rsidR="007B3B00" w:rsidRPr="00BB0D4F" w:rsidRDefault="00661713" w:rsidP="0085799C">
      <w:pPr>
        <w:spacing w:after="120" w:line="240" w:lineRule="auto"/>
        <w:jc w:val="both"/>
        <w:rPr>
          <w:rFonts w:ascii="Times New Roman" w:hAnsi="Times New Roman"/>
          <w:szCs w:val="22"/>
        </w:rPr>
      </w:pPr>
      <w:r w:rsidRPr="0085799C">
        <w:rPr>
          <w:rFonts w:ascii="Times New Roman" w:hAnsi="Times New Roman"/>
          <w:szCs w:val="22"/>
        </w:rPr>
        <w:t>Medzi najvýznamnejšie podmienené záväzky patrí účasť SR na Európskom nástroji finančnej stability (EFSF) a Európskom mechanizme pre stabilitu (ESM). Ďalej sú to hroziace alebo už prebiehajúce súdne spory voči štátnym orgánom alebo podnikom štátnej správy, zabezpečovacie operácie Slovenského plynárenského priemyslu, záložné právo na majetok Slovenských elektrární a ďalšie.</w:t>
      </w:r>
      <w:r w:rsidR="007B3B00" w:rsidRPr="00BB0D4F">
        <w:rPr>
          <w:rFonts w:ascii="Times New Roman" w:hAnsi="Times New Roman"/>
          <w:szCs w:val="22"/>
        </w:rPr>
        <w:t xml:space="preserve"> </w:t>
      </w:r>
    </w:p>
    <w:p w14:paraId="2AC6D275" w14:textId="49D303F2" w:rsidR="003D4D11" w:rsidRPr="006A3374" w:rsidRDefault="0077528C" w:rsidP="003D4D11">
      <w:pPr>
        <w:spacing w:after="120" w:line="240" w:lineRule="auto"/>
        <w:rPr>
          <w:rFonts w:ascii="Times New Roman" w:hAnsi="Times New Roman"/>
          <w:b/>
          <w:szCs w:val="22"/>
          <w:lang w:eastAsia="sk-SK"/>
        </w:rPr>
      </w:pPr>
      <w:r w:rsidRPr="00BB0D4F">
        <w:rPr>
          <w:rFonts w:ascii="Times New Roman" w:hAnsi="Times New Roman"/>
          <w:szCs w:val="22"/>
        </w:rPr>
        <w:t>Vybrané podmienené záväzky podľa subjektov na nekonsolidovanej báze sú uvedené v nasledovnom prehľade</w:t>
      </w:r>
      <w:r w:rsidR="00D07728" w:rsidRPr="00BB0D4F">
        <w:rPr>
          <w:rFonts w:ascii="Times New Roman" w:hAnsi="Times New Roman"/>
          <w:szCs w:val="22"/>
        </w:rPr>
        <w:t>:</w:t>
      </w:r>
      <w:r w:rsidR="003D4D11" w:rsidRPr="006A3374">
        <w:rPr>
          <w:rFonts w:ascii="Times New Roman" w:hAnsi="Times New Roman"/>
          <w:b/>
          <w:szCs w:val="22"/>
          <w:lang w:eastAsia="sk-SK"/>
        </w:rPr>
        <w:br w:type="page"/>
      </w:r>
    </w:p>
    <w:p w14:paraId="19F9BC09" w14:textId="66F170EA" w:rsidR="00647542" w:rsidRPr="0085799C" w:rsidRDefault="00BA424F" w:rsidP="00BB0D4F">
      <w:pPr>
        <w:pStyle w:val="Popis"/>
        <w:keepNext/>
        <w:rPr>
          <w:iCs w:val="0"/>
          <w:sz w:val="22"/>
          <w:szCs w:val="22"/>
          <w:highlight w:val="yellow"/>
        </w:rPr>
      </w:pPr>
      <w:r w:rsidRPr="00BB0D4F">
        <w:lastRenderedPageBreak/>
        <w:t xml:space="preserve">Tabuľka </w:t>
      </w:r>
      <w:r w:rsidRPr="0085799C">
        <w:t>29</w:t>
      </w:r>
    </w:p>
    <w:tbl>
      <w:tblPr>
        <w:tblW w:w="5000" w:type="pct"/>
        <w:tblCellMar>
          <w:left w:w="70" w:type="dxa"/>
          <w:right w:w="70" w:type="dxa"/>
        </w:tblCellMar>
        <w:tblLook w:val="04A0" w:firstRow="1" w:lastRow="0" w:firstColumn="1" w:lastColumn="0" w:noHBand="0" w:noVBand="1"/>
      </w:tblPr>
      <w:tblGrid>
        <w:gridCol w:w="5824"/>
        <w:gridCol w:w="1083"/>
        <w:gridCol w:w="1083"/>
        <w:gridCol w:w="1081"/>
      </w:tblGrid>
      <w:tr w:rsidR="004A6802" w:rsidRPr="001567C8" w14:paraId="57455484" w14:textId="77777777" w:rsidTr="0085799C">
        <w:trPr>
          <w:trHeight w:val="227"/>
        </w:trPr>
        <w:tc>
          <w:tcPr>
            <w:tcW w:w="3210" w:type="pct"/>
            <w:tcBorders>
              <w:top w:val="single" w:sz="8" w:space="0" w:color="auto"/>
              <w:left w:val="nil"/>
              <w:bottom w:val="single" w:sz="8" w:space="0" w:color="auto"/>
              <w:right w:val="nil"/>
            </w:tcBorders>
            <w:shd w:val="clear" w:color="000000" w:fill="FABF8F"/>
            <w:vAlign w:val="center"/>
            <w:hideMark/>
          </w:tcPr>
          <w:p w14:paraId="620EE810" w14:textId="417AEE1E" w:rsidR="004A6802" w:rsidRPr="004A6802" w:rsidRDefault="004A6802" w:rsidP="004A6802">
            <w:pPr>
              <w:spacing w:after="0" w:line="240" w:lineRule="auto"/>
              <w:rPr>
                <w:rFonts w:ascii="Times New Roman" w:hAnsi="Times New Roman"/>
                <w:color w:val="000000"/>
                <w:sz w:val="18"/>
                <w:szCs w:val="18"/>
                <w:lang w:eastAsia="sk-SK"/>
              </w:rPr>
            </w:pPr>
            <w:r w:rsidRPr="004A6802">
              <w:rPr>
                <w:rFonts w:ascii="Times New Roman" w:hAnsi="Times New Roman"/>
                <w:b/>
                <w:bCs/>
                <w:color w:val="000000"/>
                <w:sz w:val="18"/>
                <w:szCs w:val="18"/>
                <w:lang w:eastAsia="sk-SK"/>
              </w:rPr>
              <w:t>Prehľad najväčších podmienených záväzkov na nekonsolidovanej báze</w:t>
            </w:r>
          </w:p>
        </w:tc>
        <w:tc>
          <w:tcPr>
            <w:tcW w:w="597" w:type="pct"/>
            <w:tcBorders>
              <w:top w:val="single" w:sz="8" w:space="0" w:color="auto"/>
              <w:left w:val="nil"/>
              <w:bottom w:val="single" w:sz="8" w:space="0" w:color="auto"/>
              <w:right w:val="nil"/>
            </w:tcBorders>
            <w:shd w:val="clear" w:color="000000" w:fill="FABF8F"/>
            <w:vAlign w:val="center"/>
            <w:hideMark/>
          </w:tcPr>
          <w:p w14:paraId="70E99775" w14:textId="77777777" w:rsidR="004A6802" w:rsidRPr="004A6802" w:rsidRDefault="004A6802" w:rsidP="004A6802">
            <w:pPr>
              <w:spacing w:after="0" w:line="240" w:lineRule="auto"/>
              <w:jc w:val="center"/>
              <w:rPr>
                <w:rFonts w:ascii="Times New Roman" w:hAnsi="Times New Roman"/>
                <w:color w:val="000000"/>
                <w:sz w:val="18"/>
                <w:szCs w:val="18"/>
                <w:lang w:eastAsia="sk-SK"/>
              </w:rPr>
            </w:pPr>
            <w:r w:rsidRPr="004A6802">
              <w:rPr>
                <w:rFonts w:ascii="Times New Roman" w:hAnsi="Times New Roman"/>
                <w:color w:val="000000"/>
                <w:sz w:val="18"/>
                <w:szCs w:val="18"/>
                <w:lang w:eastAsia="sk-SK"/>
              </w:rPr>
              <w:t> </w:t>
            </w:r>
          </w:p>
        </w:tc>
        <w:tc>
          <w:tcPr>
            <w:tcW w:w="597" w:type="pct"/>
            <w:tcBorders>
              <w:top w:val="single" w:sz="8" w:space="0" w:color="auto"/>
              <w:left w:val="nil"/>
              <w:bottom w:val="single" w:sz="8" w:space="0" w:color="auto"/>
              <w:right w:val="nil"/>
            </w:tcBorders>
            <w:shd w:val="clear" w:color="000000" w:fill="FABF8F"/>
            <w:vAlign w:val="center"/>
            <w:hideMark/>
          </w:tcPr>
          <w:p w14:paraId="4C64680D" w14:textId="77777777" w:rsidR="004A6802" w:rsidRPr="004A6802" w:rsidRDefault="004A6802" w:rsidP="004A6802">
            <w:pPr>
              <w:spacing w:after="0" w:line="240" w:lineRule="auto"/>
              <w:jc w:val="center"/>
              <w:rPr>
                <w:rFonts w:ascii="Times New Roman" w:hAnsi="Times New Roman"/>
                <w:b/>
                <w:bCs/>
                <w:color w:val="000000"/>
                <w:sz w:val="18"/>
                <w:szCs w:val="18"/>
                <w:lang w:eastAsia="sk-SK"/>
              </w:rPr>
            </w:pPr>
            <w:r w:rsidRPr="004A6802">
              <w:rPr>
                <w:rFonts w:ascii="Times New Roman" w:hAnsi="Times New Roman"/>
                <w:b/>
                <w:bCs/>
                <w:color w:val="000000"/>
                <w:sz w:val="18"/>
                <w:szCs w:val="18"/>
                <w:lang w:eastAsia="sk-SK"/>
              </w:rPr>
              <w:t>(v  tis. eur)</w:t>
            </w:r>
          </w:p>
        </w:tc>
        <w:tc>
          <w:tcPr>
            <w:tcW w:w="596" w:type="pct"/>
            <w:tcBorders>
              <w:top w:val="single" w:sz="8" w:space="0" w:color="auto"/>
              <w:left w:val="nil"/>
              <w:bottom w:val="single" w:sz="8" w:space="0" w:color="auto"/>
              <w:right w:val="nil"/>
            </w:tcBorders>
            <w:shd w:val="clear" w:color="000000" w:fill="FABF8F"/>
            <w:vAlign w:val="center"/>
            <w:hideMark/>
          </w:tcPr>
          <w:p w14:paraId="42F8A100" w14:textId="77777777" w:rsidR="004A6802" w:rsidRPr="004A6802" w:rsidRDefault="004A6802" w:rsidP="004A6802">
            <w:pPr>
              <w:spacing w:after="0" w:line="240" w:lineRule="auto"/>
              <w:jc w:val="center"/>
              <w:rPr>
                <w:rFonts w:ascii="Times New Roman" w:hAnsi="Times New Roman"/>
                <w:color w:val="000000"/>
                <w:sz w:val="18"/>
                <w:szCs w:val="18"/>
                <w:lang w:eastAsia="sk-SK"/>
              </w:rPr>
            </w:pPr>
            <w:r w:rsidRPr="004A6802">
              <w:rPr>
                <w:rFonts w:ascii="Times New Roman" w:hAnsi="Times New Roman"/>
                <w:color w:val="000000"/>
                <w:sz w:val="18"/>
                <w:szCs w:val="18"/>
                <w:lang w:eastAsia="sk-SK"/>
              </w:rPr>
              <w:t> </w:t>
            </w:r>
          </w:p>
        </w:tc>
      </w:tr>
      <w:tr w:rsidR="004A6802" w:rsidRPr="001567C8" w14:paraId="6D1323F2" w14:textId="77777777" w:rsidTr="0085799C">
        <w:trPr>
          <w:trHeight w:val="227"/>
        </w:trPr>
        <w:tc>
          <w:tcPr>
            <w:tcW w:w="3210" w:type="pct"/>
            <w:tcBorders>
              <w:top w:val="nil"/>
              <w:left w:val="nil"/>
              <w:bottom w:val="single" w:sz="8" w:space="0" w:color="auto"/>
              <w:right w:val="nil"/>
            </w:tcBorders>
            <w:shd w:val="clear" w:color="000000" w:fill="B8CCE4"/>
            <w:vAlign w:val="center"/>
            <w:hideMark/>
          </w:tcPr>
          <w:p w14:paraId="19C82BCA" w14:textId="77777777" w:rsidR="004A6802" w:rsidRPr="004A6802" w:rsidRDefault="004A6802" w:rsidP="004A6802">
            <w:pPr>
              <w:spacing w:after="0" w:line="240" w:lineRule="auto"/>
              <w:rPr>
                <w:rFonts w:ascii="Times New Roman" w:hAnsi="Times New Roman"/>
                <w:color w:val="000000"/>
                <w:sz w:val="16"/>
                <w:szCs w:val="16"/>
                <w:lang w:eastAsia="sk-SK"/>
              </w:rPr>
            </w:pPr>
            <w:r w:rsidRPr="004A6802">
              <w:rPr>
                <w:rFonts w:ascii="Times New Roman" w:hAnsi="Times New Roman"/>
                <w:color w:val="000000"/>
                <w:sz w:val="16"/>
                <w:szCs w:val="16"/>
                <w:lang w:eastAsia="sk-SK"/>
              </w:rPr>
              <w:t> </w:t>
            </w:r>
          </w:p>
        </w:tc>
        <w:tc>
          <w:tcPr>
            <w:tcW w:w="597" w:type="pct"/>
            <w:tcBorders>
              <w:top w:val="nil"/>
              <w:left w:val="nil"/>
              <w:bottom w:val="single" w:sz="8" w:space="0" w:color="auto"/>
              <w:right w:val="nil"/>
            </w:tcBorders>
            <w:shd w:val="clear" w:color="000000" w:fill="B8CCE4"/>
            <w:vAlign w:val="center"/>
            <w:hideMark/>
          </w:tcPr>
          <w:p w14:paraId="2F44A413" w14:textId="77777777" w:rsidR="004A6802" w:rsidRPr="004A6802" w:rsidRDefault="004A6802" w:rsidP="004A6802">
            <w:pPr>
              <w:spacing w:after="0" w:line="240" w:lineRule="auto"/>
              <w:jc w:val="center"/>
              <w:rPr>
                <w:rFonts w:ascii="Times New Roman" w:hAnsi="Times New Roman"/>
                <w:b/>
                <w:bCs/>
                <w:color w:val="000000"/>
                <w:sz w:val="18"/>
                <w:szCs w:val="18"/>
                <w:lang w:eastAsia="sk-SK"/>
              </w:rPr>
            </w:pPr>
            <w:r w:rsidRPr="004A6802">
              <w:rPr>
                <w:rFonts w:ascii="Times New Roman" w:hAnsi="Times New Roman"/>
                <w:b/>
                <w:bCs/>
                <w:color w:val="000000"/>
                <w:sz w:val="18"/>
                <w:szCs w:val="18"/>
                <w:lang w:eastAsia="sk-SK"/>
              </w:rPr>
              <w:t>2024</w:t>
            </w:r>
          </w:p>
        </w:tc>
        <w:tc>
          <w:tcPr>
            <w:tcW w:w="597" w:type="pct"/>
            <w:tcBorders>
              <w:top w:val="nil"/>
              <w:left w:val="nil"/>
              <w:bottom w:val="single" w:sz="8" w:space="0" w:color="auto"/>
              <w:right w:val="nil"/>
            </w:tcBorders>
            <w:shd w:val="clear" w:color="000000" w:fill="B8CCE4"/>
            <w:vAlign w:val="center"/>
            <w:hideMark/>
          </w:tcPr>
          <w:p w14:paraId="77572F83" w14:textId="77777777" w:rsidR="004A6802" w:rsidRPr="004A6802" w:rsidRDefault="004A6802" w:rsidP="004A6802">
            <w:pPr>
              <w:spacing w:after="0" w:line="240" w:lineRule="auto"/>
              <w:jc w:val="center"/>
              <w:rPr>
                <w:rFonts w:ascii="Times New Roman" w:hAnsi="Times New Roman"/>
                <w:b/>
                <w:bCs/>
                <w:color w:val="000000"/>
                <w:sz w:val="18"/>
                <w:szCs w:val="18"/>
                <w:lang w:eastAsia="sk-SK"/>
              </w:rPr>
            </w:pPr>
            <w:r w:rsidRPr="004A6802">
              <w:rPr>
                <w:rFonts w:ascii="Times New Roman" w:hAnsi="Times New Roman"/>
                <w:b/>
                <w:bCs/>
                <w:color w:val="000000"/>
                <w:sz w:val="18"/>
                <w:szCs w:val="18"/>
                <w:lang w:eastAsia="sk-SK"/>
              </w:rPr>
              <w:t>2023</w:t>
            </w:r>
          </w:p>
        </w:tc>
        <w:tc>
          <w:tcPr>
            <w:tcW w:w="596" w:type="pct"/>
            <w:tcBorders>
              <w:top w:val="nil"/>
              <w:left w:val="nil"/>
              <w:bottom w:val="single" w:sz="8" w:space="0" w:color="auto"/>
              <w:right w:val="nil"/>
            </w:tcBorders>
            <w:shd w:val="clear" w:color="000000" w:fill="B8CCE4"/>
            <w:vAlign w:val="center"/>
            <w:hideMark/>
          </w:tcPr>
          <w:p w14:paraId="66C6A0C9" w14:textId="77777777" w:rsidR="004A6802" w:rsidRPr="004A6802" w:rsidRDefault="004A6802" w:rsidP="004A6802">
            <w:pPr>
              <w:spacing w:after="0" w:line="240" w:lineRule="auto"/>
              <w:jc w:val="center"/>
              <w:rPr>
                <w:rFonts w:ascii="Times New Roman" w:hAnsi="Times New Roman"/>
                <w:b/>
                <w:bCs/>
                <w:color w:val="000000"/>
                <w:sz w:val="18"/>
                <w:szCs w:val="18"/>
                <w:lang w:eastAsia="sk-SK"/>
              </w:rPr>
            </w:pPr>
            <w:r w:rsidRPr="004A6802">
              <w:rPr>
                <w:rFonts w:ascii="Times New Roman" w:hAnsi="Times New Roman"/>
                <w:b/>
                <w:bCs/>
                <w:color w:val="000000"/>
                <w:sz w:val="18"/>
                <w:szCs w:val="18"/>
                <w:lang w:eastAsia="sk-SK"/>
              </w:rPr>
              <w:t>Δ2024-2023</w:t>
            </w:r>
          </w:p>
        </w:tc>
      </w:tr>
      <w:tr w:rsidR="004A6802" w:rsidRPr="001567C8" w14:paraId="018AD73D" w14:textId="77777777" w:rsidTr="0085799C">
        <w:trPr>
          <w:trHeight w:val="227"/>
        </w:trPr>
        <w:tc>
          <w:tcPr>
            <w:tcW w:w="3210" w:type="pct"/>
            <w:tcBorders>
              <w:top w:val="nil"/>
              <w:left w:val="nil"/>
              <w:bottom w:val="nil"/>
              <w:right w:val="nil"/>
            </w:tcBorders>
            <w:noWrap/>
            <w:vAlign w:val="center"/>
            <w:hideMark/>
          </w:tcPr>
          <w:p w14:paraId="1256EE75" w14:textId="77777777" w:rsidR="004A6802" w:rsidRPr="004A6802" w:rsidRDefault="004A6802" w:rsidP="004A6802">
            <w:pPr>
              <w:spacing w:after="0" w:line="240" w:lineRule="auto"/>
              <w:rPr>
                <w:rFonts w:ascii="Times New Roman" w:hAnsi="Times New Roman"/>
                <w:b/>
                <w:bCs/>
                <w:color w:val="000000"/>
                <w:sz w:val="16"/>
                <w:szCs w:val="16"/>
                <w:lang w:eastAsia="sk-SK"/>
              </w:rPr>
            </w:pPr>
            <w:r w:rsidRPr="004A6802">
              <w:rPr>
                <w:rFonts w:ascii="Times New Roman" w:hAnsi="Times New Roman"/>
                <w:b/>
                <w:bCs/>
                <w:color w:val="000000"/>
                <w:sz w:val="16"/>
                <w:szCs w:val="16"/>
                <w:lang w:eastAsia="sk-SK"/>
              </w:rPr>
              <w:t>Kapitál na požiadanie a záruky v medzinárodných finančných inštitúciách</w:t>
            </w:r>
          </w:p>
        </w:tc>
        <w:tc>
          <w:tcPr>
            <w:tcW w:w="597" w:type="pct"/>
            <w:tcBorders>
              <w:top w:val="nil"/>
              <w:left w:val="nil"/>
              <w:bottom w:val="nil"/>
              <w:right w:val="nil"/>
            </w:tcBorders>
            <w:noWrap/>
            <w:vAlign w:val="center"/>
            <w:hideMark/>
          </w:tcPr>
          <w:p w14:paraId="2C06B594" w14:textId="77777777" w:rsidR="004A6802" w:rsidRPr="004A6802" w:rsidRDefault="004A6802" w:rsidP="004A6802">
            <w:pPr>
              <w:spacing w:after="0" w:line="240" w:lineRule="auto"/>
              <w:jc w:val="right"/>
              <w:rPr>
                <w:rFonts w:ascii="Times New Roman" w:hAnsi="Times New Roman"/>
                <w:b/>
                <w:bCs/>
                <w:color w:val="000000"/>
                <w:sz w:val="18"/>
                <w:szCs w:val="18"/>
                <w:lang w:eastAsia="sk-SK"/>
              </w:rPr>
            </w:pPr>
            <w:r w:rsidRPr="004A6802">
              <w:rPr>
                <w:rFonts w:ascii="Times New Roman" w:hAnsi="Times New Roman"/>
                <w:b/>
                <w:bCs/>
                <w:color w:val="000000"/>
                <w:sz w:val="18"/>
                <w:szCs w:val="18"/>
                <w:lang w:eastAsia="sk-SK"/>
              </w:rPr>
              <w:t>9 882 693</w:t>
            </w:r>
          </w:p>
        </w:tc>
        <w:tc>
          <w:tcPr>
            <w:tcW w:w="597" w:type="pct"/>
            <w:tcBorders>
              <w:top w:val="nil"/>
              <w:left w:val="nil"/>
              <w:bottom w:val="nil"/>
              <w:right w:val="nil"/>
            </w:tcBorders>
            <w:noWrap/>
            <w:vAlign w:val="center"/>
            <w:hideMark/>
          </w:tcPr>
          <w:p w14:paraId="1870B5A7" w14:textId="77777777" w:rsidR="004A6802" w:rsidRPr="004A6802" w:rsidRDefault="004A6802" w:rsidP="004A6802">
            <w:pPr>
              <w:spacing w:after="0" w:line="240" w:lineRule="auto"/>
              <w:jc w:val="right"/>
              <w:rPr>
                <w:rFonts w:ascii="Times New Roman" w:hAnsi="Times New Roman"/>
                <w:b/>
                <w:bCs/>
                <w:color w:val="000000"/>
                <w:sz w:val="18"/>
                <w:szCs w:val="18"/>
                <w:lang w:eastAsia="sk-SK"/>
              </w:rPr>
            </w:pPr>
            <w:r w:rsidRPr="004A6802">
              <w:rPr>
                <w:rFonts w:ascii="Times New Roman" w:hAnsi="Times New Roman"/>
                <w:b/>
                <w:bCs/>
                <w:color w:val="000000"/>
                <w:sz w:val="18"/>
                <w:szCs w:val="18"/>
                <w:lang w:eastAsia="sk-SK"/>
              </w:rPr>
              <w:t>9 873 241</w:t>
            </w:r>
          </w:p>
        </w:tc>
        <w:tc>
          <w:tcPr>
            <w:tcW w:w="596" w:type="pct"/>
            <w:tcBorders>
              <w:top w:val="nil"/>
              <w:left w:val="nil"/>
              <w:bottom w:val="nil"/>
              <w:right w:val="nil"/>
            </w:tcBorders>
            <w:vAlign w:val="center"/>
            <w:hideMark/>
          </w:tcPr>
          <w:p w14:paraId="36F574B3" w14:textId="77777777" w:rsidR="004A6802" w:rsidRPr="004A6802" w:rsidRDefault="004A6802" w:rsidP="004A6802">
            <w:pPr>
              <w:spacing w:after="0" w:line="240" w:lineRule="auto"/>
              <w:jc w:val="right"/>
              <w:rPr>
                <w:rFonts w:ascii="Times New Roman" w:hAnsi="Times New Roman"/>
                <w:b/>
                <w:bCs/>
                <w:color w:val="000000"/>
                <w:sz w:val="18"/>
                <w:szCs w:val="18"/>
                <w:lang w:eastAsia="sk-SK"/>
              </w:rPr>
            </w:pPr>
            <w:r w:rsidRPr="004A6802">
              <w:rPr>
                <w:rFonts w:ascii="Times New Roman" w:hAnsi="Times New Roman"/>
                <w:b/>
                <w:bCs/>
                <w:color w:val="000000"/>
                <w:sz w:val="18"/>
                <w:szCs w:val="18"/>
                <w:lang w:eastAsia="sk-SK"/>
              </w:rPr>
              <w:t>9 452</w:t>
            </w:r>
          </w:p>
        </w:tc>
      </w:tr>
      <w:tr w:rsidR="004A6802" w:rsidRPr="001567C8" w14:paraId="032FDAED" w14:textId="77777777" w:rsidTr="0085799C">
        <w:trPr>
          <w:trHeight w:val="227"/>
        </w:trPr>
        <w:tc>
          <w:tcPr>
            <w:tcW w:w="3210" w:type="pct"/>
            <w:tcBorders>
              <w:top w:val="nil"/>
              <w:left w:val="nil"/>
              <w:bottom w:val="nil"/>
              <w:right w:val="nil"/>
            </w:tcBorders>
            <w:vAlign w:val="center"/>
            <w:hideMark/>
          </w:tcPr>
          <w:p w14:paraId="466FFB54"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Európsky mechanizmus pre stabilitu (ESM)</w:t>
            </w:r>
          </w:p>
        </w:tc>
        <w:tc>
          <w:tcPr>
            <w:tcW w:w="597" w:type="pct"/>
            <w:tcBorders>
              <w:top w:val="nil"/>
              <w:left w:val="nil"/>
              <w:bottom w:val="nil"/>
              <w:right w:val="nil"/>
            </w:tcBorders>
            <w:vAlign w:val="center"/>
            <w:hideMark/>
          </w:tcPr>
          <w:p w14:paraId="510999E3"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6 144 110</w:t>
            </w:r>
          </w:p>
        </w:tc>
        <w:tc>
          <w:tcPr>
            <w:tcW w:w="597" w:type="pct"/>
            <w:tcBorders>
              <w:top w:val="nil"/>
              <w:left w:val="nil"/>
              <w:bottom w:val="nil"/>
              <w:right w:val="nil"/>
            </w:tcBorders>
            <w:vAlign w:val="center"/>
            <w:hideMark/>
          </w:tcPr>
          <w:p w14:paraId="78616CA2"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6 144 110</w:t>
            </w:r>
          </w:p>
        </w:tc>
        <w:tc>
          <w:tcPr>
            <w:tcW w:w="596" w:type="pct"/>
            <w:tcBorders>
              <w:top w:val="nil"/>
              <w:left w:val="nil"/>
              <w:bottom w:val="nil"/>
              <w:right w:val="nil"/>
            </w:tcBorders>
            <w:vAlign w:val="center"/>
            <w:hideMark/>
          </w:tcPr>
          <w:p w14:paraId="4C917484"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0</w:t>
            </w:r>
          </w:p>
        </w:tc>
      </w:tr>
      <w:tr w:rsidR="004A6802" w:rsidRPr="001567C8" w14:paraId="5FE7D5FD" w14:textId="77777777" w:rsidTr="0085799C">
        <w:trPr>
          <w:trHeight w:val="227"/>
        </w:trPr>
        <w:tc>
          <w:tcPr>
            <w:tcW w:w="3210" w:type="pct"/>
            <w:tcBorders>
              <w:top w:val="nil"/>
              <w:left w:val="nil"/>
              <w:bottom w:val="nil"/>
              <w:right w:val="nil"/>
            </w:tcBorders>
            <w:vAlign w:val="center"/>
            <w:hideMark/>
          </w:tcPr>
          <w:p w14:paraId="5DEE69F2"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Európsky nástroj finančnej stability (EFSF)</w:t>
            </w:r>
          </w:p>
        </w:tc>
        <w:tc>
          <w:tcPr>
            <w:tcW w:w="597" w:type="pct"/>
            <w:tcBorders>
              <w:top w:val="nil"/>
              <w:left w:val="nil"/>
              <w:bottom w:val="nil"/>
              <w:right w:val="nil"/>
            </w:tcBorders>
            <w:vAlign w:val="center"/>
            <w:hideMark/>
          </w:tcPr>
          <w:p w14:paraId="1E635D6F"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2 281 365</w:t>
            </w:r>
          </w:p>
        </w:tc>
        <w:tc>
          <w:tcPr>
            <w:tcW w:w="597" w:type="pct"/>
            <w:tcBorders>
              <w:top w:val="nil"/>
              <w:left w:val="nil"/>
              <w:bottom w:val="nil"/>
              <w:right w:val="nil"/>
            </w:tcBorders>
            <w:vAlign w:val="center"/>
            <w:hideMark/>
          </w:tcPr>
          <w:p w14:paraId="650420BF"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2 318 789</w:t>
            </w:r>
          </w:p>
        </w:tc>
        <w:tc>
          <w:tcPr>
            <w:tcW w:w="596" w:type="pct"/>
            <w:tcBorders>
              <w:top w:val="nil"/>
              <w:left w:val="nil"/>
              <w:bottom w:val="nil"/>
              <w:right w:val="nil"/>
            </w:tcBorders>
            <w:vAlign w:val="center"/>
            <w:hideMark/>
          </w:tcPr>
          <w:p w14:paraId="6A692CC8"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-37 424</w:t>
            </w:r>
          </w:p>
        </w:tc>
      </w:tr>
      <w:tr w:rsidR="004A6802" w:rsidRPr="001567C8" w14:paraId="43DF8739" w14:textId="77777777" w:rsidTr="0085799C">
        <w:trPr>
          <w:trHeight w:val="227"/>
        </w:trPr>
        <w:tc>
          <w:tcPr>
            <w:tcW w:w="3210" w:type="pct"/>
            <w:tcBorders>
              <w:top w:val="nil"/>
              <w:left w:val="nil"/>
              <w:bottom w:val="nil"/>
              <w:right w:val="nil"/>
            </w:tcBorders>
            <w:noWrap/>
            <w:vAlign w:val="center"/>
            <w:hideMark/>
          </w:tcPr>
          <w:p w14:paraId="5C0922E0"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 xml:space="preserve">Európska investičná banka </w:t>
            </w:r>
          </w:p>
        </w:tc>
        <w:tc>
          <w:tcPr>
            <w:tcW w:w="597" w:type="pct"/>
            <w:tcBorders>
              <w:top w:val="nil"/>
              <w:left w:val="nil"/>
              <w:bottom w:val="nil"/>
              <w:right w:val="nil"/>
            </w:tcBorders>
            <w:vAlign w:val="center"/>
            <w:hideMark/>
          </w:tcPr>
          <w:p w14:paraId="658BCEA7"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684 231</w:t>
            </w:r>
          </w:p>
        </w:tc>
        <w:tc>
          <w:tcPr>
            <w:tcW w:w="597" w:type="pct"/>
            <w:tcBorders>
              <w:top w:val="nil"/>
              <w:left w:val="nil"/>
              <w:bottom w:val="nil"/>
              <w:right w:val="nil"/>
            </w:tcBorders>
            <w:vAlign w:val="center"/>
            <w:hideMark/>
          </w:tcPr>
          <w:p w14:paraId="3F83D05C"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684 231</w:t>
            </w:r>
          </w:p>
        </w:tc>
        <w:tc>
          <w:tcPr>
            <w:tcW w:w="596" w:type="pct"/>
            <w:tcBorders>
              <w:top w:val="nil"/>
              <w:left w:val="nil"/>
              <w:bottom w:val="nil"/>
              <w:right w:val="nil"/>
            </w:tcBorders>
            <w:vAlign w:val="center"/>
            <w:hideMark/>
          </w:tcPr>
          <w:p w14:paraId="3EDD1E48"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0</w:t>
            </w:r>
          </w:p>
        </w:tc>
      </w:tr>
      <w:tr w:rsidR="004A6802" w:rsidRPr="001567C8" w14:paraId="70304E8A" w14:textId="77777777" w:rsidTr="0085799C">
        <w:trPr>
          <w:trHeight w:val="227"/>
        </w:trPr>
        <w:tc>
          <w:tcPr>
            <w:tcW w:w="3210" w:type="pct"/>
            <w:tcBorders>
              <w:top w:val="nil"/>
              <w:left w:val="nil"/>
              <w:bottom w:val="nil"/>
              <w:right w:val="nil"/>
            </w:tcBorders>
            <w:vAlign w:val="center"/>
            <w:hideMark/>
          </w:tcPr>
          <w:p w14:paraId="71537217"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 xml:space="preserve">Medzinárodná banka pre obnovu a rozvoj </w:t>
            </w:r>
          </w:p>
        </w:tc>
        <w:tc>
          <w:tcPr>
            <w:tcW w:w="597" w:type="pct"/>
            <w:tcBorders>
              <w:top w:val="nil"/>
              <w:left w:val="nil"/>
              <w:bottom w:val="nil"/>
              <w:right w:val="nil"/>
            </w:tcBorders>
            <w:vAlign w:val="center"/>
            <w:hideMark/>
          </w:tcPr>
          <w:p w14:paraId="294CDB23"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516 151</w:t>
            </w:r>
          </w:p>
        </w:tc>
        <w:tc>
          <w:tcPr>
            <w:tcW w:w="597" w:type="pct"/>
            <w:tcBorders>
              <w:top w:val="nil"/>
              <w:left w:val="nil"/>
              <w:bottom w:val="nil"/>
              <w:right w:val="nil"/>
            </w:tcBorders>
            <w:vAlign w:val="center"/>
            <w:hideMark/>
          </w:tcPr>
          <w:p w14:paraId="047F8E15"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485 275</w:t>
            </w:r>
          </w:p>
        </w:tc>
        <w:tc>
          <w:tcPr>
            <w:tcW w:w="596" w:type="pct"/>
            <w:tcBorders>
              <w:top w:val="nil"/>
              <w:left w:val="nil"/>
              <w:bottom w:val="nil"/>
              <w:right w:val="nil"/>
            </w:tcBorders>
            <w:vAlign w:val="center"/>
            <w:hideMark/>
          </w:tcPr>
          <w:p w14:paraId="2C7A703B"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30 876</w:t>
            </w:r>
          </w:p>
        </w:tc>
      </w:tr>
      <w:tr w:rsidR="004A6802" w:rsidRPr="001567C8" w14:paraId="714C1432" w14:textId="77777777" w:rsidTr="0085799C">
        <w:trPr>
          <w:trHeight w:val="227"/>
        </w:trPr>
        <w:tc>
          <w:tcPr>
            <w:tcW w:w="3210" w:type="pct"/>
            <w:tcBorders>
              <w:top w:val="nil"/>
              <w:left w:val="nil"/>
              <w:bottom w:val="nil"/>
              <w:right w:val="nil"/>
            </w:tcBorders>
            <w:vAlign w:val="center"/>
            <w:hideMark/>
          </w:tcPr>
          <w:p w14:paraId="0841EC70"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Európska banka pre obnovu a rozvoj</w:t>
            </w:r>
          </w:p>
        </w:tc>
        <w:tc>
          <w:tcPr>
            <w:tcW w:w="597" w:type="pct"/>
            <w:tcBorders>
              <w:top w:val="nil"/>
              <w:left w:val="nil"/>
              <w:bottom w:val="nil"/>
              <w:right w:val="nil"/>
            </w:tcBorders>
            <w:vAlign w:val="center"/>
            <w:hideMark/>
          </w:tcPr>
          <w:p w14:paraId="6418322B"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118 569</w:t>
            </w:r>
          </w:p>
        </w:tc>
        <w:tc>
          <w:tcPr>
            <w:tcW w:w="597" w:type="pct"/>
            <w:tcBorders>
              <w:top w:val="nil"/>
              <w:left w:val="nil"/>
              <w:bottom w:val="nil"/>
              <w:right w:val="nil"/>
            </w:tcBorders>
            <w:vAlign w:val="center"/>
            <w:hideMark/>
          </w:tcPr>
          <w:p w14:paraId="0F497F47"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101 359</w:t>
            </w:r>
          </w:p>
        </w:tc>
        <w:tc>
          <w:tcPr>
            <w:tcW w:w="596" w:type="pct"/>
            <w:tcBorders>
              <w:top w:val="nil"/>
              <w:left w:val="nil"/>
              <w:bottom w:val="nil"/>
              <w:right w:val="nil"/>
            </w:tcBorders>
            <w:vAlign w:val="center"/>
            <w:hideMark/>
          </w:tcPr>
          <w:p w14:paraId="11A4909A"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17 210</w:t>
            </w:r>
          </w:p>
        </w:tc>
      </w:tr>
      <w:tr w:rsidR="004A6802" w:rsidRPr="001567C8" w14:paraId="53880737" w14:textId="77777777" w:rsidTr="0085799C">
        <w:trPr>
          <w:trHeight w:val="227"/>
        </w:trPr>
        <w:tc>
          <w:tcPr>
            <w:tcW w:w="3210" w:type="pct"/>
            <w:tcBorders>
              <w:top w:val="nil"/>
              <w:left w:val="nil"/>
              <w:bottom w:val="nil"/>
              <w:right w:val="nil"/>
            </w:tcBorders>
            <w:noWrap/>
            <w:vAlign w:val="center"/>
            <w:hideMark/>
          </w:tcPr>
          <w:p w14:paraId="0EAFC178"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Paneurópsky garančný fond</w:t>
            </w:r>
          </w:p>
        </w:tc>
        <w:tc>
          <w:tcPr>
            <w:tcW w:w="597" w:type="pct"/>
            <w:tcBorders>
              <w:top w:val="nil"/>
              <w:left w:val="nil"/>
              <w:bottom w:val="nil"/>
              <w:right w:val="nil"/>
            </w:tcBorders>
            <w:vAlign w:val="center"/>
            <w:hideMark/>
          </w:tcPr>
          <w:p w14:paraId="079DE373"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56 038</w:t>
            </w:r>
          </w:p>
        </w:tc>
        <w:tc>
          <w:tcPr>
            <w:tcW w:w="597" w:type="pct"/>
            <w:tcBorders>
              <w:top w:val="nil"/>
              <w:left w:val="nil"/>
              <w:bottom w:val="nil"/>
              <w:right w:val="nil"/>
            </w:tcBorders>
            <w:vAlign w:val="center"/>
            <w:hideMark/>
          </w:tcPr>
          <w:p w14:paraId="4F2B77DC"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74 932</w:t>
            </w:r>
          </w:p>
        </w:tc>
        <w:tc>
          <w:tcPr>
            <w:tcW w:w="596" w:type="pct"/>
            <w:tcBorders>
              <w:top w:val="nil"/>
              <w:left w:val="nil"/>
              <w:bottom w:val="nil"/>
              <w:right w:val="nil"/>
            </w:tcBorders>
            <w:vAlign w:val="center"/>
            <w:hideMark/>
          </w:tcPr>
          <w:p w14:paraId="51A21EE5"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-18 894</w:t>
            </w:r>
          </w:p>
        </w:tc>
      </w:tr>
      <w:tr w:rsidR="004A6802" w:rsidRPr="001567C8" w14:paraId="2DF15CAB" w14:textId="77777777" w:rsidTr="0085799C">
        <w:trPr>
          <w:trHeight w:val="227"/>
        </w:trPr>
        <w:tc>
          <w:tcPr>
            <w:tcW w:w="3210" w:type="pct"/>
            <w:tcBorders>
              <w:top w:val="nil"/>
              <w:left w:val="nil"/>
              <w:bottom w:val="nil"/>
              <w:right w:val="nil"/>
            </w:tcBorders>
            <w:noWrap/>
            <w:vAlign w:val="center"/>
            <w:hideMark/>
          </w:tcPr>
          <w:p w14:paraId="2489A286"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 xml:space="preserve">Medzinárodná investičná banka </w:t>
            </w:r>
          </w:p>
        </w:tc>
        <w:tc>
          <w:tcPr>
            <w:tcW w:w="597" w:type="pct"/>
            <w:tcBorders>
              <w:top w:val="nil"/>
              <w:left w:val="nil"/>
              <w:bottom w:val="nil"/>
              <w:right w:val="nil"/>
            </w:tcBorders>
            <w:vAlign w:val="center"/>
            <w:hideMark/>
          </w:tcPr>
          <w:p w14:paraId="4F2CA47A"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33 931</w:t>
            </w:r>
          </w:p>
        </w:tc>
        <w:tc>
          <w:tcPr>
            <w:tcW w:w="597" w:type="pct"/>
            <w:tcBorders>
              <w:top w:val="nil"/>
              <w:left w:val="nil"/>
              <w:bottom w:val="nil"/>
              <w:right w:val="nil"/>
            </w:tcBorders>
            <w:vAlign w:val="center"/>
            <w:hideMark/>
          </w:tcPr>
          <w:p w14:paraId="7EAEC631"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33 931</w:t>
            </w:r>
          </w:p>
        </w:tc>
        <w:tc>
          <w:tcPr>
            <w:tcW w:w="596" w:type="pct"/>
            <w:tcBorders>
              <w:top w:val="nil"/>
              <w:left w:val="nil"/>
              <w:bottom w:val="nil"/>
              <w:right w:val="nil"/>
            </w:tcBorders>
            <w:vAlign w:val="center"/>
            <w:hideMark/>
          </w:tcPr>
          <w:p w14:paraId="11F638E5"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0</w:t>
            </w:r>
          </w:p>
        </w:tc>
      </w:tr>
      <w:tr w:rsidR="004A6802" w:rsidRPr="001567C8" w14:paraId="0D165351" w14:textId="77777777" w:rsidTr="0085799C">
        <w:trPr>
          <w:trHeight w:val="227"/>
        </w:trPr>
        <w:tc>
          <w:tcPr>
            <w:tcW w:w="3210" w:type="pct"/>
            <w:tcBorders>
              <w:top w:val="nil"/>
              <w:left w:val="nil"/>
              <w:bottom w:val="nil"/>
              <w:right w:val="nil"/>
            </w:tcBorders>
            <w:vAlign w:val="center"/>
            <w:hideMark/>
          </w:tcPr>
          <w:p w14:paraId="1F7CDDCC"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Rozvojová banka rady Európy</w:t>
            </w:r>
          </w:p>
        </w:tc>
        <w:tc>
          <w:tcPr>
            <w:tcW w:w="597" w:type="pct"/>
            <w:tcBorders>
              <w:top w:val="nil"/>
              <w:left w:val="nil"/>
              <w:bottom w:val="nil"/>
              <w:right w:val="nil"/>
            </w:tcBorders>
            <w:vAlign w:val="center"/>
            <w:hideMark/>
          </w:tcPr>
          <w:p w14:paraId="14558E23"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29 488</w:t>
            </w:r>
          </w:p>
        </w:tc>
        <w:tc>
          <w:tcPr>
            <w:tcW w:w="597" w:type="pct"/>
            <w:tcBorders>
              <w:top w:val="nil"/>
              <w:left w:val="nil"/>
              <w:bottom w:val="nil"/>
              <w:right w:val="nil"/>
            </w:tcBorders>
            <w:vAlign w:val="center"/>
            <w:hideMark/>
          </w:tcPr>
          <w:p w14:paraId="313AA2F1"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16 854</w:t>
            </w:r>
          </w:p>
        </w:tc>
        <w:tc>
          <w:tcPr>
            <w:tcW w:w="596" w:type="pct"/>
            <w:tcBorders>
              <w:top w:val="nil"/>
              <w:left w:val="nil"/>
              <w:bottom w:val="nil"/>
              <w:right w:val="nil"/>
            </w:tcBorders>
            <w:vAlign w:val="center"/>
            <w:hideMark/>
          </w:tcPr>
          <w:p w14:paraId="3189C34E"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12 634</w:t>
            </w:r>
          </w:p>
        </w:tc>
      </w:tr>
      <w:tr w:rsidR="004A6802" w:rsidRPr="001567C8" w14:paraId="12209DFA" w14:textId="77777777" w:rsidTr="0085799C">
        <w:trPr>
          <w:trHeight w:val="227"/>
        </w:trPr>
        <w:tc>
          <w:tcPr>
            <w:tcW w:w="3210" w:type="pct"/>
            <w:tcBorders>
              <w:top w:val="nil"/>
              <w:left w:val="nil"/>
              <w:bottom w:val="nil"/>
              <w:right w:val="nil"/>
            </w:tcBorders>
            <w:vAlign w:val="center"/>
            <w:hideMark/>
          </w:tcPr>
          <w:p w14:paraId="2C8704F2"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Medzinárodná banka pre hospodársku spoluprácu</w:t>
            </w:r>
          </w:p>
        </w:tc>
        <w:tc>
          <w:tcPr>
            <w:tcW w:w="597" w:type="pct"/>
            <w:tcBorders>
              <w:top w:val="nil"/>
              <w:left w:val="nil"/>
              <w:bottom w:val="nil"/>
              <w:right w:val="nil"/>
            </w:tcBorders>
            <w:noWrap/>
            <w:vAlign w:val="center"/>
            <w:hideMark/>
          </w:tcPr>
          <w:p w14:paraId="52D58C6F"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10 658</w:t>
            </w:r>
          </w:p>
        </w:tc>
        <w:tc>
          <w:tcPr>
            <w:tcW w:w="597" w:type="pct"/>
            <w:tcBorders>
              <w:top w:val="nil"/>
              <w:left w:val="nil"/>
              <w:bottom w:val="nil"/>
              <w:right w:val="nil"/>
            </w:tcBorders>
            <w:noWrap/>
            <w:vAlign w:val="center"/>
            <w:hideMark/>
          </w:tcPr>
          <w:p w14:paraId="657953F7"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10 658</w:t>
            </w:r>
          </w:p>
        </w:tc>
        <w:tc>
          <w:tcPr>
            <w:tcW w:w="596" w:type="pct"/>
            <w:tcBorders>
              <w:top w:val="nil"/>
              <w:left w:val="nil"/>
              <w:bottom w:val="nil"/>
              <w:right w:val="nil"/>
            </w:tcBorders>
            <w:vAlign w:val="center"/>
            <w:hideMark/>
          </w:tcPr>
          <w:p w14:paraId="7A971C2B"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0</w:t>
            </w:r>
          </w:p>
        </w:tc>
      </w:tr>
      <w:tr w:rsidR="004A6802" w:rsidRPr="001567C8" w14:paraId="094C6288" w14:textId="77777777" w:rsidTr="0085799C">
        <w:trPr>
          <w:trHeight w:val="227"/>
        </w:trPr>
        <w:tc>
          <w:tcPr>
            <w:tcW w:w="3210" w:type="pct"/>
            <w:tcBorders>
              <w:top w:val="nil"/>
              <w:left w:val="nil"/>
              <w:bottom w:val="nil"/>
              <w:right w:val="nil"/>
            </w:tcBorders>
            <w:noWrap/>
            <w:vAlign w:val="center"/>
            <w:hideMark/>
          </w:tcPr>
          <w:p w14:paraId="08593925"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Fond Európskej únie pre Ukrajinu</w:t>
            </w:r>
          </w:p>
        </w:tc>
        <w:tc>
          <w:tcPr>
            <w:tcW w:w="597" w:type="pct"/>
            <w:tcBorders>
              <w:top w:val="nil"/>
              <w:left w:val="nil"/>
              <w:bottom w:val="nil"/>
              <w:right w:val="nil"/>
            </w:tcBorders>
            <w:vAlign w:val="center"/>
            <w:hideMark/>
          </w:tcPr>
          <w:p w14:paraId="61F1F231"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4 853</w:t>
            </w:r>
          </w:p>
        </w:tc>
        <w:tc>
          <w:tcPr>
            <w:tcW w:w="597" w:type="pct"/>
            <w:tcBorders>
              <w:top w:val="nil"/>
              <w:left w:val="nil"/>
              <w:bottom w:val="nil"/>
              <w:right w:val="nil"/>
            </w:tcBorders>
            <w:vAlign w:val="center"/>
            <w:hideMark/>
          </w:tcPr>
          <w:p w14:paraId="19E53305"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0</w:t>
            </w:r>
          </w:p>
        </w:tc>
        <w:tc>
          <w:tcPr>
            <w:tcW w:w="596" w:type="pct"/>
            <w:tcBorders>
              <w:top w:val="nil"/>
              <w:left w:val="nil"/>
              <w:bottom w:val="nil"/>
              <w:right w:val="nil"/>
            </w:tcBorders>
            <w:vAlign w:val="center"/>
            <w:hideMark/>
          </w:tcPr>
          <w:p w14:paraId="08E30BE7"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4 853</w:t>
            </w:r>
          </w:p>
        </w:tc>
      </w:tr>
      <w:tr w:rsidR="004A6802" w:rsidRPr="001567C8" w14:paraId="3E5DCDDE" w14:textId="77777777" w:rsidTr="0085799C">
        <w:trPr>
          <w:trHeight w:val="227"/>
        </w:trPr>
        <w:tc>
          <w:tcPr>
            <w:tcW w:w="3210" w:type="pct"/>
            <w:tcBorders>
              <w:top w:val="nil"/>
              <w:left w:val="nil"/>
              <w:bottom w:val="nil"/>
              <w:right w:val="nil"/>
            </w:tcBorders>
            <w:noWrap/>
            <w:vAlign w:val="center"/>
            <w:hideMark/>
          </w:tcPr>
          <w:p w14:paraId="526CA511"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 xml:space="preserve">Mnohostranná agentúra pre investičné záruky </w:t>
            </w:r>
          </w:p>
        </w:tc>
        <w:tc>
          <w:tcPr>
            <w:tcW w:w="597" w:type="pct"/>
            <w:tcBorders>
              <w:top w:val="nil"/>
              <w:left w:val="nil"/>
              <w:bottom w:val="nil"/>
              <w:right w:val="nil"/>
            </w:tcBorders>
            <w:vAlign w:val="center"/>
            <w:hideMark/>
          </w:tcPr>
          <w:p w14:paraId="2D0556B7"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3 299</w:t>
            </w:r>
          </w:p>
        </w:tc>
        <w:tc>
          <w:tcPr>
            <w:tcW w:w="597" w:type="pct"/>
            <w:tcBorders>
              <w:top w:val="nil"/>
              <w:left w:val="nil"/>
              <w:bottom w:val="nil"/>
              <w:right w:val="nil"/>
            </w:tcBorders>
            <w:vAlign w:val="center"/>
            <w:hideMark/>
          </w:tcPr>
          <w:p w14:paraId="40DC86A4"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3 102</w:t>
            </w:r>
          </w:p>
        </w:tc>
        <w:tc>
          <w:tcPr>
            <w:tcW w:w="596" w:type="pct"/>
            <w:tcBorders>
              <w:top w:val="nil"/>
              <w:left w:val="nil"/>
              <w:bottom w:val="nil"/>
              <w:right w:val="nil"/>
            </w:tcBorders>
            <w:vAlign w:val="center"/>
            <w:hideMark/>
          </w:tcPr>
          <w:p w14:paraId="67262B73"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197</w:t>
            </w:r>
          </w:p>
        </w:tc>
      </w:tr>
      <w:tr w:rsidR="004A6802" w:rsidRPr="001567C8" w14:paraId="1AC5269F" w14:textId="77777777" w:rsidTr="0085799C">
        <w:trPr>
          <w:trHeight w:val="227"/>
        </w:trPr>
        <w:tc>
          <w:tcPr>
            <w:tcW w:w="3210" w:type="pct"/>
            <w:tcBorders>
              <w:top w:val="nil"/>
              <w:left w:val="nil"/>
              <w:bottom w:val="nil"/>
              <w:right w:val="nil"/>
            </w:tcBorders>
            <w:vAlign w:val="center"/>
            <w:hideMark/>
          </w:tcPr>
          <w:p w14:paraId="2FAF977D" w14:textId="77777777" w:rsidR="004A6802" w:rsidRPr="004A6802" w:rsidRDefault="004A6802" w:rsidP="004A6802">
            <w:pPr>
              <w:spacing w:after="0" w:line="240" w:lineRule="auto"/>
              <w:rPr>
                <w:rFonts w:ascii="Times New Roman" w:hAnsi="Times New Roman"/>
                <w:b/>
                <w:bCs/>
                <w:color w:val="000000"/>
                <w:sz w:val="16"/>
                <w:szCs w:val="16"/>
                <w:lang w:eastAsia="sk-SK"/>
              </w:rPr>
            </w:pPr>
            <w:r w:rsidRPr="004A6802">
              <w:rPr>
                <w:rFonts w:ascii="Times New Roman" w:hAnsi="Times New Roman"/>
                <w:b/>
                <w:bCs/>
                <w:color w:val="000000"/>
                <w:sz w:val="16"/>
                <w:szCs w:val="16"/>
                <w:lang w:eastAsia="sk-SK"/>
              </w:rPr>
              <w:t>Medzinárodné investičné arbitráže</w:t>
            </w:r>
          </w:p>
        </w:tc>
        <w:tc>
          <w:tcPr>
            <w:tcW w:w="597" w:type="pct"/>
            <w:tcBorders>
              <w:top w:val="nil"/>
              <w:left w:val="nil"/>
              <w:bottom w:val="nil"/>
              <w:right w:val="nil"/>
            </w:tcBorders>
            <w:noWrap/>
            <w:vAlign w:val="center"/>
            <w:hideMark/>
          </w:tcPr>
          <w:p w14:paraId="7E536814" w14:textId="77777777" w:rsidR="004A6802" w:rsidRPr="004A6802" w:rsidRDefault="004A6802" w:rsidP="004A6802">
            <w:pPr>
              <w:spacing w:after="0" w:line="240" w:lineRule="auto"/>
              <w:jc w:val="right"/>
              <w:rPr>
                <w:rFonts w:ascii="Times New Roman" w:hAnsi="Times New Roman"/>
                <w:b/>
                <w:bCs/>
                <w:color w:val="000000"/>
                <w:sz w:val="18"/>
                <w:szCs w:val="18"/>
                <w:lang w:eastAsia="sk-SK"/>
              </w:rPr>
            </w:pPr>
            <w:r w:rsidRPr="004A6802">
              <w:rPr>
                <w:rFonts w:ascii="Times New Roman" w:hAnsi="Times New Roman"/>
                <w:b/>
                <w:bCs/>
                <w:color w:val="000000"/>
                <w:sz w:val="18"/>
                <w:szCs w:val="18"/>
                <w:lang w:eastAsia="sk-SK"/>
              </w:rPr>
              <w:t>0</w:t>
            </w:r>
          </w:p>
        </w:tc>
        <w:tc>
          <w:tcPr>
            <w:tcW w:w="597" w:type="pct"/>
            <w:tcBorders>
              <w:top w:val="nil"/>
              <w:left w:val="nil"/>
              <w:bottom w:val="nil"/>
              <w:right w:val="nil"/>
            </w:tcBorders>
            <w:noWrap/>
            <w:vAlign w:val="center"/>
            <w:hideMark/>
          </w:tcPr>
          <w:p w14:paraId="60CCC704" w14:textId="77777777" w:rsidR="004A6802" w:rsidRPr="004A6802" w:rsidRDefault="004A6802" w:rsidP="004A6802">
            <w:pPr>
              <w:spacing w:after="0" w:line="240" w:lineRule="auto"/>
              <w:jc w:val="right"/>
              <w:rPr>
                <w:rFonts w:ascii="Times New Roman" w:hAnsi="Times New Roman"/>
                <w:b/>
                <w:bCs/>
                <w:color w:val="000000"/>
                <w:sz w:val="18"/>
                <w:szCs w:val="18"/>
                <w:lang w:eastAsia="sk-SK"/>
              </w:rPr>
            </w:pPr>
            <w:r w:rsidRPr="004A6802">
              <w:rPr>
                <w:rFonts w:ascii="Times New Roman" w:hAnsi="Times New Roman"/>
                <w:b/>
                <w:bCs/>
                <w:color w:val="000000"/>
                <w:sz w:val="18"/>
                <w:szCs w:val="18"/>
                <w:lang w:eastAsia="sk-SK"/>
              </w:rPr>
              <w:t>28 692</w:t>
            </w:r>
          </w:p>
        </w:tc>
        <w:tc>
          <w:tcPr>
            <w:tcW w:w="596" w:type="pct"/>
            <w:tcBorders>
              <w:top w:val="nil"/>
              <w:left w:val="nil"/>
              <w:bottom w:val="nil"/>
              <w:right w:val="nil"/>
            </w:tcBorders>
            <w:vAlign w:val="center"/>
            <w:hideMark/>
          </w:tcPr>
          <w:p w14:paraId="2AFBD91E" w14:textId="77777777" w:rsidR="004A6802" w:rsidRPr="004A6802" w:rsidRDefault="004A6802" w:rsidP="004A6802">
            <w:pPr>
              <w:spacing w:after="0" w:line="240" w:lineRule="auto"/>
              <w:jc w:val="right"/>
              <w:rPr>
                <w:rFonts w:ascii="Times New Roman" w:hAnsi="Times New Roman"/>
                <w:b/>
                <w:bCs/>
                <w:color w:val="000000"/>
                <w:sz w:val="18"/>
                <w:szCs w:val="18"/>
                <w:lang w:eastAsia="sk-SK"/>
              </w:rPr>
            </w:pPr>
            <w:r w:rsidRPr="004A6802">
              <w:rPr>
                <w:rFonts w:ascii="Times New Roman" w:hAnsi="Times New Roman"/>
                <w:b/>
                <w:bCs/>
                <w:color w:val="000000"/>
                <w:sz w:val="18"/>
                <w:szCs w:val="18"/>
                <w:lang w:eastAsia="sk-SK"/>
              </w:rPr>
              <w:t>-28 692</w:t>
            </w:r>
          </w:p>
        </w:tc>
      </w:tr>
      <w:tr w:rsidR="004A6802" w:rsidRPr="001567C8" w14:paraId="290144DE" w14:textId="77777777" w:rsidTr="0085799C">
        <w:trPr>
          <w:trHeight w:val="227"/>
        </w:trPr>
        <w:tc>
          <w:tcPr>
            <w:tcW w:w="3210" w:type="pct"/>
            <w:tcBorders>
              <w:top w:val="nil"/>
              <w:left w:val="nil"/>
              <w:bottom w:val="nil"/>
              <w:right w:val="nil"/>
            </w:tcBorders>
            <w:vAlign w:val="center"/>
            <w:hideMark/>
          </w:tcPr>
          <w:p w14:paraId="1867699F"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 xml:space="preserve">Zdravotná poisťovňa </w:t>
            </w:r>
            <w:proofErr w:type="spellStart"/>
            <w:r w:rsidRPr="004A6802">
              <w:rPr>
                <w:rFonts w:ascii="Times New Roman" w:hAnsi="Times New Roman"/>
                <w:color w:val="000000"/>
                <w:sz w:val="16"/>
                <w:szCs w:val="16"/>
                <w:lang w:eastAsia="sk-SK"/>
              </w:rPr>
              <w:t>Union</w:t>
            </w:r>
            <w:proofErr w:type="spellEnd"/>
            <w:r w:rsidRPr="004A6802">
              <w:rPr>
                <w:rFonts w:ascii="Times New Roman" w:hAnsi="Times New Roman"/>
                <w:color w:val="000000"/>
                <w:sz w:val="16"/>
                <w:szCs w:val="16"/>
                <w:lang w:eastAsia="sk-SK"/>
              </w:rPr>
              <w:t xml:space="preserve">, </w:t>
            </w:r>
            <w:proofErr w:type="spellStart"/>
            <w:r w:rsidRPr="004A6802">
              <w:rPr>
                <w:rFonts w:ascii="Times New Roman" w:hAnsi="Times New Roman"/>
                <w:color w:val="000000"/>
                <w:sz w:val="16"/>
                <w:szCs w:val="16"/>
                <w:lang w:eastAsia="sk-SK"/>
              </w:rPr>
              <w:t>a.s</w:t>
            </w:r>
            <w:proofErr w:type="spellEnd"/>
            <w:r w:rsidRPr="004A6802">
              <w:rPr>
                <w:rFonts w:ascii="Times New Roman" w:hAnsi="Times New Roman"/>
                <w:color w:val="000000"/>
                <w:sz w:val="16"/>
                <w:szCs w:val="16"/>
                <w:lang w:eastAsia="sk-SK"/>
              </w:rPr>
              <w:t xml:space="preserve">. </w:t>
            </w:r>
          </w:p>
        </w:tc>
        <w:tc>
          <w:tcPr>
            <w:tcW w:w="597" w:type="pct"/>
            <w:tcBorders>
              <w:top w:val="nil"/>
              <w:left w:val="nil"/>
              <w:bottom w:val="nil"/>
              <w:right w:val="nil"/>
            </w:tcBorders>
            <w:vAlign w:val="center"/>
            <w:hideMark/>
          </w:tcPr>
          <w:p w14:paraId="524BB3A8"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0</w:t>
            </w:r>
          </w:p>
        </w:tc>
        <w:tc>
          <w:tcPr>
            <w:tcW w:w="597" w:type="pct"/>
            <w:tcBorders>
              <w:top w:val="nil"/>
              <w:left w:val="nil"/>
              <w:bottom w:val="nil"/>
              <w:right w:val="nil"/>
            </w:tcBorders>
            <w:vAlign w:val="center"/>
            <w:hideMark/>
          </w:tcPr>
          <w:p w14:paraId="3D380507"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28 692</w:t>
            </w:r>
          </w:p>
        </w:tc>
        <w:tc>
          <w:tcPr>
            <w:tcW w:w="596" w:type="pct"/>
            <w:tcBorders>
              <w:top w:val="nil"/>
              <w:left w:val="nil"/>
              <w:bottom w:val="nil"/>
              <w:right w:val="nil"/>
            </w:tcBorders>
            <w:vAlign w:val="center"/>
            <w:hideMark/>
          </w:tcPr>
          <w:p w14:paraId="2925C4F2"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-28 692</w:t>
            </w:r>
          </w:p>
        </w:tc>
      </w:tr>
      <w:tr w:rsidR="004A6802" w:rsidRPr="001567C8" w14:paraId="39176CC6" w14:textId="77777777" w:rsidTr="0085799C">
        <w:trPr>
          <w:trHeight w:val="227"/>
        </w:trPr>
        <w:tc>
          <w:tcPr>
            <w:tcW w:w="3210" w:type="pct"/>
            <w:tcBorders>
              <w:top w:val="nil"/>
              <w:left w:val="nil"/>
              <w:bottom w:val="nil"/>
              <w:right w:val="nil"/>
            </w:tcBorders>
            <w:vAlign w:val="center"/>
            <w:hideMark/>
          </w:tcPr>
          <w:p w14:paraId="30BBC108" w14:textId="77777777" w:rsidR="004A6802" w:rsidRPr="004A6802" w:rsidRDefault="004A6802" w:rsidP="004A6802">
            <w:pPr>
              <w:spacing w:after="0" w:line="240" w:lineRule="auto"/>
              <w:rPr>
                <w:rFonts w:ascii="Times New Roman" w:hAnsi="Times New Roman"/>
                <w:b/>
                <w:bCs/>
                <w:color w:val="000000"/>
                <w:sz w:val="16"/>
                <w:szCs w:val="16"/>
                <w:lang w:eastAsia="sk-SK"/>
              </w:rPr>
            </w:pPr>
            <w:r w:rsidRPr="004A6802">
              <w:rPr>
                <w:rFonts w:ascii="Times New Roman" w:hAnsi="Times New Roman"/>
                <w:b/>
                <w:bCs/>
                <w:color w:val="000000"/>
                <w:sz w:val="16"/>
                <w:szCs w:val="16"/>
                <w:lang w:eastAsia="sk-SK"/>
              </w:rPr>
              <w:t>Hroziace alebo prebiehajúce súdne spory</w:t>
            </w:r>
          </w:p>
        </w:tc>
        <w:tc>
          <w:tcPr>
            <w:tcW w:w="597" w:type="pct"/>
            <w:tcBorders>
              <w:top w:val="nil"/>
              <w:left w:val="nil"/>
              <w:bottom w:val="nil"/>
              <w:right w:val="nil"/>
            </w:tcBorders>
            <w:noWrap/>
            <w:vAlign w:val="center"/>
            <w:hideMark/>
          </w:tcPr>
          <w:p w14:paraId="2DE91537" w14:textId="77777777" w:rsidR="004A6802" w:rsidRPr="004A6802" w:rsidRDefault="004A6802" w:rsidP="004A6802">
            <w:pPr>
              <w:spacing w:after="0" w:line="240" w:lineRule="auto"/>
              <w:jc w:val="right"/>
              <w:rPr>
                <w:rFonts w:ascii="Times New Roman" w:hAnsi="Times New Roman"/>
                <w:b/>
                <w:bCs/>
                <w:color w:val="000000"/>
                <w:sz w:val="18"/>
                <w:szCs w:val="18"/>
                <w:lang w:eastAsia="sk-SK"/>
              </w:rPr>
            </w:pPr>
            <w:r w:rsidRPr="004A6802">
              <w:rPr>
                <w:rFonts w:ascii="Times New Roman" w:hAnsi="Times New Roman"/>
                <w:b/>
                <w:bCs/>
                <w:color w:val="000000"/>
                <w:sz w:val="18"/>
                <w:szCs w:val="18"/>
                <w:lang w:eastAsia="sk-SK"/>
              </w:rPr>
              <w:t>3 035 394</w:t>
            </w:r>
          </w:p>
        </w:tc>
        <w:tc>
          <w:tcPr>
            <w:tcW w:w="597" w:type="pct"/>
            <w:tcBorders>
              <w:top w:val="nil"/>
              <w:left w:val="nil"/>
              <w:bottom w:val="nil"/>
              <w:right w:val="nil"/>
            </w:tcBorders>
            <w:noWrap/>
            <w:vAlign w:val="center"/>
            <w:hideMark/>
          </w:tcPr>
          <w:p w14:paraId="61DFB97E" w14:textId="77777777" w:rsidR="004A6802" w:rsidRPr="004A6802" w:rsidRDefault="004A6802" w:rsidP="004A6802">
            <w:pPr>
              <w:spacing w:after="0" w:line="240" w:lineRule="auto"/>
              <w:jc w:val="right"/>
              <w:rPr>
                <w:rFonts w:ascii="Times New Roman" w:hAnsi="Times New Roman"/>
                <w:b/>
                <w:bCs/>
                <w:color w:val="000000"/>
                <w:sz w:val="18"/>
                <w:szCs w:val="18"/>
                <w:lang w:eastAsia="sk-SK"/>
              </w:rPr>
            </w:pPr>
            <w:r w:rsidRPr="004A6802">
              <w:rPr>
                <w:rFonts w:ascii="Times New Roman" w:hAnsi="Times New Roman"/>
                <w:b/>
                <w:bCs/>
                <w:color w:val="000000"/>
                <w:sz w:val="18"/>
                <w:szCs w:val="18"/>
                <w:lang w:eastAsia="sk-SK"/>
              </w:rPr>
              <w:t>4 093 625</w:t>
            </w:r>
          </w:p>
        </w:tc>
        <w:tc>
          <w:tcPr>
            <w:tcW w:w="596" w:type="pct"/>
            <w:tcBorders>
              <w:top w:val="nil"/>
              <w:left w:val="nil"/>
              <w:bottom w:val="nil"/>
              <w:right w:val="nil"/>
            </w:tcBorders>
            <w:vAlign w:val="center"/>
            <w:hideMark/>
          </w:tcPr>
          <w:p w14:paraId="5EDC00CC" w14:textId="77777777" w:rsidR="004A6802" w:rsidRPr="004A6802" w:rsidRDefault="004A6802" w:rsidP="004A6802">
            <w:pPr>
              <w:spacing w:after="0" w:line="240" w:lineRule="auto"/>
              <w:jc w:val="right"/>
              <w:rPr>
                <w:rFonts w:ascii="Times New Roman" w:hAnsi="Times New Roman"/>
                <w:b/>
                <w:bCs/>
                <w:color w:val="000000"/>
                <w:sz w:val="18"/>
                <w:szCs w:val="18"/>
                <w:lang w:eastAsia="sk-SK"/>
              </w:rPr>
            </w:pPr>
            <w:r w:rsidRPr="004A6802">
              <w:rPr>
                <w:rFonts w:ascii="Times New Roman" w:hAnsi="Times New Roman"/>
                <w:b/>
                <w:bCs/>
                <w:color w:val="000000"/>
                <w:sz w:val="18"/>
                <w:szCs w:val="18"/>
                <w:lang w:eastAsia="sk-SK"/>
              </w:rPr>
              <w:t>-1 058 231</w:t>
            </w:r>
          </w:p>
        </w:tc>
      </w:tr>
      <w:tr w:rsidR="004A6802" w:rsidRPr="001567C8" w14:paraId="19E318D0" w14:textId="77777777" w:rsidTr="0085799C">
        <w:trPr>
          <w:trHeight w:val="227"/>
        </w:trPr>
        <w:tc>
          <w:tcPr>
            <w:tcW w:w="3210" w:type="pct"/>
            <w:tcBorders>
              <w:top w:val="nil"/>
              <w:left w:val="nil"/>
              <w:bottom w:val="nil"/>
              <w:right w:val="nil"/>
            </w:tcBorders>
            <w:vAlign w:val="center"/>
            <w:hideMark/>
          </w:tcPr>
          <w:p w14:paraId="52B4B987"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Ministerstvo financií SR</w:t>
            </w:r>
          </w:p>
        </w:tc>
        <w:tc>
          <w:tcPr>
            <w:tcW w:w="597" w:type="pct"/>
            <w:tcBorders>
              <w:top w:val="nil"/>
              <w:left w:val="nil"/>
              <w:bottom w:val="nil"/>
              <w:right w:val="nil"/>
            </w:tcBorders>
            <w:vAlign w:val="center"/>
            <w:hideMark/>
          </w:tcPr>
          <w:p w14:paraId="7A3E4276"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1 105 784</w:t>
            </w:r>
          </w:p>
        </w:tc>
        <w:tc>
          <w:tcPr>
            <w:tcW w:w="597" w:type="pct"/>
            <w:tcBorders>
              <w:top w:val="nil"/>
              <w:left w:val="nil"/>
              <w:bottom w:val="nil"/>
              <w:right w:val="nil"/>
            </w:tcBorders>
            <w:vAlign w:val="center"/>
            <w:hideMark/>
          </w:tcPr>
          <w:p w14:paraId="4188A194"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1 419 734</w:t>
            </w:r>
          </w:p>
        </w:tc>
        <w:tc>
          <w:tcPr>
            <w:tcW w:w="596" w:type="pct"/>
            <w:tcBorders>
              <w:top w:val="nil"/>
              <w:left w:val="nil"/>
              <w:bottom w:val="nil"/>
              <w:right w:val="nil"/>
            </w:tcBorders>
            <w:vAlign w:val="center"/>
            <w:hideMark/>
          </w:tcPr>
          <w:p w14:paraId="31AB7638"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-313 950</w:t>
            </w:r>
          </w:p>
        </w:tc>
      </w:tr>
      <w:tr w:rsidR="004A6802" w:rsidRPr="001567C8" w14:paraId="7A47CDB9" w14:textId="77777777" w:rsidTr="0085799C">
        <w:trPr>
          <w:trHeight w:val="227"/>
        </w:trPr>
        <w:tc>
          <w:tcPr>
            <w:tcW w:w="3210" w:type="pct"/>
            <w:tcBorders>
              <w:top w:val="nil"/>
              <w:left w:val="nil"/>
              <w:bottom w:val="nil"/>
              <w:right w:val="nil"/>
            </w:tcBorders>
            <w:vAlign w:val="center"/>
            <w:hideMark/>
          </w:tcPr>
          <w:p w14:paraId="383BAE91"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Ministerstvo práce, sociálnych vecí a rodiny SR</w:t>
            </w:r>
          </w:p>
        </w:tc>
        <w:tc>
          <w:tcPr>
            <w:tcW w:w="597" w:type="pct"/>
            <w:tcBorders>
              <w:top w:val="nil"/>
              <w:left w:val="nil"/>
              <w:bottom w:val="nil"/>
              <w:right w:val="nil"/>
            </w:tcBorders>
            <w:vAlign w:val="center"/>
            <w:hideMark/>
          </w:tcPr>
          <w:p w14:paraId="64A4C3B2"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450 547</w:t>
            </w:r>
          </w:p>
        </w:tc>
        <w:tc>
          <w:tcPr>
            <w:tcW w:w="597" w:type="pct"/>
            <w:tcBorders>
              <w:top w:val="nil"/>
              <w:left w:val="nil"/>
              <w:bottom w:val="nil"/>
              <w:right w:val="nil"/>
            </w:tcBorders>
            <w:vAlign w:val="center"/>
            <w:hideMark/>
          </w:tcPr>
          <w:p w14:paraId="1FF46765"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450 780</w:t>
            </w:r>
          </w:p>
        </w:tc>
        <w:tc>
          <w:tcPr>
            <w:tcW w:w="596" w:type="pct"/>
            <w:tcBorders>
              <w:top w:val="nil"/>
              <w:left w:val="nil"/>
              <w:bottom w:val="nil"/>
              <w:right w:val="nil"/>
            </w:tcBorders>
            <w:vAlign w:val="center"/>
            <w:hideMark/>
          </w:tcPr>
          <w:p w14:paraId="7E2F5E76"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-233</w:t>
            </w:r>
          </w:p>
        </w:tc>
      </w:tr>
      <w:tr w:rsidR="004A6802" w:rsidRPr="001567C8" w14:paraId="0958F97D" w14:textId="77777777" w:rsidTr="0085799C">
        <w:trPr>
          <w:trHeight w:val="227"/>
        </w:trPr>
        <w:tc>
          <w:tcPr>
            <w:tcW w:w="3210" w:type="pct"/>
            <w:tcBorders>
              <w:top w:val="nil"/>
              <w:left w:val="nil"/>
              <w:bottom w:val="nil"/>
              <w:right w:val="nil"/>
            </w:tcBorders>
            <w:vAlign w:val="center"/>
            <w:hideMark/>
          </w:tcPr>
          <w:p w14:paraId="2FAC31F6"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Kancelária národnej rady SR</w:t>
            </w:r>
          </w:p>
        </w:tc>
        <w:tc>
          <w:tcPr>
            <w:tcW w:w="597" w:type="pct"/>
            <w:tcBorders>
              <w:top w:val="nil"/>
              <w:left w:val="nil"/>
              <w:bottom w:val="nil"/>
              <w:right w:val="nil"/>
            </w:tcBorders>
            <w:vAlign w:val="center"/>
            <w:hideMark/>
          </w:tcPr>
          <w:p w14:paraId="7C0578AA"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291 172</w:t>
            </w:r>
          </w:p>
        </w:tc>
        <w:tc>
          <w:tcPr>
            <w:tcW w:w="597" w:type="pct"/>
            <w:tcBorders>
              <w:top w:val="nil"/>
              <w:left w:val="nil"/>
              <w:bottom w:val="nil"/>
              <w:right w:val="nil"/>
            </w:tcBorders>
            <w:vAlign w:val="center"/>
            <w:hideMark/>
          </w:tcPr>
          <w:p w14:paraId="78F30AD7"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222 090</w:t>
            </w:r>
          </w:p>
        </w:tc>
        <w:tc>
          <w:tcPr>
            <w:tcW w:w="596" w:type="pct"/>
            <w:tcBorders>
              <w:top w:val="nil"/>
              <w:left w:val="nil"/>
              <w:bottom w:val="nil"/>
              <w:right w:val="nil"/>
            </w:tcBorders>
            <w:vAlign w:val="center"/>
            <w:hideMark/>
          </w:tcPr>
          <w:p w14:paraId="1EF3C854"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69 082</w:t>
            </w:r>
          </w:p>
        </w:tc>
      </w:tr>
      <w:tr w:rsidR="004A6802" w:rsidRPr="001567C8" w14:paraId="1700A7CD" w14:textId="77777777" w:rsidTr="0085799C">
        <w:trPr>
          <w:trHeight w:val="227"/>
        </w:trPr>
        <w:tc>
          <w:tcPr>
            <w:tcW w:w="3210" w:type="pct"/>
            <w:tcBorders>
              <w:top w:val="nil"/>
              <w:left w:val="nil"/>
              <w:bottom w:val="nil"/>
              <w:right w:val="nil"/>
            </w:tcBorders>
            <w:vAlign w:val="center"/>
            <w:hideMark/>
          </w:tcPr>
          <w:p w14:paraId="3567E203"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Úrad pre dohľad nad zdravotnou starostlivosťou SR</w:t>
            </w:r>
          </w:p>
        </w:tc>
        <w:tc>
          <w:tcPr>
            <w:tcW w:w="597" w:type="pct"/>
            <w:tcBorders>
              <w:top w:val="nil"/>
              <w:left w:val="nil"/>
              <w:bottom w:val="nil"/>
              <w:right w:val="nil"/>
            </w:tcBorders>
            <w:vAlign w:val="center"/>
            <w:hideMark/>
          </w:tcPr>
          <w:p w14:paraId="6D56705E"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280 000</w:t>
            </w:r>
          </w:p>
        </w:tc>
        <w:tc>
          <w:tcPr>
            <w:tcW w:w="597" w:type="pct"/>
            <w:tcBorders>
              <w:top w:val="nil"/>
              <w:left w:val="nil"/>
              <w:bottom w:val="nil"/>
              <w:right w:val="nil"/>
            </w:tcBorders>
            <w:vAlign w:val="center"/>
            <w:hideMark/>
          </w:tcPr>
          <w:p w14:paraId="2821B9D7"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280 000</w:t>
            </w:r>
          </w:p>
        </w:tc>
        <w:tc>
          <w:tcPr>
            <w:tcW w:w="596" w:type="pct"/>
            <w:tcBorders>
              <w:top w:val="nil"/>
              <w:left w:val="nil"/>
              <w:bottom w:val="nil"/>
              <w:right w:val="nil"/>
            </w:tcBorders>
            <w:vAlign w:val="center"/>
            <w:hideMark/>
          </w:tcPr>
          <w:p w14:paraId="30E331F7"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0</w:t>
            </w:r>
          </w:p>
        </w:tc>
      </w:tr>
      <w:tr w:rsidR="004A6802" w:rsidRPr="001567C8" w14:paraId="30B16AA2" w14:textId="77777777" w:rsidTr="0085799C">
        <w:trPr>
          <w:trHeight w:val="227"/>
        </w:trPr>
        <w:tc>
          <w:tcPr>
            <w:tcW w:w="3210" w:type="pct"/>
            <w:tcBorders>
              <w:top w:val="nil"/>
              <w:left w:val="nil"/>
              <w:bottom w:val="nil"/>
              <w:right w:val="nil"/>
            </w:tcBorders>
            <w:vAlign w:val="center"/>
            <w:hideMark/>
          </w:tcPr>
          <w:p w14:paraId="0F321980"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Ministerstvo vnútra SR</w:t>
            </w:r>
          </w:p>
        </w:tc>
        <w:tc>
          <w:tcPr>
            <w:tcW w:w="597" w:type="pct"/>
            <w:tcBorders>
              <w:top w:val="nil"/>
              <w:left w:val="nil"/>
              <w:bottom w:val="nil"/>
              <w:right w:val="nil"/>
            </w:tcBorders>
            <w:vAlign w:val="center"/>
            <w:hideMark/>
          </w:tcPr>
          <w:p w14:paraId="1008F58E"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225 721</w:t>
            </w:r>
          </w:p>
        </w:tc>
        <w:tc>
          <w:tcPr>
            <w:tcW w:w="597" w:type="pct"/>
            <w:tcBorders>
              <w:top w:val="nil"/>
              <w:left w:val="nil"/>
              <w:bottom w:val="nil"/>
              <w:right w:val="nil"/>
            </w:tcBorders>
            <w:vAlign w:val="center"/>
            <w:hideMark/>
          </w:tcPr>
          <w:p w14:paraId="42C108F3"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1 094 776</w:t>
            </w:r>
          </w:p>
        </w:tc>
        <w:tc>
          <w:tcPr>
            <w:tcW w:w="596" w:type="pct"/>
            <w:tcBorders>
              <w:top w:val="nil"/>
              <w:left w:val="nil"/>
              <w:bottom w:val="nil"/>
              <w:right w:val="nil"/>
            </w:tcBorders>
            <w:vAlign w:val="center"/>
            <w:hideMark/>
          </w:tcPr>
          <w:p w14:paraId="02812D3F"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-869 055</w:t>
            </w:r>
          </w:p>
        </w:tc>
      </w:tr>
      <w:tr w:rsidR="004A6802" w:rsidRPr="001567C8" w14:paraId="5C9A27BD" w14:textId="77777777" w:rsidTr="0085799C">
        <w:trPr>
          <w:trHeight w:val="227"/>
        </w:trPr>
        <w:tc>
          <w:tcPr>
            <w:tcW w:w="3210" w:type="pct"/>
            <w:tcBorders>
              <w:top w:val="nil"/>
              <w:left w:val="nil"/>
              <w:bottom w:val="nil"/>
              <w:right w:val="nil"/>
            </w:tcBorders>
            <w:vAlign w:val="center"/>
            <w:hideMark/>
          </w:tcPr>
          <w:p w14:paraId="21548ACB"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MH Manažment, a.s.</w:t>
            </w:r>
          </w:p>
        </w:tc>
        <w:tc>
          <w:tcPr>
            <w:tcW w:w="597" w:type="pct"/>
            <w:tcBorders>
              <w:top w:val="nil"/>
              <w:left w:val="nil"/>
              <w:bottom w:val="nil"/>
              <w:right w:val="nil"/>
            </w:tcBorders>
            <w:vAlign w:val="center"/>
            <w:hideMark/>
          </w:tcPr>
          <w:p w14:paraId="435D523B"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185 857</w:t>
            </w:r>
          </w:p>
        </w:tc>
        <w:tc>
          <w:tcPr>
            <w:tcW w:w="597" w:type="pct"/>
            <w:tcBorders>
              <w:top w:val="nil"/>
              <w:left w:val="nil"/>
              <w:bottom w:val="nil"/>
              <w:right w:val="nil"/>
            </w:tcBorders>
            <w:vAlign w:val="center"/>
            <w:hideMark/>
          </w:tcPr>
          <w:p w14:paraId="6E287C05"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176 963</w:t>
            </w:r>
          </w:p>
        </w:tc>
        <w:tc>
          <w:tcPr>
            <w:tcW w:w="596" w:type="pct"/>
            <w:tcBorders>
              <w:top w:val="nil"/>
              <w:left w:val="nil"/>
              <w:bottom w:val="nil"/>
              <w:right w:val="nil"/>
            </w:tcBorders>
            <w:vAlign w:val="center"/>
            <w:hideMark/>
          </w:tcPr>
          <w:p w14:paraId="222ABCCF"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8 894</w:t>
            </w:r>
          </w:p>
        </w:tc>
      </w:tr>
      <w:tr w:rsidR="004A6802" w:rsidRPr="001567C8" w14:paraId="28E9A575" w14:textId="77777777" w:rsidTr="0085799C">
        <w:trPr>
          <w:trHeight w:val="227"/>
        </w:trPr>
        <w:tc>
          <w:tcPr>
            <w:tcW w:w="3210" w:type="pct"/>
            <w:tcBorders>
              <w:top w:val="nil"/>
              <w:left w:val="nil"/>
              <w:bottom w:val="nil"/>
              <w:right w:val="nil"/>
            </w:tcBorders>
            <w:vAlign w:val="center"/>
            <w:hideMark/>
          </w:tcPr>
          <w:p w14:paraId="20F375FF" w14:textId="77777777" w:rsidR="004A6802" w:rsidRPr="004A6802" w:rsidRDefault="004A6802" w:rsidP="0085799C">
            <w:pPr>
              <w:spacing w:after="0" w:line="240" w:lineRule="auto"/>
              <w:ind w:left="497"/>
              <w:rPr>
                <w:rFonts w:ascii="Times New Roman" w:hAnsi="Times New Roman"/>
                <w:color w:val="000000"/>
                <w:sz w:val="16"/>
                <w:szCs w:val="16"/>
                <w:lang w:eastAsia="sk-SK"/>
              </w:rPr>
            </w:pPr>
            <w:r w:rsidRPr="004A6802">
              <w:rPr>
                <w:rFonts w:ascii="Times New Roman" w:hAnsi="Times New Roman"/>
                <w:color w:val="000000"/>
                <w:sz w:val="16"/>
                <w:szCs w:val="16"/>
                <w:lang w:eastAsia="sk-SK"/>
              </w:rPr>
              <w:t>Úrad podpredsedu vlády SR pre Plán obnovy a znalostnú ekonomiku/Ministerstvo cestovného ruchu a športu SR</w:t>
            </w:r>
          </w:p>
        </w:tc>
        <w:tc>
          <w:tcPr>
            <w:tcW w:w="597" w:type="pct"/>
            <w:tcBorders>
              <w:top w:val="nil"/>
              <w:left w:val="nil"/>
              <w:bottom w:val="nil"/>
              <w:right w:val="nil"/>
            </w:tcBorders>
            <w:vAlign w:val="center"/>
            <w:hideMark/>
          </w:tcPr>
          <w:p w14:paraId="37028689"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138 772</w:t>
            </w:r>
          </w:p>
        </w:tc>
        <w:tc>
          <w:tcPr>
            <w:tcW w:w="597" w:type="pct"/>
            <w:tcBorders>
              <w:top w:val="nil"/>
              <w:left w:val="nil"/>
              <w:bottom w:val="nil"/>
              <w:right w:val="nil"/>
            </w:tcBorders>
            <w:vAlign w:val="center"/>
            <w:hideMark/>
          </w:tcPr>
          <w:p w14:paraId="76F019DF"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w:t>
            </w:r>
          </w:p>
        </w:tc>
        <w:tc>
          <w:tcPr>
            <w:tcW w:w="596" w:type="pct"/>
            <w:tcBorders>
              <w:top w:val="nil"/>
              <w:left w:val="nil"/>
              <w:bottom w:val="nil"/>
              <w:right w:val="nil"/>
            </w:tcBorders>
            <w:vAlign w:val="center"/>
            <w:hideMark/>
          </w:tcPr>
          <w:p w14:paraId="741D73A0"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n/a</w:t>
            </w:r>
          </w:p>
        </w:tc>
      </w:tr>
      <w:tr w:rsidR="004A6802" w:rsidRPr="001567C8" w14:paraId="74DD3DF1" w14:textId="77777777" w:rsidTr="0085799C">
        <w:trPr>
          <w:trHeight w:val="227"/>
        </w:trPr>
        <w:tc>
          <w:tcPr>
            <w:tcW w:w="3210" w:type="pct"/>
            <w:tcBorders>
              <w:top w:val="nil"/>
              <w:left w:val="nil"/>
              <w:bottom w:val="nil"/>
              <w:right w:val="nil"/>
            </w:tcBorders>
            <w:vAlign w:val="center"/>
            <w:hideMark/>
          </w:tcPr>
          <w:p w14:paraId="267D3560"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Železnice SR</w:t>
            </w:r>
          </w:p>
        </w:tc>
        <w:tc>
          <w:tcPr>
            <w:tcW w:w="597" w:type="pct"/>
            <w:tcBorders>
              <w:top w:val="nil"/>
              <w:left w:val="nil"/>
              <w:bottom w:val="nil"/>
              <w:right w:val="nil"/>
            </w:tcBorders>
            <w:vAlign w:val="center"/>
            <w:hideMark/>
          </w:tcPr>
          <w:p w14:paraId="2C755C5F"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78 490</w:t>
            </w:r>
          </w:p>
        </w:tc>
        <w:tc>
          <w:tcPr>
            <w:tcW w:w="597" w:type="pct"/>
            <w:tcBorders>
              <w:top w:val="nil"/>
              <w:left w:val="nil"/>
              <w:bottom w:val="nil"/>
              <w:right w:val="nil"/>
            </w:tcBorders>
            <w:vAlign w:val="center"/>
            <w:hideMark/>
          </w:tcPr>
          <w:p w14:paraId="2D6580B4"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79 033</w:t>
            </w:r>
          </w:p>
        </w:tc>
        <w:tc>
          <w:tcPr>
            <w:tcW w:w="596" w:type="pct"/>
            <w:tcBorders>
              <w:top w:val="nil"/>
              <w:left w:val="nil"/>
              <w:bottom w:val="nil"/>
              <w:right w:val="nil"/>
            </w:tcBorders>
            <w:vAlign w:val="center"/>
            <w:hideMark/>
          </w:tcPr>
          <w:p w14:paraId="2A074B37"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-543</w:t>
            </w:r>
          </w:p>
        </w:tc>
      </w:tr>
      <w:tr w:rsidR="004A6802" w:rsidRPr="001567C8" w14:paraId="10BD68E4" w14:textId="77777777" w:rsidTr="0085799C">
        <w:trPr>
          <w:trHeight w:val="227"/>
        </w:trPr>
        <w:tc>
          <w:tcPr>
            <w:tcW w:w="3210" w:type="pct"/>
            <w:tcBorders>
              <w:top w:val="nil"/>
              <w:left w:val="nil"/>
              <w:bottom w:val="nil"/>
              <w:right w:val="nil"/>
            </w:tcBorders>
            <w:vAlign w:val="center"/>
            <w:hideMark/>
          </w:tcPr>
          <w:p w14:paraId="669E32E5"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Úrad geodézie, kartografie a katastra Slovenskej republiky</w:t>
            </w:r>
          </w:p>
        </w:tc>
        <w:tc>
          <w:tcPr>
            <w:tcW w:w="597" w:type="pct"/>
            <w:tcBorders>
              <w:top w:val="nil"/>
              <w:left w:val="nil"/>
              <w:bottom w:val="nil"/>
              <w:right w:val="nil"/>
            </w:tcBorders>
            <w:vAlign w:val="center"/>
            <w:hideMark/>
          </w:tcPr>
          <w:p w14:paraId="5E136E34"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68 535</w:t>
            </w:r>
          </w:p>
        </w:tc>
        <w:tc>
          <w:tcPr>
            <w:tcW w:w="597" w:type="pct"/>
            <w:tcBorders>
              <w:top w:val="nil"/>
              <w:left w:val="nil"/>
              <w:bottom w:val="nil"/>
              <w:right w:val="nil"/>
            </w:tcBorders>
            <w:vAlign w:val="center"/>
            <w:hideMark/>
          </w:tcPr>
          <w:p w14:paraId="2A77BA20"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54 581</w:t>
            </w:r>
          </w:p>
        </w:tc>
        <w:tc>
          <w:tcPr>
            <w:tcW w:w="596" w:type="pct"/>
            <w:tcBorders>
              <w:top w:val="nil"/>
              <w:left w:val="nil"/>
              <w:bottom w:val="nil"/>
              <w:right w:val="nil"/>
            </w:tcBorders>
            <w:vAlign w:val="center"/>
            <w:hideMark/>
          </w:tcPr>
          <w:p w14:paraId="4E2C336B"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13 954</w:t>
            </w:r>
          </w:p>
        </w:tc>
      </w:tr>
      <w:tr w:rsidR="004A6802" w:rsidRPr="001567C8" w14:paraId="69A7A606" w14:textId="77777777" w:rsidTr="0085799C">
        <w:trPr>
          <w:trHeight w:val="227"/>
        </w:trPr>
        <w:tc>
          <w:tcPr>
            <w:tcW w:w="3210" w:type="pct"/>
            <w:tcBorders>
              <w:top w:val="nil"/>
              <w:left w:val="nil"/>
              <w:bottom w:val="nil"/>
              <w:right w:val="nil"/>
            </w:tcBorders>
            <w:vAlign w:val="center"/>
            <w:hideMark/>
          </w:tcPr>
          <w:p w14:paraId="4D6D9E36"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Národná diaľničná spoločnosť, a.s.</w:t>
            </w:r>
          </w:p>
        </w:tc>
        <w:tc>
          <w:tcPr>
            <w:tcW w:w="597" w:type="pct"/>
            <w:tcBorders>
              <w:top w:val="nil"/>
              <w:left w:val="nil"/>
              <w:bottom w:val="nil"/>
              <w:right w:val="nil"/>
            </w:tcBorders>
            <w:vAlign w:val="center"/>
            <w:hideMark/>
          </w:tcPr>
          <w:p w14:paraId="015B5DFB"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48 023</w:t>
            </w:r>
          </w:p>
        </w:tc>
        <w:tc>
          <w:tcPr>
            <w:tcW w:w="597" w:type="pct"/>
            <w:tcBorders>
              <w:top w:val="nil"/>
              <w:left w:val="nil"/>
              <w:bottom w:val="nil"/>
              <w:right w:val="nil"/>
            </w:tcBorders>
            <w:vAlign w:val="center"/>
            <w:hideMark/>
          </w:tcPr>
          <w:p w14:paraId="293109ED"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29 722</w:t>
            </w:r>
          </w:p>
        </w:tc>
        <w:tc>
          <w:tcPr>
            <w:tcW w:w="596" w:type="pct"/>
            <w:tcBorders>
              <w:top w:val="nil"/>
              <w:left w:val="nil"/>
              <w:bottom w:val="nil"/>
              <w:right w:val="nil"/>
            </w:tcBorders>
            <w:vAlign w:val="center"/>
            <w:hideMark/>
          </w:tcPr>
          <w:p w14:paraId="5956953A"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18 301</w:t>
            </w:r>
          </w:p>
        </w:tc>
      </w:tr>
      <w:tr w:rsidR="004A6802" w:rsidRPr="001567C8" w14:paraId="21281F51" w14:textId="77777777" w:rsidTr="0085799C">
        <w:trPr>
          <w:trHeight w:val="227"/>
        </w:trPr>
        <w:tc>
          <w:tcPr>
            <w:tcW w:w="3210" w:type="pct"/>
            <w:tcBorders>
              <w:top w:val="nil"/>
              <w:left w:val="nil"/>
              <w:bottom w:val="nil"/>
              <w:right w:val="nil"/>
            </w:tcBorders>
            <w:vAlign w:val="center"/>
            <w:hideMark/>
          </w:tcPr>
          <w:p w14:paraId="5F993581"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 xml:space="preserve">Vodohospodárska výstavba, </w:t>
            </w:r>
            <w:proofErr w:type="spellStart"/>
            <w:r w:rsidRPr="004A6802">
              <w:rPr>
                <w:rFonts w:ascii="Times New Roman" w:hAnsi="Times New Roman"/>
                <w:color w:val="000000"/>
                <w:sz w:val="16"/>
                <w:szCs w:val="16"/>
                <w:lang w:eastAsia="sk-SK"/>
              </w:rPr>
              <w:t>š.p</w:t>
            </w:r>
            <w:proofErr w:type="spellEnd"/>
            <w:r w:rsidRPr="004A6802">
              <w:rPr>
                <w:rFonts w:ascii="Times New Roman" w:hAnsi="Times New Roman"/>
                <w:color w:val="000000"/>
                <w:sz w:val="16"/>
                <w:szCs w:val="16"/>
                <w:lang w:eastAsia="sk-SK"/>
              </w:rPr>
              <w:t>.</w:t>
            </w:r>
          </w:p>
        </w:tc>
        <w:tc>
          <w:tcPr>
            <w:tcW w:w="597" w:type="pct"/>
            <w:tcBorders>
              <w:top w:val="nil"/>
              <w:left w:val="nil"/>
              <w:bottom w:val="nil"/>
              <w:right w:val="nil"/>
            </w:tcBorders>
            <w:vAlign w:val="center"/>
            <w:hideMark/>
          </w:tcPr>
          <w:p w14:paraId="13A68356"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40 940</w:t>
            </w:r>
          </w:p>
        </w:tc>
        <w:tc>
          <w:tcPr>
            <w:tcW w:w="597" w:type="pct"/>
            <w:tcBorders>
              <w:top w:val="nil"/>
              <w:left w:val="nil"/>
              <w:bottom w:val="nil"/>
              <w:right w:val="nil"/>
            </w:tcBorders>
            <w:vAlign w:val="center"/>
            <w:hideMark/>
          </w:tcPr>
          <w:p w14:paraId="76093C2D"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40 098</w:t>
            </w:r>
          </w:p>
        </w:tc>
        <w:tc>
          <w:tcPr>
            <w:tcW w:w="596" w:type="pct"/>
            <w:tcBorders>
              <w:top w:val="nil"/>
              <w:left w:val="nil"/>
              <w:bottom w:val="nil"/>
              <w:right w:val="nil"/>
            </w:tcBorders>
            <w:vAlign w:val="center"/>
            <w:hideMark/>
          </w:tcPr>
          <w:p w14:paraId="5B56848E"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842</w:t>
            </w:r>
          </w:p>
        </w:tc>
      </w:tr>
      <w:tr w:rsidR="004A6802" w:rsidRPr="001567C8" w14:paraId="11045691" w14:textId="77777777" w:rsidTr="0085799C">
        <w:trPr>
          <w:trHeight w:val="227"/>
        </w:trPr>
        <w:tc>
          <w:tcPr>
            <w:tcW w:w="3210" w:type="pct"/>
            <w:tcBorders>
              <w:top w:val="nil"/>
              <w:left w:val="nil"/>
              <w:bottom w:val="nil"/>
              <w:right w:val="nil"/>
            </w:tcBorders>
            <w:vAlign w:val="center"/>
            <w:hideMark/>
          </w:tcPr>
          <w:p w14:paraId="1B463733"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 xml:space="preserve">MH </w:t>
            </w:r>
            <w:proofErr w:type="spellStart"/>
            <w:r w:rsidRPr="004A6802">
              <w:rPr>
                <w:rFonts w:ascii="Times New Roman" w:hAnsi="Times New Roman"/>
                <w:color w:val="000000"/>
                <w:sz w:val="16"/>
                <w:szCs w:val="16"/>
                <w:lang w:eastAsia="sk-SK"/>
              </w:rPr>
              <w:t>Invest</w:t>
            </w:r>
            <w:proofErr w:type="spellEnd"/>
            <w:r w:rsidRPr="004A6802">
              <w:rPr>
                <w:rFonts w:ascii="Times New Roman" w:hAnsi="Times New Roman"/>
                <w:color w:val="000000"/>
                <w:sz w:val="16"/>
                <w:szCs w:val="16"/>
                <w:lang w:eastAsia="sk-SK"/>
              </w:rPr>
              <w:t xml:space="preserve">, </w:t>
            </w:r>
            <w:proofErr w:type="spellStart"/>
            <w:r w:rsidRPr="004A6802">
              <w:rPr>
                <w:rFonts w:ascii="Times New Roman" w:hAnsi="Times New Roman"/>
                <w:color w:val="000000"/>
                <w:sz w:val="16"/>
                <w:szCs w:val="16"/>
                <w:lang w:eastAsia="sk-SK"/>
              </w:rPr>
              <w:t>s.r.o</w:t>
            </w:r>
            <w:proofErr w:type="spellEnd"/>
          </w:p>
        </w:tc>
        <w:tc>
          <w:tcPr>
            <w:tcW w:w="597" w:type="pct"/>
            <w:tcBorders>
              <w:top w:val="nil"/>
              <w:left w:val="nil"/>
              <w:bottom w:val="nil"/>
              <w:right w:val="nil"/>
            </w:tcBorders>
            <w:vAlign w:val="center"/>
            <w:hideMark/>
          </w:tcPr>
          <w:p w14:paraId="6FC07205"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34 792</w:t>
            </w:r>
          </w:p>
        </w:tc>
        <w:tc>
          <w:tcPr>
            <w:tcW w:w="597" w:type="pct"/>
            <w:tcBorders>
              <w:top w:val="nil"/>
              <w:left w:val="nil"/>
              <w:bottom w:val="nil"/>
              <w:right w:val="nil"/>
            </w:tcBorders>
            <w:vAlign w:val="center"/>
            <w:hideMark/>
          </w:tcPr>
          <w:p w14:paraId="44E3297F"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34 136</w:t>
            </w:r>
          </w:p>
        </w:tc>
        <w:tc>
          <w:tcPr>
            <w:tcW w:w="596" w:type="pct"/>
            <w:tcBorders>
              <w:top w:val="nil"/>
              <w:left w:val="nil"/>
              <w:bottom w:val="nil"/>
              <w:right w:val="nil"/>
            </w:tcBorders>
            <w:vAlign w:val="center"/>
            <w:hideMark/>
          </w:tcPr>
          <w:p w14:paraId="59BBB464"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656</w:t>
            </w:r>
          </w:p>
        </w:tc>
      </w:tr>
      <w:tr w:rsidR="004A6802" w:rsidRPr="001567C8" w14:paraId="5C9C705A" w14:textId="77777777" w:rsidTr="0085799C">
        <w:trPr>
          <w:trHeight w:val="227"/>
        </w:trPr>
        <w:tc>
          <w:tcPr>
            <w:tcW w:w="3210" w:type="pct"/>
            <w:tcBorders>
              <w:top w:val="nil"/>
              <w:left w:val="nil"/>
              <w:bottom w:val="nil"/>
              <w:right w:val="nil"/>
            </w:tcBorders>
            <w:vAlign w:val="center"/>
            <w:hideMark/>
          </w:tcPr>
          <w:p w14:paraId="6E79C447"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Ministerstvo kultúry SR</w:t>
            </w:r>
          </w:p>
        </w:tc>
        <w:tc>
          <w:tcPr>
            <w:tcW w:w="597" w:type="pct"/>
            <w:tcBorders>
              <w:top w:val="nil"/>
              <w:left w:val="nil"/>
              <w:bottom w:val="nil"/>
              <w:right w:val="nil"/>
            </w:tcBorders>
            <w:vAlign w:val="center"/>
            <w:hideMark/>
          </w:tcPr>
          <w:p w14:paraId="506BBC32"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17 988</w:t>
            </w:r>
          </w:p>
        </w:tc>
        <w:tc>
          <w:tcPr>
            <w:tcW w:w="597" w:type="pct"/>
            <w:tcBorders>
              <w:top w:val="nil"/>
              <w:left w:val="nil"/>
              <w:bottom w:val="nil"/>
              <w:right w:val="nil"/>
            </w:tcBorders>
            <w:vAlign w:val="center"/>
            <w:hideMark/>
          </w:tcPr>
          <w:p w14:paraId="501FB34A"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17 988</w:t>
            </w:r>
          </w:p>
        </w:tc>
        <w:tc>
          <w:tcPr>
            <w:tcW w:w="596" w:type="pct"/>
            <w:tcBorders>
              <w:top w:val="nil"/>
              <w:left w:val="nil"/>
              <w:bottom w:val="nil"/>
              <w:right w:val="nil"/>
            </w:tcBorders>
            <w:vAlign w:val="center"/>
            <w:hideMark/>
          </w:tcPr>
          <w:p w14:paraId="6B2DF1A6"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0</w:t>
            </w:r>
          </w:p>
        </w:tc>
      </w:tr>
      <w:tr w:rsidR="004A6802" w:rsidRPr="001567C8" w14:paraId="30C3942C" w14:textId="77777777" w:rsidTr="0085799C">
        <w:trPr>
          <w:trHeight w:val="227"/>
        </w:trPr>
        <w:tc>
          <w:tcPr>
            <w:tcW w:w="3210" w:type="pct"/>
            <w:tcBorders>
              <w:top w:val="nil"/>
              <w:left w:val="nil"/>
              <w:bottom w:val="nil"/>
              <w:right w:val="nil"/>
            </w:tcBorders>
            <w:vAlign w:val="center"/>
            <w:hideMark/>
          </w:tcPr>
          <w:p w14:paraId="788F210E"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Geodetický a kartografický ústav Bratislava</w:t>
            </w:r>
          </w:p>
        </w:tc>
        <w:tc>
          <w:tcPr>
            <w:tcW w:w="597" w:type="pct"/>
            <w:tcBorders>
              <w:top w:val="nil"/>
              <w:left w:val="nil"/>
              <w:bottom w:val="nil"/>
              <w:right w:val="nil"/>
            </w:tcBorders>
            <w:vAlign w:val="center"/>
            <w:hideMark/>
          </w:tcPr>
          <w:p w14:paraId="25F419A9"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14 518</w:t>
            </w:r>
          </w:p>
        </w:tc>
        <w:tc>
          <w:tcPr>
            <w:tcW w:w="597" w:type="pct"/>
            <w:tcBorders>
              <w:top w:val="nil"/>
              <w:left w:val="nil"/>
              <w:bottom w:val="nil"/>
              <w:right w:val="nil"/>
            </w:tcBorders>
            <w:vAlign w:val="center"/>
            <w:hideMark/>
          </w:tcPr>
          <w:p w14:paraId="208940BD"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14 518</w:t>
            </w:r>
          </w:p>
        </w:tc>
        <w:tc>
          <w:tcPr>
            <w:tcW w:w="596" w:type="pct"/>
            <w:tcBorders>
              <w:top w:val="nil"/>
              <w:left w:val="nil"/>
              <w:bottom w:val="nil"/>
              <w:right w:val="nil"/>
            </w:tcBorders>
            <w:vAlign w:val="center"/>
            <w:hideMark/>
          </w:tcPr>
          <w:p w14:paraId="4C854C0E"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0</w:t>
            </w:r>
          </w:p>
        </w:tc>
      </w:tr>
      <w:tr w:rsidR="004A6802" w:rsidRPr="001567C8" w14:paraId="3D6F5D9C" w14:textId="77777777" w:rsidTr="0085799C">
        <w:trPr>
          <w:trHeight w:val="227"/>
        </w:trPr>
        <w:tc>
          <w:tcPr>
            <w:tcW w:w="3210" w:type="pct"/>
            <w:tcBorders>
              <w:top w:val="nil"/>
              <w:left w:val="nil"/>
              <w:bottom w:val="nil"/>
              <w:right w:val="nil"/>
            </w:tcBorders>
            <w:vAlign w:val="center"/>
            <w:hideMark/>
          </w:tcPr>
          <w:p w14:paraId="5A1822B7"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Správa štátnych hmotných rezerv SR</w:t>
            </w:r>
          </w:p>
        </w:tc>
        <w:tc>
          <w:tcPr>
            <w:tcW w:w="597" w:type="pct"/>
            <w:tcBorders>
              <w:top w:val="nil"/>
              <w:left w:val="nil"/>
              <w:bottom w:val="nil"/>
              <w:right w:val="nil"/>
            </w:tcBorders>
            <w:vAlign w:val="center"/>
            <w:hideMark/>
          </w:tcPr>
          <w:p w14:paraId="6AF8B24D"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9 254</w:t>
            </w:r>
          </w:p>
        </w:tc>
        <w:tc>
          <w:tcPr>
            <w:tcW w:w="597" w:type="pct"/>
            <w:tcBorders>
              <w:top w:val="nil"/>
              <w:left w:val="nil"/>
              <w:bottom w:val="nil"/>
              <w:right w:val="nil"/>
            </w:tcBorders>
            <w:vAlign w:val="center"/>
            <w:hideMark/>
          </w:tcPr>
          <w:p w14:paraId="61DD1C6C"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14 538</w:t>
            </w:r>
          </w:p>
        </w:tc>
        <w:tc>
          <w:tcPr>
            <w:tcW w:w="596" w:type="pct"/>
            <w:tcBorders>
              <w:top w:val="nil"/>
              <w:left w:val="nil"/>
              <w:bottom w:val="nil"/>
              <w:right w:val="nil"/>
            </w:tcBorders>
            <w:vAlign w:val="center"/>
            <w:hideMark/>
          </w:tcPr>
          <w:p w14:paraId="7A983D2A"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-5 284</w:t>
            </w:r>
          </w:p>
        </w:tc>
      </w:tr>
      <w:tr w:rsidR="004A6802" w:rsidRPr="001567C8" w14:paraId="5D3E3A4D" w14:textId="77777777" w:rsidTr="0085799C">
        <w:trPr>
          <w:trHeight w:val="227"/>
        </w:trPr>
        <w:tc>
          <w:tcPr>
            <w:tcW w:w="3210" w:type="pct"/>
            <w:tcBorders>
              <w:top w:val="nil"/>
              <w:left w:val="nil"/>
              <w:bottom w:val="nil"/>
              <w:right w:val="nil"/>
            </w:tcBorders>
            <w:vAlign w:val="center"/>
            <w:hideMark/>
          </w:tcPr>
          <w:p w14:paraId="7466EC21"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Slovenský pozemkový fond</w:t>
            </w:r>
          </w:p>
        </w:tc>
        <w:tc>
          <w:tcPr>
            <w:tcW w:w="597" w:type="pct"/>
            <w:tcBorders>
              <w:top w:val="nil"/>
              <w:left w:val="nil"/>
              <w:bottom w:val="nil"/>
              <w:right w:val="nil"/>
            </w:tcBorders>
            <w:vAlign w:val="center"/>
            <w:hideMark/>
          </w:tcPr>
          <w:p w14:paraId="2B7DB29D"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8 717</w:t>
            </w:r>
          </w:p>
        </w:tc>
        <w:tc>
          <w:tcPr>
            <w:tcW w:w="597" w:type="pct"/>
            <w:tcBorders>
              <w:top w:val="nil"/>
              <w:left w:val="nil"/>
              <w:bottom w:val="nil"/>
              <w:right w:val="nil"/>
            </w:tcBorders>
            <w:vAlign w:val="center"/>
            <w:hideMark/>
          </w:tcPr>
          <w:p w14:paraId="1039F7FF"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6 681</w:t>
            </w:r>
          </w:p>
        </w:tc>
        <w:tc>
          <w:tcPr>
            <w:tcW w:w="596" w:type="pct"/>
            <w:tcBorders>
              <w:top w:val="nil"/>
              <w:left w:val="nil"/>
              <w:bottom w:val="nil"/>
              <w:right w:val="nil"/>
            </w:tcBorders>
            <w:vAlign w:val="center"/>
            <w:hideMark/>
          </w:tcPr>
          <w:p w14:paraId="1AEBA5A4"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2 036</w:t>
            </w:r>
          </w:p>
        </w:tc>
      </w:tr>
      <w:tr w:rsidR="004A6802" w:rsidRPr="001567C8" w14:paraId="04A5B8E8" w14:textId="77777777" w:rsidTr="0085799C">
        <w:trPr>
          <w:trHeight w:val="227"/>
        </w:trPr>
        <w:tc>
          <w:tcPr>
            <w:tcW w:w="3210" w:type="pct"/>
            <w:tcBorders>
              <w:top w:val="nil"/>
              <w:left w:val="nil"/>
              <w:bottom w:val="nil"/>
              <w:right w:val="nil"/>
            </w:tcBorders>
            <w:vAlign w:val="center"/>
            <w:hideMark/>
          </w:tcPr>
          <w:p w14:paraId="374F7EE1"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Ministerstvo hospodárstva SR</w:t>
            </w:r>
          </w:p>
        </w:tc>
        <w:tc>
          <w:tcPr>
            <w:tcW w:w="597" w:type="pct"/>
            <w:tcBorders>
              <w:top w:val="nil"/>
              <w:left w:val="nil"/>
              <w:bottom w:val="nil"/>
              <w:right w:val="nil"/>
            </w:tcBorders>
            <w:vAlign w:val="center"/>
            <w:hideMark/>
          </w:tcPr>
          <w:p w14:paraId="7FC34E95"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8 222</w:t>
            </w:r>
          </w:p>
        </w:tc>
        <w:tc>
          <w:tcPr>
            <w:tcW w:w="597" w:type="pct"/>
            <w:tcBorders>
              <w:top w:val="nil"/>
              <w:left w:val="nil"/>
              <w:bottom w:val="nil"/>
              <w:right w:val="nil"/>
            </w:tcBorders>
            <w:vAlign w:val="center"/>
            <w:hideMark/>
          </w:tcPr>
          <w:p w14:paraId="02AAA9F6"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78 328</w:t>
            </w:r>
          </w:p>
        </w:tc>
        <w:tc>
          <w:tcPr>
            <w:tcW w:w="596" w:type="pct"/>
            <w:tcBorders>
              <w:top w:val="nil"/>
              <w:left w:val="nil"/>
              <w:bottom w:val="nil"/>
              <w:right w:val="nil"/>
            </w:tcBorders>
            <w:vAlign w:val="center"/>
            <w:hideMark/>
          </w:tcPr>
          <w:p w14:paraId="6846F158"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-70 106</w:t>
            </w:r>
          </w:p>
        </w:tc>
      </w:tr>
      <w:tr w:rsidR="004A6802" w:rsidRPr="001567C8" w14:paraId="75BDC75A" w14:textId="77777777" w:rsidTr="0085799C">
        <w:trPr>
          <w:trHeight w:val="227"/>
        </w:trPr>
        <w:tc>
          <w:tcPr>
            <w:tcW w:w="3210" w:type="pct"/>
            <w:tcBorders>
              <w:top w:val="nil"/>
              <w:left w:val="nil"/>
              <w:bottom w:val="nil"/>
              <w:right w:val="nil"/>
            </w:tcBorders>
            <w:vAlign w:val="center"/>
            <w:hideMark/>
          </w:tcPr>
          <w:p w14:paraId="64B35107"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Slovenská elektrizačná prenosová sústava, a.s.</w:t>
            </w:r>
          </w:p>
        </w:tc>
        <w:tc>
          <w:tcPr>
            <w:tcW w:w="597" w:type="pct"/>
            <w:tcBorders>
              <w:top w:val="nil"/>
              <w:left w:val="nil"/>
              <w:bottom w:val="nil"/>
              <w:right w:val="nil"/>
            </w:tcBorders>
            <w:vAlign w:val="center"/>
            <w:hideMark/>
          </w:tcPr>
          <w:p w14:paraId="4E3874F3"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7 777</w:t>
            </w:r>
          </w:p>
        </w:tc>
        <w:tc>
          <w:tcPr>
            <w:tcW w:w="597" w:type="pct"/>
            <w:tcBorders>
              <w:top w:val="nil"/>
              <w:left w:val="nil"/>
              <w:bottom w:val="nil"/>
              <w:right w:val="nil"/>
            </w:tcBorders>
            <w:vAlign w:val="center"/>
            <w:hideMark/>
          </w:tcPr>
          <w:p w14:paraId="66EB6E55"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7 777</w:t>
            </w:r>
          </w:p>
        </w:tc>
        <w:tc>
          <w:tcPr>
            <w:tcW w:w="596" w:type="pct"/>
            <w:tcBorders>
              <w:top w:val="nil"/>
              <w:left w:val="nil"/>
              <w:bottom w:val="nil"/>
              <w:right w:val="nil"/>
            </w:tcBorders>
            <w:vAlign w:val="center"/>
            <w:hideMark/>
          </w:tcPr>
          <w:p w14:paraId="70F4ADD5"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0</w:t>
            </w:r>
          </w:p>
        </w:tc>
      </w:tr>
      <w:tr w:rsidR="004A6802" w:rsidRPr="001567C8" w14:paraId="26C25AB0" w14:textId="77777777" w:rsidTr="0085799C">
        <w:trPr>
          <w:trHeight w:val="227"/>
        </w:trPr>
        <w:tc>
          <w:tcPr>
            <w:tcW w:w="3210" w:type="pct"/>
            <w:tcBorders>
              <w:top w:val="nil"/>
              <w:left w:val="nil"/>
              <w:bottom w:val="nil"/>
              <w:right w:val="nil"/>
            </w:tcBorders>
            <w:vAlign w:val="center"/>
            <w:hideMark/>
          </w:tcPr>
          <w:p w14:paraId="0C95B505"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Ministerstvo investícií, regionálneho rozvoja a informatizácie SR</w:t>
            </w:r>
          </w:p>
        </w:tc>
        <w:tc>
          <w:tcPr>
            <w:tcW w:w="597" w:type="pct"/>
            <w:tcBorders>
              <w:top w:val="nil"/>
              <w:left w:val="nil"/>
              <w:bottom w:val="nil"/>
              <w:right w:val="nil"/>
            </w:tcBorders>
            <w:vAlign w:val="center"/>
            <w:hideMark/>
          </w:tcPr>
          <w:p w14:paraId="664E34E4"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7 103</w:t>
            </w:r>
          </w:p>
        </w:tc>
        <w:tc>
          <w:tcPr>
            <w:tcW w:w="597" w:type="pct"/>
            <w:tcBorders>
              <w:top w:val="nil"/>
              <w:left w:val="nil"/>
              <w:bottom w:val="nil"/>
              <w:right w:val="nil"/>
            </w:tcBorders>
            <w:vAlign w:val="center"/>
            <w:hideMark/>
          </w:tcPr>
          <w:p w14:paraId="614FF1E2"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7 421</w:t>
            </w:r>
          </w:p>
        </w:tc>
        <w:tc>
          <w:tcPr>
            <w:tcW w:w="596" w:type="pct"/>
            <w:tcBorders>
              <w:top w:val="nil"/>
              <w:left w:val="nil"/>
              <w:bottom w:val="nil"/>
              <w:right w:val="nil"/>
            </w:tcBorders>
            <w:vAlign w:val="center"/>
            <w:hideMark/>
          </w:tcPr>
          <w:p w14:paraId="52FF49E3"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-318</w:t>
            </w:r>
          </w:p>
        </w:tc>
      </w:tr>
      <w:tr w:rsidR="004A6802" w:rsidRPr="001567C8" w14:paraId="47531DFA" w14:textId="77777777" w:rsidTr="0085799C">
        <w:trPr>
          <w:trHeight w:val="227"/>
        </w:trPr>
        <w:tc>
          <w:tcPr>
            <w:tcW w:w="3210" w:type="pct"/>
            <w:tcBorders>
              <w:top w:val="nil"/>
              <w:left w:val="nil"/>
              <w:bottom w:val="nil"/>
              <w:right w:val="nil"/>
            </w:tcBorders>
            <w:vAlign w:val="center"/>
            <w:hideMark/>
          </w:tcPr>
          <w:p w14:paraId="091DE7E2"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Ministerstvo obrany SR</w:t>
            </w:r>
          </w:p>
        </w:tc>
        <w:tc>
          <w:tcPr>
            <w:tcW w:w="597" w:type="pct"/>
            <w:tcBorders>
              <w:top w:val="nil"/>
              <w:left w:val="nil"/>
              <w:bottom w:val="nil"/>
              <w:right w:val="nil"/>
            </w:tcBorders>
            <w:vAlign w:val="center"/>
            <w:hideMark/>
          </w:tcPr>
          <w:p w14:paraId="5B5589B0"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5 974</w:t>
            </w:r>
          </w:p>
        </w:tc>
        <w:tc>
          <w:tcPr>
            <w:tcW w:w="597" w:type="pct"/>
            <w:tcBorders>
              <w:top w:val="nil"/>
              <w:left w:val="nil"/>
              <w:bottom w:val="nil"/>
              <w:right w:val="nil"/>
            </w:tcBorders>
            <w:vAlign w:val="center"/>
            <w:hideMark/>
          </w:tcPr>
          <w:p w14:paraId="7B9014CD"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6 615</w:t>
            </w:r>
          </w:p>
        </w:tc>
        <w:tc>
          <w:tcPr>
            <w:tcW w:w="596" w:type="pct"/>
            <w:tcBorders>
              <w:top w:val="nil"/>
              <w:left w:val="nil"/>
              <w:bottom w:val="nil"/>
              <w:right w:val="nil"/>
            </w:tcBorders>
            <w:vAlign w:val="center"/>
            <w:hideMark/>
          </w:tcPr>
          <w:p w14:paraId="617B03F1"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-641</w:t>
            </w:r>
          </w:p>
        </w:tc>
      </w:tr>
      <w:tr w:rsidR="004A6802" w:rsidRPr="001567C8" w14:paraId="62E0141F" w14:textId="77777777" w:rsidTr="0085799C">
        <w:trPr>
          <w:trHeight w:val="227"/>
        </w:trPr>
        <w:tc>
          <w:tcPr>
            <w:tcW w:w="3210" w:type="pct"/>
            <w:tcBorders>
              <w:top w:val="nil"/>
              <w:left w:val="nil"/>
              <w:bottom w:val="nil"/>
              <w:right w:val="nil"/>
            </w:tcBorders>
            <w:vAlign w:val="center"/>
            <w:hideMark/>
          </w:tcPr>
          <w:p w14:paraId="5AB1C919"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Protimonopolný úrad SR</w:t>
            </w:r>
          </w:p>
        </w:tc>
        <w:tc>
          <w:tcPr>
            <w:tcW w:w="597" w:type="pct"/>
            <w:tcBorders>
              <w:top w:val="nil"/>
              <w:left w:val="nil"/>
              <w:bottom w:val="nil"/>
              <w:right w:val="nil"/>
            </w:tcBorders>
            <w:vAlign w:val="center"/>
            <w:hideMark/>
          </w:tcPr>
          <w:p w14:paraId="717CB6A5"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5 530</w:t>
            </w:r>
          </w:p>
        </w:tc>
        <w:tc>
          <w:tcPr>
            <w:tcW w:w="597" w:type="pct"/>
            <w:tcBorders>
              <w:top w:val="nil"/>
              <w:left w:val="nil"/>
              <w:bottom w:val="nil"/>
              <w:right w:val="nil"/>
            </w:tcBorders>
            <w:vAlign w:val="center"/>
            <w:hideMark/>
          </w:tcPr>
          <w:p w14:paraId="5877CDBA"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5 526</w:t>
            </w:r>
          </w:p>
        </w:tc>
        <w:tc>
          <w:tcPr>
            <w:tcW w:w="596" w:type="pct"/>
            <w:tcBorders>
              <w:top w:val="nil"/>
              <w:left w:val="nil"/>
              <w:bottom w:val="nil"/>
              <w:right w:val="nil"/>
            </w:tcBorders>
            <w:vAlign w:val="center"/>
            <w:hideMark/>
          </w:tcPr>
          <w:p w14:paraId="071C4718"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4</w:t>
            </w:r>
          </w:p>
        </w:tc>
      </w:tr>
      <w:tr w:rsidR="004A6802" w:rsidRPr="001567C8" w14:paraId="55756F21" w14:textId="77777777" w:rsidTr="0085799C">
        <w:trPr>
          <w:trHeight w:val="227"/>
        </w:trPr>
        <w:tc>
          <w:tcPr>
            <w:tcW w:w="3210" w:type="pct"/>
            <w:tcBorders>
              <w:top w:val="nil"/>
              <w:left w:val="nil"/>
              <w:bottom w:val="nil"/>
              <w:right w:val="nil"/>
            </w:tcBorders>
            <w:vAlign w:val="center"/>
            <w:hideMark/>
          </w:tcPr>
          <w:p w14:paraId="4970D023"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Ministerstvo životného prostredia Slovenskej republiky</w:t>
            </w:r>
          </w:p>
        </w:tc>
        <w:tc>
          <w:tcPr>
            <w:tcW w:w="597" w:type="pct"/>
            <w:tcBorders>
              <w:top w:val="nil"/>
              <w:left w:val="nil"/>
              <w:bottom w:val="nil"/>
              <w:right w:val="nil"/>
            </w:tcBorders>
            <w:vAlign w:val="center"/>
            <w:hideMark/>
          </w:tcPr>
          <w:p w14:paraId="07EDB79E"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1 498</w:t>
            </w:r>
          </w:p>
        </w:tc>
        <w:tc>
          <w:tcPr>
            <w:tcW w:w="597" w:type="pct"/>
            <w:tcBorders>
              <w:top w:val="nil"/>
              <w:left w:val="nil"/>
              <w:bottom w:val="nil"/>
              <w:right w:val="nil"/>
            </w:tcBorders>
            <w:vAlign w:val="center"/>
            <w:hideMark/>
          </w:tcPr>
          <w:p w14:paraId="45A9E743"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36 153</w:t>
            </w:r>
          </w:p>
        </w:tc>
        <w:tc>
          <w:tcPr>
            <w:tcW w:w="596" w:type="pct"/>
            <w:tcBorders>
              <w:top w:val="nil"/>
              <w:left w:val="nil"/>
              <w:bottom w:val="nil"/>
              <w:right w:val="nil"/>
            </w:tcBorders>
            <w:vAlign w:val="center"/>
            <w:hideMark/>
          </w:tcPr>
          <w:p w14:paraId="2219DE64"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-34 655</w:t>
            </w:r>
          </w:p>
        </w:tc>
      </w:tr>
      <w:tr w:rsidR="004A6802" w:rsidRPr="001567C8" w14:paraId="5D080317" w14:textId="77777777" w:rsidTr="0085799C">
        <w:trPr>
          <w:trHeight w:val="227"/>
        </w:trPr>
        <w:tc>
          <w:tcPr>
            <w:tcW w:w="3210" w:type="pct"/>
            <w:tcBorders>
              <w:top w:val="nil"/>
              <w:left w:val="nil"/>
              <w:bottom w:val="nil"/>
              <w:right w:val="nil"/>
            </w:tcBorders>
            <w:vAlign w:val="center"/>
            <w:hideMark/>
          </w:tcPr>
          <w:p w14:paraId="153525CC"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Ministerstvo dopravy Slovenskej republiky</w:t>
            </w:r>
          </w:p>
        </w:tc>
        <w:tc>
          <w:tcPr>
            <w:tcW w:w="597" w:type="pct"/>
            <w:tcBorders>
              <w:top w:val="nil"/>
              <w:left w:val="nil"/>
              <w:bottom w:val="nil"/>
              <w:right w:val="nil"/>
            </w:tcBorders>
            <w:vAlign w:val="center"/>
            <w:hideMark/>
          </w:tcPr>
          <w:p w14:paraId="32F7D0A9"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105</w:t>
            </w:r>
          </w:p>
        </w:tc>
        <w:tc>
          <w:tcPr>
            <w:tcW w:w="597" w:type="pct"/>
            <w:tcBorders>
              <w:top w:val="nil"/>
              <w:left w:val="nil"/>
              <w:bottom w:val="nil"/>
              <w:right w:val="nil"/>
            </w:tcBorders>
            <w:vAlign w:val="center"/>
            <w:hideMark/>
          </w:tcPr>
          <w:p w14:paraId="680CBD28"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218</w:t>
            </w:r>
          </w:p>
        </w:tc>
        <w:tc>
          <w:tcPr>
            <w:tcW w:w="596" w:type="pct"/>
            <w:tcBorders>
              <w:top w:val="nil"/>
              <w:left w:val="nil"/>
              <w:bottom w:val="nil"/>
              <w:right w:val="nil"/>
            </w:tcBorders>
            <w:vAlign w:val="center"/>
            <w:hideMark/>
          </w:tcPr>
          <w:p w14:paraId="4BC19899"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-113</w:t>
            </w:r>
          </w:p>
        </w:tc>
      </w:tr>
      <w:tr w:rsidR="004A6802" w:rsidRPr="001567C8" w14:paraId="40518A68" w14:textId="77777777" w:rsidTr="0085799C">
        <w:trPr>
          <w:trHeight w:val="227"/>
        </w:trPr>
        <w:tc>
          <w:tcPr>
            <w:tcW w:w="3210" w:type="pct"/>
            <w:tcBorders>
              <w:top w:val="nil"/>
              <w:left w:val="nil"/>
              <w:bottom w:val="nil"/>
              <w:right w:val="nil"/>
            </w:tcBorders>
            <w:vAlign w:val="center"/>
            <w:hideMark/>
          </w:tcPr>
          <w:p w14:paraId="176B7D92"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Úrad vlády Slovenskej republiky</w:t>
            </w:r>
          </w:p>
        </w:tc>
        <w:tc>
          <w:tcPr>
            <w:tcW w:w="597" w:type="pct"/>
            <w:tcBorders>
              <w:top w:val="nil"/>
              <w:left w:val="nil"/>
              <w:bottom w:val="nil"/>
              <w:right w:val="nil"/>
            </w:tcBorders>
            <w:vAlign w:val="center"/>
            <w:hideMark/>
          </w:tcPr>
          <w:p w14:paraId="11BD1951"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75</w:t>
            </w:r>
          </w:p>
        </w:tc>
        <w:tc>
          <w:tcPr>
            <w:tcW w:w="597" w:type="pct"/>
            <w:tcBorders>
              <w:top w:val="nil"/>
              <w:left w:val="nil"/>
              <w:bottom w:val="nil"/>
              <w:right w:val="nil"/>
            </w:tcBorders>
            <w:vAlign w:val="center"/>
            <w:hideMark/>
          </w:tcPr>
          <w:p w14:paraId="1E80F2A6"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15 949</w:t>
            </w:r>
          </w:p>
        </w:tc>
        <w:tc>
          <w:tcPr>
            <w:tcW w:w="596" w:type="pct"/>
            <w:tcBorders>
              <w:top w:val="nil"/>
              <w:left w:val="nil"/>
              <w:bottom w:val="nil"/>
              <w:right w:val="nil"/>
            </w:tcBorders>
            <w:vAlign w:val="center"/>
            <w:hideMark/>
          </w:tcPr>
          <w:p w14:paraId="53E982F3"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-15 874</w:t>
            </w:r>
          </w:p>
        </w:tc>
      </w:tr>
      <w:tr w:rsidR="004A6802" w:rsidRPr="001567C8" w14:paraId="79529B6E" w14:textId="77777777" w:rsidTr="0085799C">
        <w:trPr>
          <w:trHeight w:val="227"/>
        </w:trPr>
        <w:tc>
          <w:tcPr>
            <w:tcW w:w="3210" w:type="pct"/>
            <w:tcBorders>
              <w:top w:val="nil"/>
              <w:left w:val="nil"/>
              <w:bottom w:val="nil"/>
              <w:right w:val="nil"/>
            </w:tcBorders>
            <w:vAlign w:val="center"/>
            <w:hideMark/>
          </w:tcPr>
          <w:p w14:paraId="1337815D" w14:textId="77777777" w:rsidR="004A6802" w:rsidRPr="004A6802" w:rsidRDefault="004A6802" w:rsidP="004A6802">
            <w:pPr>
              <w:spacing w:after="0" w:line="240" w:lineRule="auto"/>
              <w:rPr>
                <w:rFonts w:ascii="Times New Roman" w:hAnsi="Times New Roman"/>
                <w:b/>
                <w:bCs/>
                <w:color w:val="000000"/>
                <w:sz w:val="16"/>
                <w:szCs w:val="16"/>
                <w:lang w:eastAsia="sk-SK"/>
              </w:rPr>
            </w:pPr>
            <w:r w:rsidRPr="004A6802">
              <w:rPr>
                <w:rFonts w:ascii="Times New Roman" w:hAnsi="Times New Roman"/>
                <w:b/>
                <w:bCs/>
                <w:color w:val="000000"/>
                <w:sz w:val="16"/>
                <w:szCs w:val="16"/>
                <w:lang w:eastAsia="sk-SK"/>
              </w:rPr>
              <w:t>Vystavené alebo poskytnuté záruky</w:t>
            </w:r>
          </w:p>
        </w:tc>
        <w:tc>
          <w:tcPr>
            <w:tcW w:w="597" w:type="pct"/>
            <w:tcBorders>
              <w:top w:val="nil"/>
              <w:left w:val="nil"/>
              <w:bottom w:val="nil"/>
              <w:right w:val="nil"/>
            </w:tcBorders>
            <w:noWrap/>
            <w:vAlign w:val="center"/>
            <w:hideMark/>
          </w:tcPr>
          <w:p w14:paraId="536A8E7F" w14:textId="77777777" w:rsidR="004A6802" w:rsidRPr="004A6802" w:rsidRDefault="004A6802" w:rsidP="004A6802">
            <w:pPr>
              <w:spacing w:after="0" w:line="240" w:lineRule="auto"/>
              <w:jc w:val="right"/>
              <w:rPr>
                <w:rFonts w:ascii="Times New Roman" w:hAnsi="Times New Roman"/>
                <w:b/>
                <w:bCs/>
                <w:color w:val="000000"/>
                <w:sz w:val="18"/>
                <w:szCs w:val="18"/>
                <w:lang w:eastAsia="sk-SK"/>
              </w:rPr>
            </w:pPr>
            <w:r w:rsidRPr="004A6802">
              <w:rPr>
                <w:rFonts w:ascii="Times New Roman" w:hAnsi="Times New Roman"/>
                <w:b/>
                <w:bCs/>
                <w:color w:val="000000"/>
                <w:sz w:val="18"/>
                <w:szCs w:val="18"/>
                <w:lang w:eastAsia="sk-SK"/>
              </w:rPr>
              <w:t>751 226</w:t>
            </w:r>
          </w:p>
        </w:tc>
        <w:tc>
          <w:tcPr>
            <w:tcW w:w="597" w:type="pct"/>
            <w:tcBorders>
              <w:top w:val="nil"/>
              <w:left w:val="nil"/>
              <w:bottom w:val="nil"/>
              <w:right w:val="nil"/>
            </w:tcBorders>
            <w:noWrap/>
            <w:vAlign w:val="center"/>
            <w:hideMark/>
          </w:tcPr>
          <w:p w14:paraId="39E98371" w14:textId="77777777" w:rsidR="004A6802" w:rsidRPr="004A6802" w:rsidRDefault="004A6802" w:rsidP="004A6802">
            <w:pPr>
              <w:spacing w:after="0" w:line="240" w:lineRule="auto"/>
              <w:jc w:val="right"/>
              <w:rPr>
                <w:rFonts w:ascii="Times New Roman" w:hAnsi="Times New Roman"/>
                <w:b/>
                <w:bCs/>
                <w:color w:val="000000"/>
                <w:sz w:val="18"/>
                <w:szCs w:val="18"/>
                <w:lang w:eastAsia="sk-SK"/>
              </w:rPr>
            </w:pPr>
            <w:r w:rsidRPr="004A6802">
              <w:rPr>
                <w:rFonts w:ascii="Times New Roman" w:hAnsi="Times New Roman"/>
                <w:b/>
                <w:bCs/>
                <w:color w:val="000000"/>
                <w:sz w:val="18"/>
                <w:szCs w:val="18"/>
                <w:lang w:eastAsia="sk-SK"/>
              </w:rPr>
              <w:t>962 220</w:t>
            </w:r>
          </w:p>
        </w:tc>
        <w:tc>
          <w:tcPr>
            <w:tcW w:w="596" w:type="pct"/>
            <w:tcBorders>
              <w:top w:val="nil"/>
              <w:left w:val="nil"/>
              <w:bottom w:val="nil"/>
              <w:right w:val="nil"/>
            </w:tcBorders>
            <w:vAlign w:val="center"/>
            <w:hideMark/>
          </w:tcPr>
          <w:p w14:paraId="4E644FB4" w14:textId="77777777" w:rsidR="004A6802" w:rsidRPr="004A6802" w:rsidRDefault="004A6802" w:rsidP="004A6802">
            <w:pPr>
              <w:spacing w:after="0" w:line="240" w:lineRule="auto"/>
              <w:jc w:val="right"/>
              <w:rPr>
                <w:rFonts w:ascii="Times New Roman" w:hAnsi="Times New Roman"/>
                <w:b/>
                <w:bCs/>
                <w:color w:val="000000"/>
                <w:sz w:val="18"/>
                <w:szCs w:val="18"/>
                <w:lang w:eastAsia="sk-SK"/>
              </w:rPr>
            </w:pPr>
            <w:r w:rsidRPr="004A6802">
              <w:rPr>
                <w:rFonts w:ascii="Times New Roman" w:hAnsi="Times New Roman"/>
                <w:b/>
                <w:bCs/>
                <w:color w:val="000000"/>
                <w:sz w:val="18"/>
                <w:szCs w:val="18"/>
                <w:lang w:eastAsia="sk-SK"/>
              </w:rPr>
              <w:t>-210 994</w:t>
            </w:r>
          </w:p>
        </w:tc>
      </w:tr>
      <w:tr w:rsidR="004A6802" w:rsidRPr="001567C8" w14:paraId="7B0E3E3D" w14:textId="77777777" w:rsidTr="0085799C">
        <w:trPr>
          <w:trHeight w:val="227"/>
        </w:trPr>
        <w:tc>
          <w:tcPr>
            <w:tcW w:w="3210" w:type="pct"/>
            <w:tcBorders>
              <w:top w:val="nil"/>
              <w:left w:val="nil"/>
              <w:bottom w:val="nil"/>
              <w:right w:val="nil"/>
            </w:tcBorders>
            <w:vAlign w:val="center"/>
            <w:hideMark/>
          </w:tcPr>
          <w:p w14:paraId="7121D281"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 xml:space="preserve">National </w:t>
            </w:r>
            <w:proofErr w:type="spellStart"/>
            <w:r w:rsidRPr="004A6802">
              <w:rPr>
                <w:rFonts w:ascii="Times New Roman" w:hAnsi="Times New Roman"/>
                <w:color w:val="000000"/>
                <w:sz w:val="16"/>
                <w:szCs w:val="16"/>
                <w:lang w:eastAsia="sk-SK"/>
              </w:rPr>
              <w:t>Development</w:t>
            </w:r>
            <w:proofErr w:type="spellEnd"/>
            <w:r w:rsidRPr="004A6802">
              <w:rPr>
                <w:rFonts w:ascii="Times New Roman" w:hAnsi="Times New Roman"/>
                <w:color w:val="000000"/>
                <w:sz w:val="16"/>
                <w:szCs w:val="16"/>
                <w:lang w:eastAsia="sk-SK"/>
              </w:rPr>
              <w:t xml:space="preserve"> </w:t>
            </w:r>
            <w:proofErr w:type="spellStart"/>
            <w:r w:rsidRPr="004A6802">
              <w:rPr>
                <w:rFonts w:ascii="Times New Roman" w:hAnsi="Times New Roman"/>
                <w:color w:val="000000"/>
                <w:sz w:val="16"/>
                <w:szCs w:val="16"/>
                <w:lang w:eastAsia="sk-SK"/>
              </w:rPr>
              <w:t>Fund</w:t>
            </w:r>
            <w:proofErr w:type="spellEnd"/>
            <w:r w:rsidRPr="004A6802">
              <w:rPr>
                <w:rFonts w:ascii="Times New Roman" w:hAnsi="Times New Roman"/>
                <w:color w:val="000000"/>
                <w:sz w:val="16"/>
                <w:szCs w:val="16"/>
                <w:lang w:eastAsia="sk-SK"/>
              </w:rPr>
              <w:t xml:space="preserve"> II, </w:t>
            </w:r>
            <w:proofErr w:type="spellStart"/>
            <w:r w:rsidRPr="004A6802">
              <w:rPr>
                <w:rFonts w:ascii="Times New Roman" w:hAnsi="Times New Roman"/>
                <w:color w:val="000000"/>
                <w:sz w:val="16"/>
                <w:szCs w:val="16"/>
                <w:lang w:eastAsia="sk-SK"/>
              </w:rPr>
              <w:t>a.s</w:t>
            </w:r>
            <w:proofErr w:type="spellEnd"/>
            <w:r w:rsidRPr="004A6802">
              <w:rPr>
                <w:rFonts w:ascii="Times New Roman" w:hAnsi="Times New Roman"/>
                <w:color w:val="000000"/>
                <w:sz w:val="16"/>
                <w:szCs w:val="16"/>
                <w:lang w:eastAsia="sk-SK"/>
              </w:rPr>
              <w:t>.</w:t>
            </w:r>
          </w:p>
        </w:tc>
        <w:tc>
          <w:tcPr>
            <w:tcW w:w="597" w:type="pct"/>
            <w:tcBorders>
              <w:top w:val="nil"/>
              <w:left w:val="nil"/>
              <w:bottom w:val="nil"/>
              <w:right w:val="nil"/>
            </w:tcBorders>
            <w:vAlign w:val="center"/>
            <w:hideMark/>
          </w:tcPr>
          <w:p w14:paraId="39958F55"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293 437</w:t>
            </w:r>
          </w:p>
        </w:tc>
        <w:tc>
          <w:tcPr>
            <w:tcW w:w="597" w:type="pct"/>
            <w:tcBorders>
              <w:top w:val="nil"/>
              <w:left w:val="nil"/>
              <w:bottom w:val="nil"/>
              <w:right w:val="nil"/>
            </w:tcBorders>
            <w:vAlign w:val="center"/>
            <w:hideMark/>
          </w:tcPr>
          <w:p w14:paraId="39A87C15"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461 226</w:t>
            </w:r>
          </w:p>
        </w:tc>
        <w:tc>
          <w:tcPr>
            <w:tcW w:w="596" w:type="pct"/>
            <w:tcBorders>
              <w:top w:val="nil"/>
              <w:left w:val="nil"/>
              <w:bottom w:val="nil"/>
              <w:right w:val="nil"/>
            </w:tcBorders>
            <w:vAlign w:val="center"/>
            <w:hideMark/>
          </w:tcPr>
          <w:p w14:paraId="0FAD010E"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-167 789</w:t>
            </w:r>
          </w:p>
        </w:tc>
      </w:tr>
      <w:tr w:rsidR="004A6802" w:rsidRPr="001567C8" w14:paraId="02FD5BCC" w14:textId="77777777" w:rsidTr="0085799C">
        <w:trPr>
          <w:trHeight w:val="227"/>
        </w:trPr>
        <w:tc>
          <w:tcPr>
            <w:tcW w:w="3210" w:type="pct"/>
            <w:tcBorders>
              <w:top w:val="nil"/>
              <w:left w:val="nil"/>
              <w:bottom w:val="nil"/>
              <w:right w:val="nil"/>
            </w:tcBorders>
            <w:vAlign w:val="center"/>
            <w:hideMark/>
          </w:tcPr>
          <w:p w14:paraId="6C76A74A"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Exportno-importná banka Slovenska</w:t>
            </w:r>
          </w:p>
        </w:tc>
        <w:tc>
          <w:tcPr>
            <w:tcW w:w="597" w:type="pct"/>
            <w:tcBorders>
              <w:top w:val="nil"/>
              <w:left w:val="nil"/>
              <w:bottom w:val="nil"/>
              <w:right w:val="nil"/>
            </w:tcBorders>
            <w:vAlign w:val="center"/>
            <w:hideMark/>
          </w:tcPr>
          <w:p w14:paraId="1EFCA8E9"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291 479</w:t>
            </w:r>
          </w:p>
        </w:tc>
        <w:tc>
          <w:tcPr>
            <w:tcW w:w="597" w:type="pct"/>
            <w:tcBorders>
              <w:top w:val="nil"/>
              <w:left w:val="nil"/>
              <w:bottom w:val="nil"/>
              <w:right w:val="nil"/>
            </w:tcBorders>
            <w:vAlign w:val="center"/>
            <w:hideMark/>
          </w:tcPr>
          <w:p w14:paraId="5DE8C331"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263 962</w:t>
            </w:r>
          </w:p>
        </w:tc>
        <w:tc>
          <w:tcPr>
            <w:tcW w:w="596" w:type="pct"/>
            <w:tcBorders>
              <w:top w:val="nil"/>
              <w:left w:val="nil"/>
              <w:bottom w:val="nil"/>
              <w:right w:val="nil"/>
            </w:tcBorders>
            <w:vAlign w:val="center"/>
            <w:hideMark/>
          </w:tcPr>
          <w:p w14:paraId="459512C1"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27 517</w:t>
            </w:r>
          </w:p>
        </w:tc>
      </w:tr>
      <w:tr w:rsidR="004A6802" w:rsidRPr="001567C8" w14:paraId="61FC718B" w14:textId="77777777" w:rsidTr="0085799C">
        <w:trPr>
          <w:trHeight w:val="227"/>
        </w:trPr>
        <w:tc>
          <w:tcPr>
            <w:tcW w:w="3210" w:type="pct"/>
            <w:tcBorders>
              <w:top w:val="nil"/>
              <w:left w:val="nil"/>
              <w:bottom w:val="nil"/>
              <w:right w:val="nil"/>
            </w:tcBorders>
            <w:vAlign w:val="center"/>
            <w:hideMark/>
          </w:tcPr>
          <w:p w14:paraId="4CB740E1"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Záruky MF SR</w:t>
            </w:r>
          </w:p>
        </w:tc>
        <w:tc>
          <w:tcPr>
            <w:tcW w:w="597" w:type="pct"/>
            <w:tcBorders>
              <w:top w:val="nil"/>
              <w:left w:val="nil"/>
              <w:bottom w:val="nil"/>
              <w:right w:val="nil"/>
            </w:tcBorders>
            <w:vAlign w:val="center"/>
            <w:hideMark/>
          </w:tcPr>
          <w:p w14:paraId="2D40D22E"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166 310</w:t>
            </w:r>
          </w:p>
        </w:tc>
        <w:tc>
          <w:tcPr>
            <w:tcW w:w="597" w:type="pct"/>
            <w:tcBorders>
              <w:top w:val="nil"/>
              <w:left w:val="nil"/>
              <w:bottom w:val="nil"/>
              <w:right w:val="nil"/>
            </w:tcBorders>
            <w:vAlign w:val="center"/>
            <w:hideMark/>
          </w:tcPr>
          <w:p w14:paraId="2ACC0268"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237 032</w:t>
            </w:r>
          </w:p>
        </w:tc>
        <w:tc>
          <w:tcPr>
            <w:tcW w:w="596" w:type="pct"/>
            <w:tcBorders>
              <w:top w:val="nil"/>
              <w:left w:val="nil"/>
              <w:bottom w:val="nil"/>
              <w:right w:val="nil"/>
            </w:tcBorders>
            <w:vAlign w:val="center"/>
            <w:hideMark/>
          </w:tcPr>
          <w:p w14:paraId="6F85257F"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-70 722</w:t>
            </w:r>
          </w:p>
        </w:tc>
      </w:tr>
      <w:tr w:rsidR="004A6802" w:rsidRPr="001567C8" w14:paraId="2A6BD7A6" w14:textId="77777777" w:rsidTr="0085799C">
        <w:trPr>
          <w:trHeight w:val="227"/>
        </w:trPr>
        <w:tc>
          <w:tcPr>
            <w:tcW w:w="3210" w:type="pct"/>
            <w:tcBorders>
              <w:top w:val="nil"/>
              <w:left w:val="nil"/>
              <w:bottom w:val="nil"/>
              <w:right w:val="nil"/>
            </w:tcBorders>
            <w:vAlign w:val="center"/>
            <w:hideMark/>
          </w:tcPr>
          <w:p w14:paraId="2C9CDDCE" w14:textId="77777777" w:rsidR="004A6802" w:rsidRPr="004A6802" w:rsidRDefault="004A6802" w:rsidP="004A6802">
            <w:pPr>
              <w:spacing w:after="0" w:line="240" w:lineRule="auto"/>
              <w:rPr>
                <w:rFonts w:ascii="Times New Roman" w:hAnsi="Times New Roman"/>
                <w:b/>
                <w:bCs/>
                <w:color w:val="000000"/>
                <w:sz w:val="16"/>
                <w:szCs w:val="16"/>
                <w:lang w:eastAsia="sk-SK"/>
              </w:rPr>
            </w:pPr>
            <w:r w:rsidRPr="004A6802">
              <w:rPr>
                <w:rFonts w:ascii="Times New Roman" w:hAnsi="Times New Roman"/>
                <w:b/>
                <w:bCs/>
                <w:color w:val="000000"/>
                <w:sz w:val="16"/>
                <w:szCs w:val="16"/>
                <w:lang w:eastAsia="sk-SK"/>
              </w:rPr>
              <w:t>Iné podmienené záväzky</w:t>
            </w:r>
          </w:p>
        </w:tc>
        <w:tc>
          <w:tcPr>
            <w:tcW w:w="597" w:type="pct"/>
            <w:tcBorders>
              <w:top w:val="nil"/>
              <w:left w:val="nil"/>
              <w:bottom w:val="nil"/>
              <w:right w:val="nil"/>
            </w:tcBorders>
            <w:noWrap/>
            <w:vAlign w:val="center"/>
            <w:hideMark/>
          </w:tcPr>
          <w:p w14:paraId="18F5E86D" w14:textId="77777777" w:rsidR="004A6802" w:rsidRPr="004A6802" w:rsidRDefault="004A6802" w:rsidP="004A6802">
            <w:pPr>
              <w:spacing w:after="0" w:line="240" w:lineRule="auto"/>
              <w:jc w:val="right"/>
              <w:rPr>
                <w:rFonts w:ascii="Times New Roman" w:hAnsi="Times New Roman"/>
                <w:b/>
                <w:bCs/>
                <w:color w:val="000000"/>
                <w:sz w:val="18"/>
                <w:szCs w:val="18"/>
                <w:lang w:eastAsia="sk-SK"/>
              </w:rPr>
            </w:pPr>
            <w:r w:rsidRPr="004A6802">
              <w:rPr>
                <w:rFonts w:ascii="Times New Roman" w:hAnsi="Times New Roman"/>
                <w:b/>
                <w:bCs/>
                <w:color w:val="000000"/>
                <w:sz w:val="18"/>
                <w:szCs w:val="18"/>
                <w:lang w:eastAsia="sk-SK"/>
              </w:rPr>
              <w:t>6 122 145</w:t>
            </w:r>
          </w:p>
        </w:tc>
        <w:tc>
          <w:tcPr>
            <w:tcW w:w="597" w:type="pct"/>
            <w:tcBorders>
              <w:top w:val="nil"/>
              <w:left w:val="nil"/>
              <w:bottom w:val="nil"/>
              <w:right w:val="nil"/>
            </w:tcBorders>
            <w:noWrap/>
            <w:vAlign w:val="center"/>
            <w:hideMark/>
          </w:tcPr>
          <w:p w14:paraId="2CE2671B" w14:textId="77777777" w:rsidR="004A6802" w:rsidRPr="004A6802" w:rsidRDefault="004A6802" w:rsidP="004A6802">
            <w:pPr>
              <w:spacing w:after="0" w:line="240" w:lineRule="auto"/>
              <w:jc w:val="right"/>
              <w:rPr>
                <w:rFonts w:ascii="Times New Roman" w:hAnsi="Times New Roman"/>
                <w:b/>
                <w:bCs/>
                <w:color w:val="000000"/>
                <w:sz w:val="18"/>
                <w:szCs w:val="18"/>
                <w:lang w:eastAsia="sk-SK"/>
              </w:rPr>
            </w:pPr>
            <w:r w:rsidRPr="004A6802">
              <w:rPr>
                <w:rFonts w:ascii="Times New Roman" w:hAnsi="Times New Roman"/>
                <w:b/>
                <w:bCs/>
                <w:color w:val="000000"/>
                <w:sz w:val="18"/>
                <w:szCs w:val="18"/>
                <w:lang w:eastAsia="sk-SK"/>
              </w:rPr>
              <w:t>6 397 210</w:t>
            </w:r>
          </w:p>
        </w:tc>
        <w:tc>
          <w:tcPr>
            <w:tcW w:w="596" w:type="pct"/>
            <w:tcBorders>
              <w:top w:val="nil"/>
              <w:left w:val="nil"/>
              <w:bottom w:val="nil"/>
              <w:right w:val="nil"/>
            </w:tcBorders>
            <w:vAlign w:val="center"/>
            <w:hideMark/>
          </w:tcPr>
          <w:p w14:paraId="049A318E" w14:textId="77777777" w:rsidR="004A6802" w:rsidRPr="004A6802" w:rsidRDefault="004A6802" w:rsidP="004A6802">
            <w:pPr>
              <w:spacing w:after="0" w:line="240" w:lineRule="auto"/>
              <w:jc w:val="right"/>
              <w:rPr>
                <w:rFonts w:ascii="Times New Roman" w:hAnsi="Times New Roman"/>
                <w:b/>
                <w:bCs/>
                <w:color w:val="000000"/>
                <w:sz w:val="18"/>
                <w:szCs w:val="18"/>
                <w:lang w:eastAsia="sk-SK"/>
              </w:rPr>
            </w:pPr>
            <w:r w:rsidRPr="004A6802">
              <w:rPr>
                <w:rFonts w:ascii="Times New Roman" w:hAnsi="Times New Roman"/>
                <w:b/>
                <w:bCs/>
                <w:color w:val="000000"/>
                <w:sz w:val="18"/>
                <w:szCs w:val="18"/>
                <w:lang w:eastAsia="sk-SK"/>
              </w:rPr>
              <w:t>-275 065</w:t>
            </w:r>
          </w:p>
        </w:tc>
      </w:tr>
      <w:tr w:rsidR="004A6802" w:rsidRPr="001567C8" w14:paraId="2806485C" w14:textId="77777777" w:rsidTr="0085799C">
        <w:trPr>
          <w:trHeight w:val="227"/>
        </w:trPr>
        <w:tc>
          <w:tcPr>
            <w:tcW w:w="3210" w:type="pct"/>
            <w:tcBorders>
              <w:top w:val="nil"/>
              <w:left w:val="nil"/>
              <w:bottom w:val="nil"/>
              <w:right w:val="nil"/>
            </w:tcBorders>
            <w:vAlign w:val="center"/>
            <w:hideMark/>
          </w:tcPr>
          <w:p w14:paraId="063CC497"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Slovenské elektrárne, a.s.</w:t>
            </w:r>
          </w:p>
        </w:tc>
        <w:tc>
          <w:tcPr>
            <w:tcW w:w="597" w:type="pct"/>
            <w:tcBorders>
              <w:top w:val="nil"/>
              <w:left w:val="nil"/>
              <w:bottom w:val="nil"/>
              <w:right w:val="nil"/>
            </w:tcBorders>
            <w:vAlign w:val="center"/>
            <w:hideMark/>
          </w:tcPr>
          <w:p w14:paraId="644E7AB1"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3 663 270</w:t>
            </w:r>
          </w:p>
        </w:tc>
        <w:tc>
          <w:tcPr>
            <w:tcW w:w="597" w:type="pct"/>
            <w:tcBorders>
              <w:top w:val="nil"/>
              <w:left w:val="nil"/>
              <w:bottom w:val="nil"/>
              <w:right w:val="nil"/>
            </w:tcBorders>
            <w:vAlign w:val="center"/>
            <w:hideMark/>
          </w:tcPr>
          <w:p w14:paraId="31C5CE17"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3 501 046</w:t>
            </w:r>
          </w:p>
        </w:tc>
        <w:tc>
          <w:tcPr>
            <w:tcW w:w="596" w:type="pct"/>
            <w:tcBorders>
              <w:top w:val="nil"/>
              <w:left w:val="nil"/>
              <w:bottom w:val="nil"/>
              <w:right w:val="nil"/>
            </w:tcBorders>
            <w:vAlign w:val="center"/>
            <w:hideMark/>
          </w:tcPr>
          <w:p w14:paraId="0C801084"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162 224</w:t>
            </w:r>
          </w:p>
        </w:tc>
      </w:tr>
      <w:tr w:rsidR="004A6802" w:rsidRPr="001567C8" w14:paraId="24F7DAAE" w14:textId="77777777" w:rsidTr="0085799C">
        <w:trPr>
          <w:trHeight w:val="227"/>
        </w:trPr>
        <w:tc>
          <w:tcPr>
            <w:tcW w:w="3210" w:type="pct"/>
            <w:tcBorders>
              <w:top w:val="nil"/>
              <w:left w:val="nil"/>
              <w:bottom w:val="nil"/>
              <w:right w:val="nil"/>
            </w:tcBorders>
            <w:vAlign w:val="center"/>
            <w:hideMark/>
          </w:tcPr>
          <w:p w14:paraId="1412B1F0"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 xml:space="preserve">MH Manažment, a.s. </w:t>
            </w:r>
          </w:p>
        </w:tc>
        <w:tc>
          <w:tcPr>
            <w:tcW w:w="597" w:type="pct"/>
            <w:tcBorders>
              <w:top w:val="nil"/>
              <w:left w:val="nil"/>
              <w:bottom w:val="nil"/>
              <w:right w:val="nil"/>
            </w:tcBorders>
            <w:vAlign w:val="center"/>
            <w:hideMark/>
          </w:tcPr>
          <w:p w14:paraId="2C4106BA"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786 972</w:t>
            </w:r>
          </w:p>
        </w:tc>
        <w:tc>
          <w:tcPr>
            <w:tcW w:w="597" w:type="pct"/>
            <w:tcBorders>
              <w:top w:val="nil"/>
              <w:left w:val="nil"/>
              <w:bottom w:val="nil"/>
              <w:right w:val="nil"/>
            </w:tcBorders>
            <w:vAlign w:val="center"/>
            <w:hideMark/>
          </w:tcPr>
          <w:p w14:paraId="55ABCC6F"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786 972</w:t>
            </w:r>
          </w:p>
        </w:tc>
        <w:tc>
          <w:tcPr>
            <w:tcW w:w="596" w:type="pct"/>
            <w:tcBorders>
              <w:top w:val="nil"/>
              <w:left w:val="nil"/>
              <w:bottom w:val="nil"/>
              <w:right w:val="nil"/>
            </w:tcBorders>
            <w:vAlign w:val="center"/>
            <w:hideMark/>
          </w:tcPr>
          <w:p w14:paraId="3ACEA760"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0</w:t>
            </w:r>
          </w:p>
        </w:tc>
      </w:tr>
      <w:tr w:rsidR="004A6802" w:rsidRPr="001567C8" w14:paraId="64E863B3" w14:textId="77777777" w:rsidTr="0085799C">
        <w:trPr>
          <w:trHeight w:val="227"/>
        </w:trPr>
        <w:tc>
          <w:tcPr>
            <w:tcW w:w="3210" w:type="pct"/>
            <w:tcBorders>
              <w:top w:val="nil"/>
              <w:left w:val="nil"/>
              <w:bottom w:val="nil"/>
              <w:right w:val="nil"/>
            </w:tcBorders>
            <w:vAlign w:val="center"/>
            <w:hideMark/>
          </w:tcPr>
          <w:p w14:paraId="538CFFA7"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Slovenský plynárenský priemysel, a.s.</w:t>
            </w:r>
          </w:p>
        </w:tc>
        <w:tc>
          <w:tcPr>
            <w:tcW w:w="597" w:type="pct"/>
            <w:tcBorders>
              <w:top w:val="nil"/>
              <w:left w:val="nil"/>
              <w:bottom w:val="nil"/>
              <w:right w:val="nil"/>
            </w:tcBorders>
            <w:vAlign w:val="center"/>
            <w:hideMark/>
          </w:tcPr>
          <w:p w14:paraId="63389D95"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1 592 210</w:t>
            </w:r>
          </w:p>
        </w:tc>
        <w:tc>
          <w:tcPr>
            <w:tcW w:w="597" w:type="pct"/>
            <w:tcBorders>
              <w:top w:val="nil"/>
              <w:left w:val="nil"/>
              <w:bottom w:val="nil"/>
              <w:right w:val="nil"/>
            </w:tcBorders>
            <w:vAlign w:val="center"/>
            <w:hideMark/>
          </w:tcPr>
          <w:p w14:paraId="0E0236E5"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2 040 750</w:t>
            </w:r>
          </w:p>
        </w:tc>
        <w:tc>
          <w:tcPr>
            <w:tcW w:w="596" w:type="pct"/>
            <w:tcBorders>
              <w:top w:val="nil"/>
              <w:left w:val="nil"/>
              <w:bottom w:val="nil"/>
              <w:right w:val="nil"/>
            </w:tcBorders>
            <w:vAlign w:val="center"/>
            <w:hideMark/>
          </w:tcPr>
          <w:p w14:paraId="0600B9E6"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-448 540</w:t>
            </w:r>
          </w:p>
        </w:tc>
      </w:tr>
      <w:tr w:rsidR="004A6802" w:rsidRPr="001567C8" w14:paraId="18058AD5" w14:textId="77777777" w:rsidTr="0085799C">
        <w:trPr>
          <w:trHeight w:val="227"/>
        </w:trPr>
        <w:tc>
          <w:tcPr>
            <w:tcW w:w="3210" w:type="pct"/>
            <w:tcBorders>
              <w:top w:val="nil"/>
              <w:left w:val="nil"/>
              <w:bottom w:val="nil"/>
              <w:right w:val="nil"/>
            </w:tcBorders>
            <w:vAlign w:val="center"/>
            <w:hideMark/>
          </w:tcPr>
          <w:p w14:paraId="4245BE3E" w14:textId="77777777" w:rsidR="004A6802" w:rsidRPr="004A6802" w:rsidRDefault="004A6802" w:rsidP="004A6802">
            <w:pPr>
              <w:spacing w:after="0" w:line="240" w:lineRule="auto"/>
              <w:ind w:firstLineChars="300" w:firstLine="480"/>
              <w:rPr>
                <w:rFonts w:ascii="Times New Roman" w:hAnsi="Times New Roman"/>
                <w:color w:val="000000"/>
                <w:sz w:val="16"/>
                <w:szCs w:val="16"/>
                <w:lang w:eastAsia="sk-SK"/>
              </w:rPr>
            </w:pPr>
            <w:r w:rsidRPr="004A6802">
              <w:rPr>
                <w:rFonts w:ascii="Times New Roman" w:hAnsi="Times New Roman"/>
                <w:color w:val="000000"/>
                <w:sz w:val="16"/>
                <w:szCs w:val="16"/>
                <w:lang w:eastAsia="sk-SK"/>
              </w:rPr>
              <w:t>Slovenská záručná a rozvojová banka, a.s.</w:t>
            </w:r>
          </w:p>
        </w:tc>
        <w:tc>
          <w:tcPr>
            <w:tcW w:w="597" w:type="pct"/>
            <w:tcBorders>
              <w:top w:val="nil"/>
              <w:left w:val="nil"/>
              <w:bottom w:val="nil"/>
              <w:right w:val="nil"/>
            </w:tcBorders>
            <w:vAlign w:val="center"/>
            <w:hideMark/>
          </w:tcPr>
          <w:p w14:paraId="08A01FCD"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69 776</w:t>
            </w:r>
          </w:p>
        </w:tc>
        <w:tc>
          <w:tcPr>
            <w:tcW w:w="597" w:type="pct"/>
            <w:tcBorders>
              <w:top w:val="nil"/>
              <w:left w:val="nil"/>
              <w:bottom w:val="nil"/>
              <w:right w:val="nil"/>
            </w:tcBorders>
            <w:vAlign w:val="center"/>
            <w:hideMark/>
          </w:tcPr>
          <w:p w14:paraId="01F0B5B2"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54 548</w:t>
            </w:r>
          </w:p>
        </w:tc>
        <w:tc>
          <w:tcPr>
            <w:tcW w:w="596" w:type="pct"/>
            <w:tcBorders>
              <w:top w:val="nil"/>
              <w:left w:val="nil"/>
              <w:bottom w:val="nil"/>
              <w:right w:val="nil"/>
            </w:tcBorders>
            <w:vAlign w:val="center"/>
            <w:hideMark/>
          </w:tcPr>
          <w:p w14:paraId="0A772650"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15 228</w:t>
            </w:r>
          </w:p>
        </w:tc>
      </w:tr>
      <w:tr w:rsidR="004A6802" w:rsidRPr="001567C8" w14:paraId="732604CD" w14:textId="77777777" w:rsidTr="0085799C">
        <w:trPr>
          <w:trHeight w:val="227"/>
        </w:trPr>
        <w:tc>
          <w:tcPr>
            <w:tcW w:w="3210" w:type="pct"/>
            <w:tcBorders>
              <w:top w:val="nil"/>
              <w:left w:val="nil"/>
              <w:bottom w:val="nil"/>
              <w:right w:val="nil"/>
            </w:tcBorders>
            <w:vAlign w:val="center"/>
            <w:hideMark/>
          </w:tcPr>
          <w:p w14:paraId="27ABC797" w14:textId="6DF9472A" w:rsidR="004A6802" w:rsidRPr="004A6802" w:rsidRDefault="00606DF6" w:rsidP="004A6802">
            <w:pPr>
              <w:spacing w:after="0" w:line="240" w:lineRule="auto"/>
              <w:ind w:firstLineChars="300" w:firstLine="480"/>
              <w:rPr>
                <w:rFonts w:ascii="Times New Roman" w:hAnsi="Times New Roman"/>
                <w:color w:val="000000"/>
                <w:sz w:val="16"/>
                <w:szCs w:val="16"/>
                <w:lang w:eastAsia="sk-SK"/>
              </w:rPr>
            </w:pPr>
            <w:r w:rsidRPr="00606DF6">
              <w:rPr>
                <w:rFonts w:ascii="Times New Roman" w:hAnsi="Times New Roman"/>
                <w:color w:val="000000"/>
                <w:sz w:val="16"/>
                <w:szCs w:val="16"/>
                <w:lang w:eastAsia="sk-SK"/>
              </w:rPr>
              <w:t>LESY Slovenskej republiky, štátny podnik</w:t>
            </w:r>
          </w:p>
        </w:tc>
        <w:tc>
          <w:tcPr>
            <w:tcW w:w="597" w:type="pct"/>
            <w:tcBorders>
              <w:top w:val="nil"/>
              <w:left w:val="nil"/>
              <w:bottom w:val="nil"/>
              <w:right w:val="nil"/>
            </w:tcBorders>
            <w:vAlign w:val="center"/>
            <w:hideMark/>
          </w:tcPr>
          <w:p w14:paraId="0414BB9F"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9 917</w:t>
            </w:r>
          </w:p>
        </w:tc>
        <w:tc>
          <w:tcPr>
            <w:tcW w:w="597" w:type="pct"/>
            <w:tcBorders>
              <w:top w:val="nil"/>
              <w:left w:val="nil"/>
              <w:bottom w:val="nil"/>
              <w:right w:val="nil"/>
            </w:tcBorders>
            <w:vAlign w:val="center"/>
            <w:hideMark/>
          </w:tcPr>
          <w:p w14:paraId="2A6E70BB"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13 894</w:t>
            </w:r>
          </w:p>
        </w:tc>
        <w:tc>
          <w:tcPr>
            <w:tcW w:w="596" w:type="pct"/>
            <w:tcBorders>
              <w:top w:val="nil"/>
              <w:left w:val="nil"/>
              <w:bottom w:val="nil"/>
              <w:right w:val="nil"/>
            </w:tcBorders>
            <w:vAlign w:val="center"/>
            <w:hideMark/>
          </w:tcPr>
          <w:p w14:paraId="69E78D56" w14:textId="77777777" w:rsidR="004A6802" w:rsidRPr="004A6802" w:rsidRDefault="004A6802" w:rsidP="004A6802">
            <w:pPr>
              <w:spacing w:after="0" w:line="240" w:lineRule="auto"/>
              <w:jc w:val="right"/>
              <w:rPr>
                <w:rFonts w:ascii="Times New Roman" w:hAnsi="Times New Roman"/>
                <w:color w:val="000000"/>
                <w:sz w:val="18"/>
                <w:szCs w:val="18"/>
                <w:lang w:eastAsia="sk-SK"/>
              </w:rPr>
            </w:pPr>
            <w:r w:rsidRPr="004A6802">
              <w:rPr>
                <w:rFonts w:ascii="Times New Roman" w:hAnsi="Times New Roman"/>
                <w:color w:val="000000"/>
                <w:sz w:val="18"/>
                <w:szCs w:val="18"/>
                <w:lang w:eastAsia="sk-SK"/>
              </w:rPr>
              <w:t>-3 977</w:t>
            </w:r>
          </w:p>
        </w:tc>
      </w:tr>
      <w:tr w:rsidR="004A6802" w:rsidRPr="001567C8" w14:paraId="7EB1E19D" w14:textId="77777777" w:rsidTr="0085799C">
        <w:trPr>
          <w:trHeight w:val="227"/>
        </w:trPr>
        <w:tc>
          <w:tcPr>
            <w:tcW w:w="3210" w:type="pct"/>
            <w:tcBorders>
              <w:top w:val="single" w:sz="8" w:space="0" w:color="auto"/>
              <w:left w:val="nil"/>
              <w:bottom w:val="single" w:sz="8" w:space="0" w:color="auto"/>
              <w:right w:val="nil"/>
            </w:tcBorders>
            <w:noWrap/>
            <w:vAlign w:val="bottom"/>
            <w:hideMark/>
          </w:tcPr>
          <w:p w14:paraId="14932BDB" w14:textId="77777777" w:rsidR="004A6802" w:rsidRPr="004A6802" w:rsidRDefault="004A6802" w:rsidP="004A6802">
            <w:pPr>
              <w:spacing w:after="0" w:line="240" w:lineRule="auto"/>
              <w:rPr>
                <w:rFonts w:ascii="Times New Roman" w:hAnsi="Times New Roman"/>
                <w:b/>
                <w:bCs/>
                <w:color w:val="000000"/>
                <w:sz w:val="18"/>
                <w:szCs w:val="18"/>
                <w:lang w:eastAsia="sk-SK"/>
              </w:rPr>
            </w:pPr>
            <w:r w:rsidRPr="004A6802">
              <w:rPr>
                <w:rFonts w:ascii="Times New Roman" w:hAnsi="Times New Roman"/>
                <w:b/>
                <w:bCs/>
                <w:color w:val="000000"/>
                <w:sz w:val="18"/>
                <w:szCs w:val="18"/>
                <w:lang w:eastAsia="sk-SK"/>
              </w:rPr>
              <w:t xml:space="preserve">Spolu  </w:t>
            </w:r>
          </w:p>
        </w:tc>
        <w:tc>
          <w:tcPr>
            <w:tcW w:w="597" w:type="pct"/>
            <w:tcBorders>
              <w:top w:val="single" w:sz="8" w:space="0" w:color="auto"/>
              <w:left w:val="nil"/>
              <w:bottom w:val="single" w:sz="8" w:space="0" w:color="auto"/>
              <w:right w:val="nil"/>
            </w:tcBorders>
            <w:noWrap/>
            <w:vAlign w:val="center"/>
            <w:hideMark/>
          </w:tcPr>
          <w:p w14:paraId="6D061BF1" w14:textId="77777777" w:rsidR="004A6802" w:rsidRPr="004A6802" w:rsidRDefault="004A6802" w:rsidP="004A6802">
            <w:pPr>
              <w:spacing w:after="0" w:line="240" w:lineRule="auto"/>
              <w:jc w:val="right"/>
              <w:rPr>
                <w:rFonts w:ascii="Times New Roman" w:hAnsi="Times New Roman"/>
                <w:b/>
                <w:bCs/>
                <w:color w:val="000000"/>
                <w:sz w:val="18"/>
                <w:szCs w:val="18"/>
                <w:lang w:eastAsia="sk-SK"/>
              </w:rPr>
            </w:pPr>
            <w:r w:rsidRPr="004A6802">
              <w:rPr>
                <w:rFonts w:ascii="Times New Roman" w:hAnsi="Times New Roman"/>
                <w:b/>
                <w:bCs/>
                <w:color w:val="000000"/>
                <w:sz w:val="18"/>
                <w:szCs w:val="18"/>
                <w:lang w:eastAsia="sk-SK"/>
              </w:rPr>
              <w:t>19 791 458</w:t>
            </w:r>
          </w:p>
        </w:tc>
        <w:tc>
          <w:tcPr>
            <w:tcW w:w="597" w:type="pct"/>
            <w:tcBorders>
              <w:top w:val="single" w:sz="8" w:space="0" w:color="auto"/>
              <w:left w:val="nil"/>
              <w:bottom w:val="single" w:sz="8" w:space="0" w:color="auto"/>
              <w:right w:val="nil"/>
            </w:tcBorders>
            <w:noWrap/>
            <w:vAlign w:val="center"/>
            <w:hideMark/>
          </w:tcPr>
          <w:p w14:paraId="1E6ACCE9" w14:textId="77777777" w:rsidR="004A6802" w:rsidRPr="004A6802" w:rsidRDefault="004A6802" w:rsidP="004A6802">
            <w:pPr>
              <w:spacing w:after="0" w:line="240" w:lineRule="auto"/>
              <w:jc w:val="right"/>
              <w:rPr>
                <w:rFonts w:ascii="Times New Roman" w:hAnsi="Times New Roman"/>
                <w:b/>
                <w:bCs/>
                <w:color w:val="000000"/>
                <w:sz w:val="18"/>
                <w:szCs w:val="18"/>
                <w:lang w:eastAsia="sk-SK"/>
              </w:rPr>
            </w:pPr>
            <w:r w:rsidRPr="004A6802">
              <w:rPr>
                <w:rFonts w:ascii="Times New Roman" w:hAnsi="Times New Roman"/>
                <w:b/>
                <w:bCs/>
                <w:color w:val="000000"/>
                <w:sz w:val="18"/>
                <w:szCs w:val="18"/>
                <w:lang w:eastAsia="sk-SK"/>
              </w:rPr>
              <w:t>21 354 988</w:t>
            </w:r>
          </w:p>
        </w:tc>
        <w:tc>
          <w:tcPr>
            <w:tcW w:w="596" w:type="pct"/>
            <w:tcBorders>
              <w:top w:val="single" w:sz="8" w:space="0" w:color="auto"/>
              <w:left w:val="nil"/>
              <w:bottom w:val="single" w:sz="8" w:space="0" w:color="auto"/>
              <w:right w:val="nil"/>
            </w:tcBorders>
            <w:vAlign w:val="center"/>
            <w:hideMark/>
          </w:tcPr>
          <w:p w14:paraId="0243D0E7" w14:textId="77777777" w:rsidR="004A6802" w:rsidRPr="004A6802" w:rsidRDefault="004A6802" w:rsidP="004A6802">
            <w:pPr>
              <w:spacing w:after="0" w:line="240" w:lineRule="auto"/>
              <w:jc w:val="right"/>
              <w:rPr>
                <w:rFonts w:ascii="Times New Roman" w:hAnsi="Times New Roman"/>
                <w:b/>
                <w:bCs/>
                <w:color w:val="000000"/>
                <w:sz w:val="18"/>
                <w:szCs w:val="18"/>
                <w:lang w:eastAsia="sk-SK"/>
              </w:rPr>
            </w:pPr>
            <w:r w:rsidRPr="004A6802">
              <w:rPr>
                <w:rFonts w:ascii="Times New Roman" w:hAnsi="Times New Roman"/>
                <w:b/>
                <w:bCs/>
                <w:color w:val="000000"/>
                <w:sz w:val="18"/>
                <w:szCs w:val="18"/>
                <w:lang w:eastAsia="sk-SK"/>
              </w:rPr>
              <w:t>-1 563 530</w:t>
            </w:r>
          </w:p>
        </w:tc>
      </w:tr>
      <w:tr w:rsidR="004A6802" w:rsidRPr="001567C8" w14:paraId="11146ADA" w14:textId="77777777" w:rsidTr="0085799C">
        <w:trPr>
          <w:trHeight w:val="227"/>
        </w:trPr>
        <w:tc>
          <w:tcPr>
            <w:tcW w:w="5000" w:type="pct"/>
            <w:gridSpan w:val="4"/>
            <w:tcBorders>
              <w:top w:val="single" w:sz="8" w:space="0" w:color="auto"/>
              <w:left w:val="nil"/>
              <w:bottom w:val="nil"/>
              <w:right w:val="nil"/>
            </w:tcBorders>
            <w:vAlign w:val="center"/>
            <w:hideMark/>
          </w:tcPr>
          <w:p w14:paraId="092950FB" w14:textId="3F4B2492" w:rsidR="004A6802" w:rsidRPr="004A6802" w:rsidRDefault="004A6802" w:rsidP="004A6802">
            <w:pPr>
              <w:spacing w:after="0" w:line="240" w:lineRule="auto"/>
              <w:rPr>
                <w:rFonts w:ascii="Times New Roman" w:hAnsi="Times New Roman"/>
                <w:color w:val="000000"/>
                <w:sz w:val="16"/>
                <w:szCs w:val="16"/>
                <w:lang w:eastAsia="sk-SK"/>
              </w:rPr>
            </w:pPr>
            <w:r w:rsidRPr="004A6802">
              <w:rPr>
                <w:rFonts w:ascii="Times New Roman" w:hAnsi="Times New Roman"/>
                <w:color w:val="000000"/>
                <w:sz w:val="16"/>
                <w:szCs w:val="16"/>
                <w:lang w:eastAsia="sk-SK"/>
              </w:rPr>
              <w:t>Poznámka: Hodnota vykazovaná hroziacich alebo prebiehajúcich súdnych sporoch za NDS, a.s. a pri iných podmienených záväzkoch za S</w:t>
            </w:r>
            <w:r w:rsidR="0094232B">
              <w:rPr>
                <w:rFonts w:ascii="Times New Roman" w:hAnsi="Times New Roman"/>
                <w:color w:val="000000"/>
                <w:sz w:val="16"/>
                <w:szCs w:val="16"/>
                <w:lang w:eastAsia="sk-SK"/>
              </w:rPr>
              <w:t>lovenský plynárenský priemysel</w:t>
            </w:r>
            <w:r w:rsidRPr="004A6802">
              <w:rPr>
                <w:rFonts w:ascii="Times New Roman" w:hAnsi="Times New Roman"/>
                <w:color w:val="000000"/>
                <w:sz w:val="16"/>
                <w:szCs w:val="16"/>
                <w:lang w:eastAsia="sk-SK"/>
              </w:rPr>
              <w:t xml:space="preserve">, a.s. za rok 2023 boli upravené s ohľadom na aktualizáciu vstupných údajov. </w:t>
            </w:r>
            <w:r w:rsidRPr="004A6802">
              <w:rPr>
                <w:rFonts w:ascii="Times New Roman" w:hAnsi="Times New Roman"/>
                <w:color w:val="000000"/>
                <w:sz w:val="16"/>
                <w:szCs w:val="16"/>
                <w:lang w:eastAsia="sk-SK"/>
              </w:rPr>
              <w:br/>
              <w:t>Zdroj: Účtovné závierky subjektov k 31.</w:t>
            </w:r>
            <w:r w:rsidR="00867606">
              <w:rPr>
                <w:rFonts w:ascii="Times New Roman" w:hAnsi="Times New Roman"/>
                <w:color w:val="000000"/>
                <w:sz w:val="16"/>
                <w:szCs w:val="16"/>
                <w:lang w:eastAsia="sk-SK"/>
              </w:rPr>
              <w:t xml:space="preserve"> </w:t>
            </w:r>
            <w:r w:rsidRPr="004A6802">
              <w:rPr>
                <w:rFonts w:ascii="Times New Roman" w:hAnsi="Times New Roman"/>
                <w:color w:val="000000"/>
                <w:sz w:val="16"/>
                <w:szCs w:val="16"/>
                <w:lang w:eastAsia="sk-SK"/>
              </w:rPr>
              <w:t>12.</w:t>
            </w:r>
            <w:r w:rsidR="00867606">
              <w:rPr>
                <w:rFonts w:ascii="Times New Roman" w:hAnsi="Times New Roman"/>
                <w:color w:val="000000"/>
                <w:sz w:val="16"/>
                <w:szCs w:val="16"/>
                <w:lang w:eastAsia="sk-SK"/>
              </w:rPr>
              <w:t xml:space="preserve"> </w:t>
            </w:r>
            <w:r w:rsidRPr="004A6802">
              <w:rPr>
                <w:rFonts w:ascii="Times New Roman" w:hAnsi="Times New Roman"/>
                <w:color w:val="000000"/>
                <w:sz w:val="16"/>
                <w:szCs w:val="16"/>
                <w:lang w:eastAsia="sk-SK"/>
              </w:rPr>
              <w:t xml:space="preserve">2022 až k </w:t>
            </w:r>
            <w:r w:rsidR="00F418A2">
              <w:rPr>
                <w:rFonts w:ascii="Times New Roman" w:hAnsi="Times New Roman"/>
                <w:color w:val="000000"/>
                <w:sz w:val="16"/>
                <w:szCs w:val="16"/>
                <w:lang w:eastAsia="sk-SK"/>
              </w:rPr>
              <w:t>31.</w:t>
            </w:r>
            <w:r w:rsidR="00867606">
              <w:rPr>
                <w:rFonts w:ascii="Times New Roman" w:hAnsi="Times New Roman"/>
                <w:color w:val="000000"/>
                <w:sz w:val="16"/>
                <w:szCs w:val="16"/>
                <w:lang w:eastAsia="sk-SK"/>
              </w:rPr>
              <w:t xml:space="preserve"> </w:t>
            </w:r>
            <w:r w:rsidR="00F418A2">
              <w:rPr>
                <w:rFonts w:ascii="Times New Roman" w:hAnsi="Times New Roman"/>
                <w:color w:val="000000"/>
                <w:sz w:val="16"/>
                <w:szCs w:val="16"/>
                <w:lang w:eastAsia="sk-SK"/>
              </w:rPr>
              <w:t>12.</w:t>
            </w:r>
            <w:r w:rsidR="00867606">
              <w:rPr>
                <w:rFonts w:ascii="Times New Roman" w:hAnsi="Times New Roman"/>
                <w:color w:val="000000"/>
                <w:sz w:val="16"/>
                <w:szCs w:val="16"/>
                <w:lang w:eastAsia="sk-SK"/>
              </w:rPr>
              <w:t xml:space="preserve"> </w:t>
            </w:r>
            <w:r w:rsidR="00F418A2">
              <w:rPr>
                <w:rFonts w:ascii="Times New Roman" w:hAnsi="Times New Roman"/>
                <w:color w:val="000000"/>
                <w:sz w:val="16"/>
                <w:szCs w:val="16"/>
                <w:lang w:eastAsia="sk-SK"/>
              </w:rPr>
              <w:t>2024</w:t>
            </w:r>
            <w:r w:rsidRPr="004A6802">
              <w:rPr>
                <w:rFonts w:ascii="Times New Roman" w:hAnsi="Times New Roman"/>
                <w:color w:val="000000"/>
                <w:sz w:val="16"/>
                <w:szCs w:val="16"/>
                <w:lang w:eastAsia="sk-SK"/>
              </w:rPr>
              <w:t xml:space="preserve"> zverejnené v registri www.registeruz.sk a databáza MF SR</w:t>
            </w:r>
            <w:r w:rsidRPr="004A6802">
              <w:rPr>
                <w:rFonts w:ascii="Times New Roman" w:hAnsi="Times New Roman"/>
                <w:color w:val="000000"/>
                <w:sz w:val="16"/>
                <w:szCs w:val="16"/>
                <w:lang w:eastAsia="sk-SK"/>
              </w:rPr>
              <w:br/>
              <w:t>Medziročná zmena v tab. 28 predstavuje časť medziročných zmien sumárne vypočítanej v tab. 29.</w:t>
            </w:r>
          </w:p>
        </w:tc>
      </w:tr>
    </w:tbl>
    <w:p w14:paraId="235A1AB5" w14:textId="77777777" w:rsidR="00DF349F" w:rsidRDefault="00DF349F" w:rsidP="00EB0BC8">
      <w:pPr>
        <w:spacing w:after="120" w:line="240" w:lineRule="auto"/>
        <w:jc w:val="both"/>
        <w:rPr>
          <w:rFonts w:ascii="Times New Roman" w:hAnsi="Times New Roman"/>
          <w:b/>
        </w:rPr>
      </w:pPr>
    </w:p>
    <w:p w14:paraId="56BDA779" w14:textId="77777777" w:rsidR="006F4BA2" w:rsidRDefault="006F4BA2" w:rsidP="00EB0BC8">
      <w:pPr>
        <w:spacing w:after="120" w:line="240" w:lineRule="auto"/>
        <w:jc w:val="both"/>
        <w:rPr>
          <w:rFonts w:ascii="Times New Roman" w:hAnsi="Times New Roman"/>
          <w:b/>
        </w:rPr>
      </w:pPr>
    </w:p>
    <w:p w14:paraId="397D63E1" w14:textId="74D826EC" w:rsidR="00D1384F" w:rsidRPr="0085799C" w:rsidRDefault="001C352C" w:rsidP="0085799C">
      <w:pPr>
        <w:spacing w:after="120" w:line="240" w:lineRule="auto"/>
        <w:jc w:val="both"/>
        <w:rPr>
          <w:rFonts w:ascii="Times New Roman" w:hAnsi="Times New Roman"/>
          <w:b/>
          <w:szCs w:val="22"/>
        </w:rPr>
      </w:pPr>
      <w:r w:rsidRPr="00BB0D4F">
        <w:rPr>
          <w:rFonts w:ascii="Times New Roman" w:hAnsi="Times New Roman"/>
          <w:b/>
          <w:szCs w:val="22"/>
        </w:rPr>
        <w:lastRenderedPageBreak/>
        <w:t>Účasť Slovenskej republiky na európskych záchranných mechanizmoch a členstve v medzinárodných finančných inštitúciách</w:t>
      </w:r>
    </w:p>
    <w:p w14:paraId="5417786E" w14:textId="4392CAF6" w:rsidR="001C352C" w:rsidRPr="00BB0D4F" w:rsidRDefault="001C352C" w:rsidP="0085799C">
      <w:pPr>
        <w:spacing w:after="120" w:line="240" w:lineRule="auto"/>
        <w:jc w:val="both"/>
        <w:rPr>
          <w:rFonts w:ascii="Times New Roman" w:hAnsi="Times New Roman"/>
          <w:szCs w:val="22"/>
        </w:rPr>
      </w:pPr>
      <w:r w:rsidRPr="0085799C">
        <w:rPr>
          <w:rFonts w:ascii="Times New Roman" w:hAnsi="Times New Roman"/>
          <w:bCs/>
          <w:szCs w:val="22"/>
        </w:rPr>
        <w:t xml:space="preserve">Slovenská republika sa zaviazala poskytovať záruky za dlhové finančné inštrumenty vydávané </w:t>
      </w:r>
      <w:r w:rsidRPr="0085799C">
        <w:rPr>
          <w:rFonts w:ascii="Times New Roman" w:hAnsi="Times New Roman"/>
          <w:szCs w:val="22"/>
          <w:u w:val="single"/>
        </w:rPr>
        <w:t>Európskym nástrojom finančnej stability (EFSF)</w:t>
      </w:r>
      <w:r w:rsidRPr="0085799C">
        <w:rPr>
          <w:rFonts w:ascii="Times New Roman" w:hAnsi="Times New Roman"/>
          <w:bCs/>
          <w:szCs w:val="22"/>
        </w:rPr>
        <w:t xml:space="preserve"> v prípade žiadosti členského štátu eurozóny o finančnú podporu. V zmysle platnej a účinnej legislatívy (§ 5 zákona č. 381/2010 Z. z. o špecifických štátnych zárukách a o zmene a doplnení niektorých zákonov v znení neskorších predpisov) sa Slovenská republika musí podieľať na celkovej výške záruk podielom 7</w:t>
      </w:r>
      <w:r w:rsidR="006F4BA2">
        <w:rPr>
          <w:rFonts w:ascii="Times New Roman" w:hAnsi="Times New Roman"/>
          <w:bCs/>
          <w:szCs w:val="22"/>
        </w:rPr>
        <w:t> </w:t>
      </w:r>
      <w:r w:rsidRPr="0085799C">
        <w:rPr>
          <w:rFonts w:ascii="Times New Roman" w:hAnsi="Times New Roman"/>
          <w:bCs/>
          <w:szCs w:val="22"/>
        </w:rPr>
        <w:t>727</w:t>
      </w:r>
      <w:r w:rsidR="006F4BA2">
        <w:rPr>
          <w:rFonts w:ascii="Times New Roman" w:hAnsi="Times New Roman"/>
          <w:bCs/>
          <w:szCs w:val="22"/>
        </w:rPr>
        <w:t> </w:t>
      </w:r>
      <w:r w:rsidRPr="0085799C">
        <w:rPr>
          <w:rFonts w:ascii="Times New Roman" w:hAnsi="Times New Roman"/>
          <w:bCs/>
          <w:szCs w:val="22"/>
        </w:rPr>
        <w:t>570</w:t>
      </w:r>
      <w:r w:rsidR="006F4BA2">
        <w:rPr>
          <w:rFonts w:ascii="Times New Roman" w:hAnsi="Times New Roman"/>
          <w:bCs/>
          <w:szCs w:val="22"/>
        </w:rPr>
        <w:t> </w:t>
      </w:r>
      <w:r w:rsidRPr="0085799C">
        <w:rPr>
          <w:rFonts w:ascii="Times New Roman" w:hAnsi="Times New Roman"/>
          <w:bCs/>
          <w:szCs w:val="22"/>
        </w:rPr>
        <w:t>tis.</w:t>
      </w:r>
      <w:r w:rsidR="006F4BA2">
        <w:rPr>
          <w:rFonts w:ascii="Times New Roman" w:hAnsi="Times New Roman"/>
          <w:bCs/>
          <w:szCs w:val="22"/>
        </w:rPr>
        <w:t> </w:t>
      </w:r>
      <w:r w:rsidRPr="0085799C">
        <w:rPr>
          <w:rFonts w:ascii="Times New Roman" w:hAnsi="Times New Roman"/>
          <w:bCs/>
          <w:szCs w:val="22"/>
        </w:rPr>
        <w:t>eur. Zároveň sa musí podieľať na ďalších záručných m</w:t>
      </w:r>
      <w:r w:rsidR="00EF7BBE" w:rsidRPr="00BB0D4F">
        <w:rPr>
          <w:rFonts w:ascii="Times New Roman" w:hAnsi="Times New Roman"/>
          <w:szCs w:val="22"/>
        </w:rPr>
        <w:t>e</w:t>
      </w:r>
      <w:r w:rsidRPr="0085799C">
        <w:rPr>
          <w:rFonts w:ascii="Times New Roman" w:hAnsi="Times New Roman"/>
          <w:bCs/>
          <w:szCs w:val="22"/>
        </w:rPr>
        <w:t xml:space="preserve">chanizmoch potrebných na získanie AAA ratingu pre EFSF, napríklad aj poskytnutím dodatočných záruk EFSF do výšky 165 % svojho podielu na zárukách pre každú emisiu. K </w:t>
      </w:r>
      <w:r w:rsidR="00F418A2" w:rsidRPr="00BB0D4F">
        <w:rPr>
          <w:rFonts w:ascii="Times New Roman" w:hAnsi="Times New Roman"/>
          <w:szCs w:val="22"/>
        </w:rPr>
        <w:t>31.</w:t>
      </w:r>
      <w:r w:rsidR="00867606">
        <w:rPr>
          <w:rFonts w:ascii="Times New Roman" w:hAnsi="Times New Roman"/>
          <w:szCs w:val="22"/>
        </w:rPr>
        <w:t xml:space="preserve"> </w:t>
      </w:r>
      <w:r w:rsidR="00F418A2" w:rsidRPr="00BB0D4F">
        <w:rPr>
          <w:rFonts w:ascii="Times New Roman" w:hAnsi="Times New Roman"/>
          <w:szCs w:val="22"/>
        </w:rPr>
        <w:t>12.</w:t>
      </w:r>
      <w:r w:rsidR="00867606">
        <w:rPr>
          <w:rFonts w:ascii="Times New Roman" w:hAnsi="Times New Roman"/>
          <w:szCs w:val="22"/>
        </w:rPr>
        <w:t xml:space="preserve"> </w:t>
      </w:r>
      <w:r w:rsidR="00F418A2" w:rsidRPr="00BB0D4F">
        <w:rPr>
          <w:rFonts w:ascii="Times New Roman" w:hAnsi="Times New Roman"/>
          <w:szCs w:val="22"/>
        </w:rPr>
        <w:t>2024</w:t>
      </w:r>
      <w:r w:rsidRPr="0085799C">
        <w:rPr>
          <w:rFonts w:ascii="Times New Roman" w:hAnsi="Times New Roman"/>
          <w:bCs/>
          <w:szCs w:val="22"/>
        </w:rPr>
        <w:t xml:space="preserve"> bol stav záruk vystavených Slovenskou republikou vo výške 2</w:t>
      </w:r>
      <w:r w:rsidR="006F4BA2">
        <w:rPr>
          <w:rFonts w:ascii="Times New Roman" w:hAnsi="Times New Roman"/>
          <w:bCs/>
          <w:szCs w:val="22"/>
        </w:rPr>
        <w:t> </w:t>
      </w:r>
      <w:r w:rsidRPr="0085799C">
        <w:rPr>
          <w:rFonts w:ascii="Times New Roman" w:hAnsi="Times New Roman"/>
          <w:bCs/>
          <w:szCs w:val="22"/>
        </w:rPr>
        <w:t>281</w:t>
      </w:r>
      <w:r w:rsidR="006F4BA2">
        <w:rPr>
          <w:rFonts w:ascii="Times New Roman" w:hAnsi="Times New Roman"/>
          <w:bCs/>
          <w:szCs w:val="22"/>
        </w:rPr>
        <w:t> </w:t>
      </w:r>
      <w:r w:rsidRPr="0085799C">
        <w:rPr>
          <w:rFonts w:ascii="Times New Roman" w:hAnsi="Times New Roman"/>
          <w:bCs/>
          <w:szCs w:val="22"/>
        </w:rPr>
        <w:t>365</w:t>
      </w:r>
      <w:r w:rsidR="006F4BA2">
        <w:rPr>
          <w:rFonts w:ascii="Times New Roman" w:hAnsi="Times New Roman"/>
          <w:bCs/>
          <w:szCs w:val="22"/>
        </w:rPr>
        <w:t> </w:t>
      </w:r>
      <w:r w:rsidRPr="0085799C">
        <w:rPr>
          <w:rFonts w:ascii="Times New Roman" w:hAnsi="Times New Roman"/>
          <w:bCs/>
          <w:szCs w:val="22"/>
        </w:rPr>
        <w:t>tis.</w:t>
      </w:r>
      <w:r w:rsidR="006F4BA2" w:rsidRPr="006F4BA2">
        <w:rPr>
          <w:rFonts w:ascii="Times New Roman" w:hAnsi="Times New Roman"/>
          <w:bCs/>
          <w:szCs w:val="22"/>
        </w:rPr>
        <w:t xml:space="preserve"> </w:t>
      </w:r>
      <w:r w:rsidR="006F4BA2">
        <w:rPr>
          <w:rFonts w:ascii="Times New Roman" w:hAnsi="Times New Roman"/>
          <w:bCs/>
          <w:szCs w:val="22"/>
        </w:rPr>
        <w:t> </w:t>
      </w:r>
      <w:r w:rsidRPr="0085799C">
        <w:rPr>
          <w:rFonts w:ascii="Times New Roman" w:hAnsi="Times New Roman"/>
          <w:bCs/>
          <w:szCs w:val="22"/>
        </w:rPr>
        <w:t xml:space="preserve">eur. </w:t>
      </w:r>
    </w:p>
    <w:p w14:paraId="74126A7B" w14:textId="77777777" w:rsidR="001C352C" w:rsidRPr="00BB0D4F" w:rsidRDefault="001C352C" w:rsidP="0085799C">
      <w:pPr>
        <w:spacing w:after="120" w:line="240" w:lineRule="auto"/>
        <w:jc w:val="both"/>
        <w:rPr>
          <w:rFonts w:ascii="Times New Roman" w:hAnsi="Times New Roman"/>
          <w:szCs w:val="22"/>
        </w:rPr>
      </w:pPr>
      <w:r w:rsidRPr="0085799C">
        <w:rPr>
          <w:rFonts w:ascii="Times New Roman" w:hAnsi="Times New Roman"/>
          <w:bCs/>
          <w:szCs w:val="22"/>
        </w:rPr>
        <w:t>Európsky mechanizmus pre stabilitu (ďalej len „ESM“) tvorí súčasť druhej vlny balíka opatrení určených na poskytovanie pomoci členským štátom eurozóny ocitávajúcich sa vo vážnych finančných problémoch s cieľom zabezpečiť stabilitu eurozóny samotnej.</w:t>
      </w:r>
    </w:p>
    <w:p w14:paraId="2FDDA0D3" w14:textId="611C3A5D" w:rsidR="001C352C" w:rsidRPr="00BB0D4F" w:rsidRDefault="001C352C" w:rsidP="00BB0D4F">
      <w:pPr>
        <w:spacing w:after="120" w:line="240" w:lineRule="auto"/>
        <w:jc w:val="both"/>
        <w:rPr>
          <w:rFonts w:ascii="Times New Roman" w:hAnsi="Times New Roman"/>
          <w:szCs w:val="22"/>
        </w:rPr>
      </w:pPr>
      <w:r w:rsidRPr="0085799C">
        <w:rPr>
          <w:rFonts w:ascii="Times New Roman" w:hAnsi="Times New Roman"/>
          <w:szCs w:val="22"/>
          <w:u w:val="single"/>
        </w:rPr>
        <w:t>Európsky mechanizmus pre stabilitu (ESM)</w:t>
      </w:r>
      <w:r w:rsidRPr="0085799C">
        <w:rPr>
          <w:rFonts w:ascii="Times New Roman" w:hAnsi="Times New Roman"/>
          <w:bCs/>
          <w:szCs w:val="22"/>
        </w:rPr>
        <w:t xml:space="preserve"> je nasledovníkom EFSF, ktorý bol vytvorený na dobu určitú, t. j. do júna 2013. ESM bol založený ako medzivládna organizácia založená na základe medzivládnej zmluvy. Na rozdiel od EFSF, ktorý funguje na báze záruk za dlhopisy emitované EFSF, sa do ESM prispieva priamo, a to formou upisovania akcií na základnom imaní spoločnosti. Slovenská republika splatila svoj podiel na vlastnom imaní vo výške 793</w:t>
      </w:r>
      <w:r w:rsidR="006F4BA2">
        <w:rPr>
          <w:rFonts w:ascii="Times New Roman" w:hAnsi="Times New Roman"/>
          <w:bCs/>
          <w:szCs w:val="22"/>
        </w:rPr>
        <w:t> </w:t>
      </w:r>
      <w:r w:rsidRPr="0085799C">
        <w:rPr>
          <w:rFonts w:ascii="Times New Roman" w:hAnsi="Times New Roman"/>
          <w:bCs/>
          <w:szCs w:val="22"/>
        </w:rPr>
        <w:t>350</w:t>
      </w:r>
      <w:r w:rsidR="006F4BA2">
        <w:rPr>
          <w:rFonts w:ascii="Times New Roman" w:hAnsi="Times New Roman"/>
          <w:bCs/>
          <w:szCs w:val="22"/>
        </w:rPr>
        <w:t> </w:t>
      </w:r>
      <w:r w:rsidRPr="0085799C">
        <w:rPr>
          <w:rFonts w:ascii="Times New Roman" w:hAnsi="Times New Roman"/>
          <w:bCs/>
          <w:szCs w:val="22"/>
        </w:rPr>
        <w:t>tis.</w:t>
      </w:r>
      <w:r w:rsidR="006F4BA2">
        <w:rPr>
          <w:rFonts w:ascii="Times New Roman" w:hAnsi="Times New Roman"/>
          <w:bCs/>
          <w:szCs w:val="22"/>
        </w:rPr>
        <w:t> </w:t>
      </w:r>
      <w:r w:rsidRPr="0085799C">
        <w:rPr>
          <w:rFonts w:ascii="Times New Roman" w:hAnsi="Times New Roman"/>
          <w:bCs/>
          <w:szCs w:val="22"/>
        </w:rPr>
        <w:t>eur v šiestich splátkach. Slovenskej republike vypršala výnimka na kľúči na určenie príspevkov do ESM k 1.</w:t>
      </w:r>
      <w:r w:rsidR="00867606">
        <w:rPr>
          <w:rFonts w:ascii="Times New Roman" w:hAnsi="Times New Roman"/>
          <w:bCs/>
          <w:szCs w:val="22"/>
        </w:rPr>
        <w:t xml:space="preserve"> </w:t>
      </w:r>
      <w:r w:rsidRPr="0085799C">
        <w:rPr>
          <w:rFonts w:ascii="Times New Roman" w:hAnsi="Times New Roman"/>
          <w:bCs/>
          <w:szCs w:val="22"/>
        </w:rPr>
        <w:t>1.</w:t>
      </w:r>
      <w:r w:rsidR="00867606">
        <w:rPr>
          <w:rFonts w:ascii="Times New Roman" w:hAnsi="Times New Roman"/>
          <w:bCs/>
          <w:szCs w:val="22"/>
        </w:rPr>
        <w:t xml:space="preserve"> </w:t>
      </w:r>
      <w:r w:rsidRPr="0085799C">
        <w:rPr>
          <w:rFonts w:ascii="Times New Roman" w:hAnsi="Times New Roman"/>
          <w:bCs/>
          <w:szCs w:val="22"/>
        </w:rPr>
        <w:t>2021, ktorá bola udelená na obdobie dvanástich rokov od vstupu do eurozóny pre všetky krajiny, ktoré v čase vzniku ESM mali hodnotu HDP na obyvateľa nižšiu, ako je 75 % priemeru Európskej únie. Slovenská republi</w:t>
      </w:r>
      <w:r w:rsidR="009064FE" w:rsidRPr="00BB0D4F">
        <w:rPr>
          <w:rFonts w:ascii="Times New Roman" w:hAnsi="Times New Roman"/>
          <w:szCs w:val="22"/>
        </w:rPr>
        <w:t>k</w:t>
      </w:r>
      <w:r w:rsidRPr="0085799C">
        <w:rPr>
          <w:rFonts w:ascii="Times New Roman" w:hAnsi="Times New Roman"/>
          <w:bCs/>
          <w:szCs w:val="22"/>
        </w:rPr>
        <w:t>a preto uhradila 134</w:t>
      </w:r>
      <w:r w:rsidR="006F4BA2">
        <w:rPr>
          <w:rFonts w:ascii="Times New Roman" w:hAnsi="Times New Roman"/>
          <w:bCs/>
          <w:szCs w:val="22"/>
        </w:rPr>
        <w:t> </w:t>
      </w:r>
      <w:r w:rsidRPr="0085799C">
        <w:rPr>
          <w:rFonts w:ascii="Times New Roman" w:hAnsi="Times New Roman"/>
          <w:bCs/>
          <w:szCs w:val="22"/>
        </w:rPr>
        <w:t>150</w:t>
      </w:r>
      <w:r w:rsidR="006F4BA2">
        <w:rPr>
          <w:rFonts w:ascii="Times New Roman" w:hAnsi="Times New Roman"/>
          <w:bCs/>
          <w:szCs w:val="22"/>
        </w:rPr>
        <w:t> </w:t>
      </w:r>
      <w:r w:rsidRPr="0085799C">
        <w:rPr>
          <w:rFonts w:ascii="Times New Roman" w:hAnsi="Times New Roman"/>
          <w:bCs/>
          <w:szCs w:val="22"/>
        </w:rPr>
        <w:t>tis.</w:t>
      </w:r>
      <w:r w:rsidR="006F4BA2">
        <w:rPr>
          <w:rFonts w:ascii="Times New Roman" w:hAnsi="Times New Roman"/>
          <w:bCs/>
          <w:szCs w:val="22"/>
        </w:rPr>
        <w:t> </w:t>
      </w:r>
      <w:r w:rsidRPr="0085799C">
        <w:rPr>
          <w:rFonts w:ascii="Times New Roman" w:hAnsi="Times New Roman"/>
          <w:bCs/>
          <w:szCs w:val="22"/>
        </w:rPr>
        <w:t>eur v decembri 2020, čo upravilo kľúč na určenie príspevkov do ESM pre Slovenskú republiku na hodnotu 0,985 %. Navýšenie splatného kapitálu bolo schválené Národnou radou SR dňa 5.</w:t>
      </w:r>
      <w:r w:rsidR="00867606">
        <w:rPr>
          <w:rFonts w:ascii="Times New Roman" w:hAnsi="Times New Roman"/>
          <w:bCs/>
          <w:szCs w:val="22"/>
        </w:rPr>
        <w:t xml:space="preserve"> </w:t>
      </w:r>
      <w:r w:rsidRPr="0085799C">
        <w:rPr>
          <w:rFonts w:ascii="Times New Roman" w:hAnsi="Times New Roman"/>
          <w:bCs/>
          <w:szCs w:val="22"/>
        </w:rPr>
        <w:t>11.</w:t>
      </w:r>
      <w:r w:rsidR="00867606">
        <w:rPr>
          <w:rFonts w:ascii="Times New Roman" w:hAnsi="Times New Roman"/>
          <w:bCs/>
          <w:szCs w:val="22"/>
        </w:rPr>
        <w:t xml:space="preserve"> </w:t>
      </w:r>
      <w:r w:rsidRPr="0085799C">
        <w:rPr>
          <w:rFonts w:ascii="Times New Roman" w:hAnsi="Times New Roman"/>
          <w:bCs/>
          <w:szCs w:val="22"/>
        </w:rPr>
        <w:t>2020.</w:t>
      </w:r>
    </w:p>
    <w:p w14:paraId="599A76FD" w14:textId="0BC52C98" w:rsidR="0001099F" w:rsidRPr="00BB0D4F" w:rsidRDefault="001C352C" w:rsidP="00BB0D4F">
      <w:pPr>
        <w:spacing w:after="120" w:line="240" w:lineRule="auto"/>
        <w:jc w:val="both"/>
        <w:rPr>
          <w:rFonts w:ascii="Times New Roman" w:hAnsi="Times New Roman"/>
          <w:szCs w:val="22"/>
        </w:rPr>
      </w:pPr>
      <w:r w:rsidRPr="0085799C">
        <w:rPr>
          <w:rFonts w:ascii="Times New Roman" w:hAnsi="Times New Roman"/>
          <w:bCs/>
          <w:szCs w:val="22"/>
        </w:rPr>
        <w:t>Slovenská republika sa zároveň zaviazala, že v prípade, ak úroveň splateného imania klesne pod schválených 80</w:t>
      </w:r>
      <w:r w:rsidR="006F4BA2">
        <w:rPr>
          <w:rFonts w:ascii="Times New Roman" w:hAnsi="Times New Roman"/>
          <w:bCs/>
          <w:szCs w:val="22"/>
        </w:rPr>
        <w:t> </w:t>
      </w:r>
      <w:r w:rsidRPr="0085799C">
        <w:rPr>
          <w:rFonts w:ascii="Times New Roman" w:hAnsi="Times New Roman"/>
          <w:bCs/>
          <w:szCs w:val="22"/>
        </w:rPr>
        <w:t>000</w:t>
      </w:r>
      <w:r w:rsidR="006F4BA2">
        <w:rPr>
          <w:rFonts w:ascii="Times New Roman" w:hAnsi="Times New Roman"/>
          <w:bCs/>
          <w:szCs w:val="22"/>
        </w:rPr>
        <w:t> </w:t>
      </w:r>
      <w:r w:rsidRPr="0085799C">
        <w:rPr>
          <w:rFonts w:ascii="Times New Roman" w:hAnsi="Times New Roman"/>
          <w:bCs/>
          <w:szCs w:val="22"/>
        </w:rPr>
        <w:t>000</w:t>
      </w:r>
      <w:r w:rsidR="006F4BA2">
        <w:rPr>
          <w:rFonts w:ascii="Times New Roman" w:hAnsi="Times New Roman"/>
          <w:bCs/>
          <w:szCs w:val="22"/>
        </w:rPr>
        <w:t> </w:t>
      </w:r>
      <w:r w:rsidRPr="0085799C">
        <w:rPr>
          <w:rFonts w:ascii="Times New Roman" w:hAnsi="Times New Roman"/>
          <w:bCs/>
          <w:szCs w:val="22"/>
        </w:rPr>
        <w:t>tis.</w:t>
      </w:r>
      <w:r w:rsidR="00221930">
        <w:rPr>
          <w:rFonts w:ascii="Times New Roman" w:hAnsi="Times New Roman"/>
          <w:bCs/>
          <w:szCs w:val="22"/>
        </w:rPr>
        <w:t> </w:t>
      </w:r>
      <w:r w:rsidRPr="0085799C">
        <w:rPr>
          <w:rFonts w:ascii="Times New Roman" w:hAnsi="Times New Roman"/>
          <w:bCs/>
          <w:szCs w:val="22"/>
        </w:rPr>
        <w:t>eur absorbovaním strát ESM, Správna rada ESM vyzve akcionárov ESM na jeho splatenie (proces sa týka iba poklesu splateného imania, ktorý by mal v prípade jeho nedoplnenia za následok stratu „AAA“ ratingu ESM), alebo ak je potrebné zabrániť omeškaniu ESM v platení povinností voči svojim veriteľom, má generálny riaditeľ ESM právo vyzvať na úhradu upísaného základného imania prostredníctv</w:t>
      </w:r>
      <w:r w:rsidR="00924012" w:rsidRPr="00BB0D4F">
        <w:rPr>
          <w:rFonts w:ascii="Times New Roman" w:hAnsi="Times New Roman"/>
          <w:szCs w:val="22"/>
        </w:rPr>
        <w:t>o</w:t>
      </w:r>
      <w:r w:rsidRPr="0085799C">
        <w:rPr>
          <w:rFonts w:ascii="Times New Roman" w:hAnsi="Times New Roman"/>
          <w:bCs/>
          <w:szCs w:val="22"/>
        </w:rPr>
        <w:t>m výzvy. Súčet výziev Správnej rady ESM a/alebo generálneho riaditeľa ESM nemôže v prípade Slovenskej republiky presiahnuť sumu 6</w:t>
      </w:r>
      <w:r w:rsidR="00221930">
        <w:rPr>
          <w:rFonts w:ascii="Times New Roman" w:hAnsi="Times New Roman"/>
          <w:bCs/>
          <w:szCs w:val="22"/>
        </w:rPr>
        <w:t> </w:t>
      </w:r>
      <w:r w:rsidRPr="0085799C">
        <w:rPr>
          <w:rFonts w:ascii="Times New Roman" w:hAnsi="Times New Roman"/>
          <w:bCs/>
          <w:szCs w:val="22"/>
        </w:rPr>
        <w:t>144</w:t>
      </w:r>
      <w:r w:rsidR="00221930">
        <w:rPr>
          <w:rFonts w:ascii="Times New Roman" w:hAnsi="Times New Roman"/>
          <w:bCs/>
          <w:szCs w:val="22"/>
        </w:rPr>
        <w:t> </w:t>
      </w:r>
      <w:r w:rsidRPr="0085799C">
        <w:rPr>
          <w:rFonts w:ascii="Times New Roman" w:hAnsi="Times New Roman"/>
          <w:bCs/>
          <w:szCs w:val="22"/>
        </w:rPr>
        <w:t>110</w:t>
      </w:r>
      <w:r w:rsidR="00221930">
        <w:rPr>
          <w:rFonts w:ascii="Times New Roman" w:hAnsi="Times New Roman"/>
          <w:bCs/>
          <w:szCs w:val="22"/>
        </w:rPr>
        <w:t> </w:t>
      </w:r>
      <w:r w:rsidRPr="0085799C">
        <w:rPr>
          <w:rFonts w:ascii="Times New Roman" w:hAnsi="Times New Roman"/>
          <w:bCs/>
          <w:szCs w:val="22"/>
        </w:rPr>
        <w:t>tis.</w:t>
      </w:r>
      <w:r w:rsidR="00221930">
        <w:rPr>
          <w:rFonts w:ascii="Times New Roman" w:hAnsi="Times New Roman"/>
          <w:bCs/>
          <w:szCs w:val="22"/>
        </w:rPr>
        <w:t> </w:t>
      </w:r>
      <w:r w:rsidRPr="0085799C">
        <w:rPr>
          <w:rFonts w:ascii="Times New Roman" w:hAnsi="Times New Roman"/>
          <w:bCs/>
          <w:szCs w:val="22"/>
        </w:rPr>
        <w:t>eur.</w:t>
      </w:r>
    </w:p>
    <w:p w14:paraId="089F232F" w14:textId="510EA094" w:rsidR="00647542" w:rsidRPr="00BB0D4F" w:rsidRDefault="001C352C" w:rsidP="0085799C">
      <w:pPr>
        <w:spacing w:after="120" w:line="240" w:lineRule="auto"/>
        <w:jc w:val="both"/>
        <w:rPr>
          <w:rFonts w:ascii="Times New Roman" w:hAnsi="Times New Roman"/>
          <w:szCs w:val="22"/>
        </w:rPr>
      </w:pPr>
      <w:r w:rsidRPr="0085799C">
        <w:rPr>
          <w:rFonts w:ascii="Times New Roman" w:hAnsi="Times New Roman"/>
          <w:bCs/>
          <w:szCs w:val="22"/>
        </w:rPr>
        <w:t>Podľa informácie z ESM vklad – splatené základné imanie ESM k 31.</w:t>
      </w:r>
      <w:r w:rsidR="00867606">
        <w:rPr>
          <w:rFonts w:ascii="Times New Roman" w:hAnsi="Times New Roman"/>
          <w:bCs/>
          <w:szCs w:val="22"/>
        </w:rPr>
        <w:t xml:space="preserve"> </w:t>
      </w:r>
      <w:r w:rsidRPr="0085799C">
        <w:rPr>
          <w:rFonts w:ascii="Times New Roman" w:hAnsi="Times New Roman"/>
          <w:bCs/>
          <w:szCs w:val="22"/>
        </w:rPr>
        <w:t>12.</w:t>
      </w:r>
      <w:r w:rsidR="00867606">
        <w:rPr>
          <w:rFonts w:ascii="Times New Roman" w:hAnsi="Times New Roman"/>
          <w:bCs/>
          <w:szCs w:val="22"/>
        </w:rPr>
        <w:t xml:space="preserve"> </w:t>
      </w:r>
      <w:r w:rsidRPr="0085799C">
        <w:rPr>
          <w:rFonts w:ascii="Times New Roman" w:hAnsi="Times New Roman"/>
          <w:bCs/>
          <w:szCs w:val="22"/>
        </w:rPr>
        <w:t>2024 predstavuje 792</w:t>
      </w:r>
      <w:r w:rsidR="00221930">
        <w:rPr>
          <w:rFonts w:ascii="Times New Roman" w:hAnsi="Times New Roman"/>
          <w:bCs/>
          <w:szCs w:val="22"/>
        </w:rPr>
        <w:t> </w:t>
      </w:r>
      <w:r w:rsidRPr="0085799C">
        <w:rPr>
          <w:rFonts w:ascii="Times New Roman" w:hAnsi="Times New Roman"/>
          <w:bCs/>
          <w:szCs w:val="22"/>
        </w:rPr>
        <w:t>790</w:t>
      </w:r>
      <w:r w:rsidR="00221930">
        <w:rPr>
          <w:rFonts w:ascii="Times New Roman" w:hAnsi="Times New Roman"/>
          <w:bCs/>
          <w:szCs w:val="22"/>
        </w:rPr>
        <w:t> </w:t>
      </w:r>
      <w:r w:rsidRPr="0085799C">
        <w:rPr>
          <w:rFonts w:ascii="Times New Roman" w:hAnsi="Times New Roman"/>
          <w:bCs/>
          <w:szCs w:val="22"/>
        </w:rPr>
        <w:t>tis.</w:t>
      </w:r>
      <w:r w:rsidR="00221930">
        <w:rPr>
          <w:rFonts w:ascii="Times New Roman" w:hAnsi="Times New Roman"/>
          <w:bCs/>
          <w:szCs w:val="22"/>
        </w:rPr>
        <w:t> </w:t>
      </w:r>
      <w:r w:rsidRPr="0085799C">
        <w:rPr>
          <w:rFonts w:ascii="Times New Roman" w:hAnsi="Times New Roman"/>
          <w:bCs/>
          <w:szCs w:val="22"/>
        </w:rPr>
        <w:t>eur. Táto suma sa v najbližšej dobe bude meniť na základe rozhodnutia z 5.</w:t>
      </w:r>
      <w:r w:rsidR="00867606">
        <w:rPr>
          <w:rFonts w:ascii="Times New Roman" w:hAnsi="Times New Roman"/>
          <w:bCs/>
          <w:szCs w:val="22"/>
        </w:rPr>
        <w:t xml:space="preserve"> </w:t>
      </w:r>
      <w:r w:rsidR="00221930">
        <w:rPr>
          <w:rFonts w:ascii="Times New Roman" w:hAnsi="Times New Roman"/>
          <w:bCs/>
          <w:szCs w:val="22"/>
        </w:rPr>
        <w:t>12.</w:t>
      </w:r>
      <w:r w:rsidR="00867606">
        <w:rPr>
          <w:rFonts w:ascii="Times New Roman" w:hAnsi="Times New Roman"/>
          <w:bCs/>
          <w:szCs w:val="22"/>
        </w:rPr>
        <w:t xml:space="preserve"> </w:t>
      </w:r>
      <w:r w:rsidRPr="0085799C">
        <w:rPr>
          <w:rFonts w:ascii="Times New Roman" w:hAnsi="Times New Roman"/>
          <w:bCs/>
          <w:szCs w:val="22"/>
        </w:rPr>
        <w:t>2022, kedy sa Rada guvernérov ESM dohodla, že kľúč na určenie príspevkov do ESM sa pre všetky členské štáty upraví, keď sa členom stane ďalšia krajina, alebo najneskôr do 1.</w:t>
      </w:r>
      <w:r w:rsidR="00867606">
        <w:rPr>
          <w:rFonts w:ascii="Times New Roman" w:hAnsi="Times New Roman"/>
          <w:bCs/>
          <w:szCs w:val="22"/>
        </w:rPr>
        <w:t xml:space="preserve"> </w:t>
      </w:r>
      <w:r w:rsidR="00221930">
        <w:rPr>
          <w:rFonts w:ascii="Times New Roman" w:hAnsi="Times New Roman"/>
          <w:bCs/>
          <w:szCs w:val="22"/>
        </w:rPr>
        <w:t>1.</w:t>
      </w:r>
      <w:r w:rsidR="00867606">
        <w:rPr>
          <w:rFonts w:ascii="Times New Roman" w:hAnsi="Times New Roman"/>
          <w:bCs/>
          <w:szCs w:val="22"/>
        </w:rPr>
        <w:t xml:space="preserve"> </w:t>
      </w:r>
      <w:r w:rsidRPr="0085799C">
        <w:rPr>
          <w:rFonts w:ascii="Times New Roman" w:hAnsi="Times New Roman"/>
          <w:bCs/>
          <w:szCs w:val="22"/>
        </w:rPr>
        <w:t>2026, keď sa skončí dočasná korekcia pre Lotyšsko. O oboch návrhoch bude Rada guvernérov hlasovať na konci roka 2025. Očakáva sa teda, že príspevok Slovenska na upísaný a splatený kapitál sa od roku 2026 zvýši.</w:t>
      </w:r>
    </w:p>
    <w:p w14:paraId="0F55FDF6" w14:textId="1F566C67" w:rsidR="00386E87" w:rsidRPr="00BB0D4F" w:rsidRDefault="00386E87" w:rsidP="0085799C">
      <w:pPr>
        <w:spacing w:after="120" w:line="240" w:lineRule="auto"/>
        <w:jc w:val="both"/>
        <w:rPr>
          <w:rFonts w:ascii="Times New Roman" w:hAnsi="Times New Roman"/>
          <w:szCs w:val="22"/>
        </w:rPr>
      </w:pPr>
      <w:r w:rsidRPr="0085799C">
        <w:rPr>
          <w:rFonts w:ascii="Times New Roman" w:hAnsi="Times New Roman"/>
          <w:szCs w:val="22"/>
          <w:u w:val="single"/>
        </w:rPr>
        <w:t>Na základe Dohody o príspevku uzatvorenej medzi Slovenskou republikou a Európskou investičnou bankou (EIB)</w:t>
      </w:r>
      <w:r w:rsidRPr="00BB0D4F">
        <w:rPr>
          <w:rFonts w:ascii="Times New Roman" w:hAnsi="Times New Roman"/>
          <w:szCs w:val="22"/>
        </w:rPr>
        <w:t xml:space="preserve"> v súvislosti s Paneurópskym záručným fondom v reakcii na COVID-19 (ďalej len „EGF“), ktorá bola schválená uznesením vlády SR č. 473 zo dňa 15.</w:t>
      </w:r>
      <w:r w:rsidR="00867606">
        <w:rPr>
          <w:rFonts w:ascii="Times New Roman" w:hAnsi="Times New Roman"/>
          <w:szCs w:val="22"/>
        </w:rPr>
        <w:t xml:space="preserve"> </w:t>
      </w:r>
      <w:r w:rsidR="009E7215">
        <w:rPr>
          <w:rFonts w:ascii="Times New Roman" w:hAnsi="Times New Roman"/>
          <w:bCs/>
          <w:szCs w:val="22"/>
        </w:rPr>
        <w:t>7.</w:t>
      </w:r>
      <w:r w:rsidR="00867606">
        <w:rPr>
          <w:rFonts w:ascii="Times New Roman" w:hAnsi="Times New Roman"/>
          <w:bCs/>
          <w:szCs w:val="22"/>
        </w:rPr>
        <w:t xml:space="preserve"> </w:t>
      </w:r>
      <w:r w:rsidRPr="00BB0D4F">
        <w:rPr>
          <w:rFonts w:ascii="Times New Roman" w:hAnsi="Times New Roman"/>
          <w:szCs w:val="22"/>
        </w:rPr>
        <w:t>2020, vznikol Slovenskej republike záväzok na úhradu záruk splatných na vyzvanie zo strany EIB. V rokoch 2021 až 2023 bolo na základe pravidelných žiadostí o platbu realizovaných osem platieb, ktoré znížili pôvodný zmluvný záväzok vo výške 75</w:t>
      </w:r>
      <w:r w:rsidR="009E7215">
        <w:rPr>
          <w:rFonts w:ascii="Times New Roman" w:hAnsi="Times New Roman"/>
          <w:bCs/>
          <w:szCs w:val="22"/>
        </w:rPr>
        <w:t> </w:t>
      </w:r>
      <w:r w:rsidRPr="00BB0D4F">
        <w:rPr>
          <w:rFonts w:ascii="Times New Roman" w:hAnsi="Times New Roman"/>
          <w:szCs w:val="22"/>
        </w:rPr>
        <w:t>484</w:t>
      </w:r>
      <w:r w:rsidR="009E7215">
        <w:rPr>
          <w:rFonts w:ascii="Times New Roman" w:hAnsi="Times New Roman"/>
          <w:bCs/>
          <w:szCs w:val="22"/>
        </w:rPr>
        <w:t> </w:t>
      </w:r>
      <w:r w:rsidRPr="00BB0D4F">
        <w:rPr>
          <w:rFonts w:ascii="Times New Roman" w:hAnsi="Times New Roman"/>
          <w:szCs w:val="22"/>
        </w:rPr>
        <w:t>tis.</w:t>
      </w:r>
      <w:r w:rsidR="009E7215">
        <w:rPr>
          <w:rFonts w:ascii="Times New Roman" w:hAnsi="Times New Roman"/>
          <w:bCs/>
          <w:szCs w:val="22"/>
        </w:rPr>
        <w:t> </w:t>
      </w:r>
      <w:r w:rsidRPr="00BB0D4F">
        <w:rPr>
          <w:rFonts w:ascii="Times New Roman" w:hAnsi="Times New Roman"/>
          <w:szCs w:val="22"/>
        </w:rPr>
        <w:t>eur. V roku 2024 bola najskôr realizovaná ďalšia platba vo výške 172</w:t>
      </w:r>
      <w:r w:rsidR="009E7215">
        <w:rPr>
          <w:rFonts w:ascii="Times New Roman" w:hAnsi="Times New Roman"/>
          <w:bCs/>
          <w:szCs w:val="22"/>
        </w:rPr>
        <w:t> </w:t>
      </w:r>
      <w:r w:rsidRPr="00BB0D4F">
        <w:rPr>
          <w:rFonts w:ascii="Times New Roman" w:hAnsi="Times New Roman"/>
          <w:szCs w:val="22"/>
        </w:rPr>
        <w:t>tis.</w:t>
      </w:r>
      <w:r w:rsidR="009E7215">
        <w:rPr>
          <w:rFonts w:ascii="Times New Roman" w:hAnsi="Times New Roman"/>
          <w:bCs/>
          <w:szCs w:val="22"/>
        </w:rPr>
        <w:t> </w:t>
      </w:r>
      <w:r w:rsidRPr="00BB0D4F">
        <w:rPr>
          <w:rFonts w:ascii="Times New Roman" w:hAnsi="Times New Roman"/>
          <w:szCs w:val="22"/>
        </w:rPr>
        <w:t>eur a následne na základe rozhodnutia Výboru prispievateľov z 20. novembra 2023 došlo k 31.</w:t>
      </w:r>
      <w:r w:rsidR="00867606">
        <w:rPr>
          <w:rFonts w:ascii="Times New Roman" w:hAnsi="Times New Roman"/>
          <w:szCs w:val="22"/>
        </w:rPr>
        <w:t xml:space="preserve"> </w:t>
      </w:r>
      <w:r w:rsidR="009E7215">
        <w:rPr>
          <w:rFonts w:ascii="Times New Roman" w:hAnsi="Times New Roman"/>
          <w:bCs/>
          <w:szCs w:val="22"/>
        </w:rPr>
        <w:t>1.</w:t>
      </w:r>
      <w:r w:rsidR="00867606">
        <w:rPr>
          <w:rFonts w:ascii="Times New Roman" w:hAnsi="Times New Roman"/>
          <w:bCs/>
          <w:szCs w:val="22"/>
        </w:rPr>
        <w:t xml:space="preserve"> </w:t>
      </w:r>
      <w:r w:rsidRPr="00BB0D4F">
        <w:rPr>
          <w:rFonts w:ascii="Times New Roman" w:hAnsi="Times New Roman"/>
          <w:szCs w:val="22"/>
        </w:rPr>
        <w:t>2024 k zníženiu celkového objemu EGF z dôvodu nevyužitia celkových plánovaných zdrojov. Celková veľkosť fondu bola zredukovaná, a tým bol zároveň znížený aj celkový implicitný záväzok SR voči EIB z titulu EGF na úroveň 56</w:t>
      </w:r>
      <w:r w:rsidR="009E7215">
        <w:rPr>
          <w:rFonts w:ascii="Times New Roman" w:hAnsi="Times New Roman"/>
          <w:bCs/>
          <w:szCs w:val="22"/>
        </w:rPr>
        <w:t> </w:t>
      </w:r>
      <w:r w:rsidRPr="00BB0D4F">
        <w:rPr>
          <w:rFonts w:ascii="Times New Roman" w:hAnsi="Times New Roman"/>
          <w:szCs w:val="22"/>
        </w:rPr>
        <w:t>907</w:t>
      </w:r>
      <w:r w:rsidR="009E7215">
        <w:rPr>
          <w:rFonts w:ascii="Times New Roman" w:hAnsi="Times New Roman"/>
          <w:bCs/>
          <w:szCs w:val="22"/>
        </w:rPr>
        <w:t> </w:t>
      </w:r>
      <w:r w:rsidRPr="00BB0D4F">
        <w:rPr>
          <w:rFonts w:ascii="Times New Roman" w:hAnsi="Times New Roman"/>
          <w:szCs w:val="22"/>
        </w:rPr>
        <w:t>tis.</w:t>
      </w:r>
      <w:r w:rsidR="009E7215">
        <w:rPr>
          <w:rFonts w:ascii="Times New Roman" w:hAnsi="Times New Roman"/>
          <w:bCs/>
          <w:szCs w:val="22"/>
        </w:rPr>
        <w:t> </w:t>
      </w:r>
      <w:r w:rsidRPr="00BB0D4F">
        <w:rPr>
          <w:rFonts w:ascii="Times New Roman" w:hAnsi="Times New Roman"/>
          <w:szCs w:val="22"/>
        </w:rPr>
        <w:t>eur, pričom podiel SR na EGF je identický s podielom SR na kapitále EIB (0,31</w:t>
      </w:r>
      <w:r w:rsidR="00867606">
        <w:rPr>
          <w:rFonts w:ascii="Times New Roman" w:hAnsi="Times New Roman"/>
          <w:szCs w:val="22"/>
        </w:rPr>
        <w:t xml:space="preserve"> </w:t>
      </w:r>
      <w:r w:rsidRPr="00BB0D4F">
        <w:rPr>
          <w:rFonts w:ascii="Times New Roman" w:hAnsi="Times New Roman"/>
          <w:szCs w:val="22"/>
        </w:rPr>
        <w:t>%). Od apríla do decembra 2024 boli na základe žiadostí o platbu realizované ďalšie tri platby v celkovom objeme 868</w:t>
      </w:r>
      <w:r w:rsidR="009E7215">
        <w:rPr>
          <w:rFonts w:ascii="Times New Roman" w:hAnsi="Times New Roman"/>
          <w:bCs/>
          <w:szCs w:val="22"/>
        </w:rPr>
        <w:t> </w:t>
      </w:r>
      <w:r w:rsidRPr="00BB0D4F">
        <w:rPr>
          <w:rFonts w:ascii="Times New Roman" w:hAnsi="Times New Roman"/>
          <w:szCs w:val="22"/>
        </w:rPr>
        <w:t>tis.</w:t>
      </w:r>
      <w:r w:rsidR="009E7215">
        <w:rPr>
          <w:rFonts w:ascii="Times New Roman" w:hAnsi="Times New Roman"/>
          <w:bCs/>
          <w:szCs w:val="22"/>
        </w:rPr>
        <w:t> </w:t>
      </w:r>
      <w:r w:rsidRPr="00BB0D4F">
        <w:rPr>
          <w:rFonts w:ascii="Times New Roman" w:hAnsi="Times New Roman"/>
          <w:szCs w:val="22"/>
        </w:rPr>
        <w:t>eur. Stav k 31.</w:t>
      </w:r>
      <w:r w:rsidR="00867606">
        <w:rPr>
          <w:rFonts w:ascii="Times New Roman" w:hAnsi="Times New Roman"/>
          <w:szCs w:val="22"/>
        </w:rPr>
        <w:t xml:space="preserve"> </w:t>
      </w:r>
      <w:r w:rsidR="009E7215">
        <w:rPr>
          <w:rFonts w:ascii="Times New Roman" w:hAnsi="Times New Roman"/>
          <w:bCs/>
          <w:szCs w:val="22"/>
        </w:rPr>
        <w:t>12.</w:t>
      </w:r>
      <w:r w:rsidR="00867606">
        <w:rPr>
          <w:rFonts w:ascii="Times New Roman" w:hAnsi="Times New Roman"/>
          <w:bCs/>
          <w:szCs w:val="22"/>
        </w:rPr>
        <w:t xml:space="preserve"> </w:t>
      </w:r>
      <w:r w:rsidRPr="00BB0D4F">
        <w:rPr>
          <w:rFonts w:ascii="Times New Roman" w:hAnsi="Times New Roman"/>
          <w:szCs w:val="22"/>
        </w:rPr>
        <w:t>2024 bol vo výške 56</w:t>
      </w:r>
      <w:r w:rsidR="009E7215">
        <w:rPr>
          <w:rFonts w:ascii="Times New Roman" w:hAnsi="Times New Roman"/>
          <w:bCs/>
          <w:szCs w:val="22"/>
        </w:rPr>
        <w:t> </w:t>
      </w:r>
      <w:r w:rsidRPr="00BB0D4F">
        <w:rPr>
          <w:rFonts w:ascii="Times New Roman" w:hAnsi="Times New Roman"/>
          <w:szCs w:val="22"/>
        </w:rPr>
        <w:t>038</w:t>
      </w:r>
      <w:r w:rsidR="009E7215">
        <w:rPr>
          <w:rFonts w:ascii="Times New Roman" w:hAnsi="Times New Roman"/>
          <w:bCs/>
          <w:szCs w:val="22"/>
        </w:rPr>
        <w:t> </w:t>
      </w:r>
      <w:r w:rsidRPr="00BB0D4F">
        <w:rPr>
          <w:rFonts w:ascii="Times New Roman" w:hAnsi="Times New Roman"/>
          <w:szCs w:val="22"/>
        </w:rPr>
        <w:t>tis.</w:t>
      </w:r>
      <w:r w:rsidR="009E7215">
        <w:rPr>
          <w:rFonts w:ascii="Times New Roman" w:hAnsi="Times New Roman"/>
          <w:bCs/>
          <w:szCs w:val="22"/>
        </w:rPr>
        <w:t xml:space="preserve"> </w:t>
      </w:r>
      <w:r w:rsidRPr="00BB0D4F">
        <w:rPr>
          <w:rFonts w:ascii="Times New Roman" w:hAnsi="Times New Roman"/>
          <w:szCs w:val="22"/>
        </w:rPr>
        <w:t>eur.</w:t>
      </w:r>
    </w:p>
    <w:p w14:paraId="2B1FBEE2" w14:textId="2D68BB8C" w:rsidR="00386E87" w:rsidRPr="0026208F" w:rsidRDefault="00386E87" w:rsidP="0085799C">
      <w:pPr>
        <w:spacing w:after="120" w:line="240" w:lineRule="auto"/>
        <w:jc w:val="both"/>
        <w:rPr>
          <w:rFonts w:ascii="Times New Roman" w:hAnsi="Times New Roman"/>
          <w:szCs w:val="22"/>
        </w:rPr>
      </w:pPr>
      <w:r w:rsidRPr="0085799C">
        <w:rPr>
          <w:rFonts w:ascii="Times New Roman" w:hAnsi="Times New Roman"/>
          <w:szCs w:val="22"/>
          <w:u w:val="single"/>
        </w:rPr>
        <w:t>Na základe Dohody o príspevku medzi Európskou investičnou bankou (EIB) a Slovenskou republikou</w:t>
      </w:r>
      <w:r w:rsidRPr="00BB0D4F">
        <w:rPr>
          <w:rFonts w:ascii="Times New Roman" w:hAnsi="Times New Roman"/>
          <w:szCs w:val="22"/>
        </w:rPr>
        <w:t xml:space="preserve"> a Dohody o záruke medzi pôvodnými ručiteľmi a priebežne pristupujúcimi ručiteľmi a EIB v súvislosti s Fondom Európskej únie pre Ukrajinu (EU4U), ktoré boli schválené uznesením vlády č. 572/2024 z 2. </w:t>
      </w:r>
      <w:r w:rsidRPr="00BB0D4F">
        <w:rPr>
          <w:rFonts w:ascii="Times New Roman" w:hAnsi="Times New Roman"/>
          <w:szCs w:val="22"/>
        </w:rPr>
        <w:lastRenderedPageBreak/>
        <w:t>októbra 2024, bol zaevidovaný podmienený záväzok vo výške 5</w:t>
      </w:r>
      <w:r w:rsidR="009E7215">
        <w:rPr>
          <w:rFonts w:ascii="Times New Roman" w:hAnsi="Times New Roman"/>
          <w:bCs/>
          <w:szCs w:val="22"/>
        </w:rPr>
        <w:t> </w:t>
      </w:r>
      <w:r w:rsidRPr="00BB0D4F">
        <w:rPr>
          <w:rFonts w:ascii="Times New Roman" w:hAnsi="Times New Roman"/>
          <w:szCs w:val="22"/>
        </w:rPr>
        <w:t>000</w:t>
      </w:r>
      <w:r w:rsidR="009E7215">
        <w:rPr>
          <w:rFonts w:ascii="Times New Roman" w:hAnsi="Times New Roman"/>
          <w:bCs/>
          <w:szCs w:val="22"/>
        </w:rPr>
        <w:t> </w:t>
      </w:r>
      <w:r w:rsidRPr="00BB0D4F">
        <w:rPr>
          <w:rFonts w:ascii="Times New Roman" w:hAnsi="Times New Roman"/>
          <w:szCs w:val="22"/>
        </w:rPr>
        <w:t>tis.</w:t>
      </w:r>
      <w:r w:rsidR="009E7215">
        <w:rPr>
          <w:rFonts w:ascii="Times New Roman" w:hAnsi="Times New Roman"/>
          <w:bCs/>
          <w:szCs w:val="22"/>
        </w:rPr>
        <w:t> </w:t>
      </w:r>
      <w:r w:rsidRPr="00BB0D4F">
        <w:rPr>
          <w:rFonts w:ascii="Times New Roman" w:hAnsi="Times New Roman"/>
          <w:szCs w:val="22"/>
        </w:rPr>
        <w:t xml:space="preserve">eur. Pôvodný zmluvný záväzok bol v roku 2024 znížený prvou platbou vo výške 147 tis. eur na základe žiadosti o platbu zo strany EIB. </w:t>
      </w:r>
      <w:r w:rsidRPr="0026208F">
        <w:rPr>
          <w:rFonts w:ascii="Times New Roman" w:hAnsi="Times New Roman"/>
          <w:szCs w:val="22"/>
        </w:rPr>
        <w:t>Stav k 31.</w:t>
      </w:r>
      <w:r w:rsidR="00867606">
        <w:rPr>
          <w:rFonts w:ascii="Times New Roman" w:hAnsi="Times New Roman"/>
          <w:szCs w:val="22"/>
        </w:rPr>
        <w:t xml:space="preserve"> </w:t>
      </w:r>
      <w:r w:rsidR="009E7215" w:rsidRPr="0026208F">
        <w:rPr>
          <w:rFonts w:ascii="Times New Roman" w:hAnsi="Times New Roman"/>
          <w:bCs/>
          <w:szCs w:val="22"/>
        </w:rPr>
        <w:t>12.</w:t>
      </w:r>
      <w:r w:rsidR="00867606">
        <w:rPr>
          <w:rFonts w:ascii="Times New Roman" w:hAnsi="Times New Roman"/>
          <w:bCs/>
          <w:szCs w:val="22"/>
        </w:rPr>
        <w:t xml:space="preserve"> </w:t>
      </w:r>
      <w:r w:rsidRPr="0026208F">
        <w:rPr>
          <w:rFonts w:ascii="Times New Roman" w:hAnsi="Times New Roman"/>
          <w:szCs w:val="22"/>
        </w:rPr>
        <w:t>2024 bol vo výške 4</w:t>
      </w:r>
      <w:r w:rsidR="009E7215" w:rsidRPr="0026208F">
        <w:rPr>
          <w:rFonts w:ascii="Times New Roman" w:hAnsi="Times New Roman"/>
          <w:bCs/>
          <w:szCs w:val="22"/>
        </w:rPr>
        <w:t> </w:t>
      </w:r>
      <w:r w:rsidRPr="0026208F">
        <w:rPr>
          <w:rFonts w:ascii="Times New Roman" w:hAnsi="Times New Roman"/>
          <w:szCs w:val="22"/>
        </w:rPr>
        <w:t>853</w:t>
      </w:r>
      <w:r w:rsidR="009E7215" w:rsidRPr="0026208F">
        <w:rPr>
          <w:rFonts w:ascii="Times New Roman" w:hAnsi="Times New Roman"/>
          <w:bCs/>
          <w:szCs w:val="22"/>
        </w:rPr>
        <w:t> </w:t>
      </w:r>
      <w:r w:rsidRPr="0026208F">
        <w:rPr>
          <w:rFonts w:ascii="Times New Roman" w:hAnsi="Times New Roman"/>
          <w:szCs w:val="22"/>
        </w:rPr>
        <w:t>tis.</w:t>
      </w:r>
      <w:r w:rsidR="009E7215" w:rsidRPr="0026208F">
        <w:rPr>
          <w:rFonts w:ascii="Times New Roman" w:hAnsi="Times New Roman"/>
          <w:bCs/>
          <w:szCs w:val="22"/>
        </w:rPr>
        <w:t> </w:t>
      </w:r>
      <w:r w:rsidRPr="0026208F">
        <w:rPr>
          <w:rFonts w:ascii="Times New Roman" w:hAnsi="Times New Roman"/>
          <w:szCs w:val="22"/>
        </w:rPr>
        <w:t>eur.</w:t>
      </w:r>
    </w:p>
    <w:p w14:paraId="2921D09B" w14:textId="3414D34C" w:rsidR="001C352C" w:rsidRPr="00BB0D4F" w:rsidRDefault="00386E87" w:rsidP="0085799C">
      <w:pPr>
        <w:spacing w:after="120" w:line="240" w:lineRule="auto"/>
        <w:jc w:val="both"/>
        <w:rPr>
          <w:rFonts w:ascii="Times New Roman" w:hAnsi="Times New Roman"/>
          <w:szCs w:val="22"/>
        </w:rPr>
      </w:pPr>
      <w:r w:rsidRPr="0085799C">
        <w:rPr>
          <w:rFonts w:ascii="Times New Roman" w:hAnsi="Times New Roman"/>
          <w:szCs w:val="22"/>
          <w:u w:val="single"/>
        </w:rPr>
        <w:t>Kapitálová účasť v Medzinárodnej banke pre obnovu a rozvoj (IBRD)</w:t>
      </w:r>
      <w:r w:rsidRPr="0026208F">
        <w:rPr>
          <w:rFonts w:ascii="Times New Roman" w:hAnsi="Times New Roman"/>
          <w:bCs/>
          <w:szCs w:val="22"/>
        </w:rPr>
        <w:t>. Slovenská republika sa k navýšeniu základného imania IBRD zaviazala vo februári 2019, v rámci ktorého upísala do konca roku 2023 celkovo 11</w:t>
      </w:r>
      <w:r w:rsidR="00C53553" w:rsidRPr="0026208F">
        <w:rPr>
          <w:rFonts w:ascii="Times New Roman" w:hAnsi="Times New Roman"/>
          <w:bCs/>
          <w:szCs w:val="22"/>
        </w:rPr>
        <w:t> </w:t>
      </w:r>
      <w:r w:rsidRPr="0026208F">
        <w:rPr>
          <w:rFonts w:ascii="Times New Roman" w:hAnsi="Times New Roman"/>
          <w:bCs/>
          <w:szCs w:val="22"/>
        </w:rPr>
        <w:t>827</w:t>
      </w:r>
      <w:r w:rsidR="00C53553" w:rsidRPr="0026208F">
        <w:rPr>
          <w:rFonts w:ascii="Times New Roman" w:hAnsi="Times New Roman"/>
          <w:bCs/>
          <w:szCs w:val="22"/>
        </w:rPr>
        <w:t> </w:t>
      </w:r>
      <w:r w:rsidRPr="0026208F">
        <w:rPr>
          <w:rFonts w:ascii="Times New Roman" w:hAnsi="Times New Roman"/>
          <w:bCs/>
          <w:szCs w:val="22"/>
        </w:rPr>
        <w:t>tis.</w:t>
      </w:r>
      <w:r w:rsidR="00C53553" w:rsidRPr="0026208F">
        <w:rPr>
          <w:rFonts w:ascii="Times New Roman" w:hAnsi="Times New Roman"/>
          <w:bCs/>
          <w:szCs w:val="22"/>
        </w:rPr>
        <w:t> </w:t>
      </w:r>
      <w:r w:rsidRPr="0026208F">
        <w:rPr>
          <w:rFonts w:ascii="Times New Roman" w:hAnsi="Times New Roman"/>
          <w:bCs/>
          <w:szCs w:val="22"/>
        </w:rPr>
        <w:t>USD v piatich splátkach, pričom výška kapitálovej účasti Slovenskej republiky je celkovo 41</w:t>
      </w:r>
      <w:r w:rsidR="00D3023D" w:rsidRPr="0026208F">
        <w:rPr>
          <w:rFonts w:ascii="Times New Roman" w:hAnsi="Times New Roman"/>
          <w:bCs/>
          <w:szCs w:val="22"/>
        </w:rPr>
        <w:t> </w:t>
      </w:r>
      <w:r w:rsidRPr="0026208F">
        <w:rPr>
          <w:rFonts w:ascii="Times New Roman" w:hAnsi="Times New Roman"/>
          <w:bCs/>
          <w:szCs w:val="22"/>
        </w:rPr>
        <w:t>009</w:t>
      </w:r>
      <w:r w:rsidR="00D3023D" w:rsidRPr="0026208F">
        <w:rPr>
          <w:rFonts w:ascii="Times New Roman" w:hAnsi="Times New Roman"/>
          <w:bCs/>
          <w:szCs w:val="22"/>
        </w:rPr>
        <w:t> </w:t>
      </w:r>
      <w:r w:rsidRPr="0026208F">
        <w:rPr>
          <w:rFonts w:ascii="Times New Roman" w:hAnsi="Times New Roman"/>
          <w:bCs/>
          <w:szCs w:val="22"/>
        </w:rPr>
        <w:t>tis.</w:t>
      </w:r>
      <w:r w:rsidR="00D3023D" w:rsidRPr="0026208F">
        <w:rPr>
          <w:rFonts w:ascii="Times New Roman" w:hAnsi="Times New Roman"/>
          <w:bCs/>
          <w:szCs w:val="22"/>
        </w:rPr>
        <w:t> </w:t>
      </w:r>
      <w:r w:rsidRPr="0026208F">
        <w:rPr>
          <w:rFonts w:ascii="Times New Roman" w:hAnsi="Times New Roman"/>
          <w:bCs/>
          <w:szCs w:val="22"/>
        </w:rPr>
        <w:t>USD. Oproti roku 2023 sa účasť Slovenskej republiky na základnom imaní nezmenila (536</w:t>
      </w:r>
      <w:r w:rsidR="00D3023D" w:rsidRPr="0026208F">
        <w:rPr>
          <w:rFonts w:ascii="Times New Roman" w:hAnsi="Times New Roman"/>
          <w:bCs/>
          <w:szCs w:val="22"/>
        </w:rPr>
        <w:t> </w:t>
      </w:r>
      <w:r w:rsidRPr="0026208F">
        <w:rPr>
          <w:rFonts w:ascii="Times New Roman" w:hAnsi="Times New Roman"/>
          <w:bCs/>
          <w:szCs w:val="22"/>
        </w:rPr>
        <w:t>229</w:t>
      </w:r>
      <w:r w:rsidR="00D3023D" w:rsidRPr="0026208F">
        <w:rPr>
          <w:rFonts w:ascii="Times New Roman" w:hAnsi="Times New Roman"/>
          <w:bCs/>
          <w:szCs w:val="22"/>
        </w:rPr>
        <w:t> </w:t>
      </w:r>
      <w:r w:rsidRPr="0026208F">
        <w:rPr>
          <w:rFonts w:ascii="Times New Roman" w:hAnsi="Times New Roman"/>
          <w:bCs/>
          <w:szCs w:val="22"/>
        </w:rPr>
        <w:t>tis.</w:t>
      </w:r>
      <w:r w:rsidR="00D3023D" w:rsidRPr="0026208F">
        <w:rPr>
          <w:rFonts w:ascii="Times New Roman" w:hAnsi="Times New Roman"/>
          <w:bCs/>
          <w:szCs w:val="22"/>
        </w:rPr>
        <w:t> </w:t>
      </w:r>
      <w:r w:rsidRPr="0026208F">
        <w:rPr>
          <w:rFonts w:ascii="Times New Roman" w:hAnsi="Times New Roman"/>
          <w:bCs/>
          <w:szCs w:val="22"/>
        </w:rPr>
        <w:t>USD) ale zvýšila sa o kurzové rozdiely vo výške 30</w:t>
      </w:r>
      <w:r w:rsidR="00D3023D" w:rsidRPr="0026208F">
        <w:rPr>
          <w:rFonts w:ascii="Times New Roman" w:hAnsi="Times New Roman"/>
          <w:bCs/>
          <w:szCs w:val="22"/>
        </w:rPr>
        <w:t> </w:t>
      </w:r>
      <w:r w:rsidRPr="0026208F">
        <w:rPr>
          <w:rFonts w:ascii="Times New Roman" w:hAnsi="Times New Roman"/>
          <w:bCs/>
          <w:szCs w:val="22"/>
        </w:rPr>
        <w:t>876</w:t>
      </w:r>
      <w:r w:rsidR="00D3023D" w:rsidRPr="0026208F">
        <w:rPr>
          <w:rFonts w:ascii="Times New Roman" w:hAnsi="Times New Roman"/>
          <w:bCs/>
          <w:szCs w:val="22"/>
        </w:rPr>
        <w:t> </w:t>
      </w:r>
      <w:r w:rsidRPr="0026208F">
        <w:rPr>
          <w:rFonts w:ascii="Times New Roman" w:hAnsi="Times New Roman"/>
          <w:bCs/>
          <w:szCs w:val="22"/>
        </w:rPr>
        <w:t>tis.</w:t>
      </w:r>
      <w:r w:rsidR="00D3023D" w:rsidRPr="0026208F">
        <w:rPr>
          <w:rFonts w:ascii="Times New Roman" w:hAnsi="Times New Roman"/>
          <w:bCs/>
          <w:szCs w:val="22"/>
        </w:rPr>
        <w:t> </w:t>
      </w:r>
      <w:r w:rsidRPr="0026208F">
        <w:rPr>
          <w:rFonts w:ascii="Times New Roman" w:hAnsi="Times New Roman"/>
          <w:bCs/>
          <w:szCs w:val="22"/>
        </w:rPr>
        <w:t>eur.</w:t>
      </w:r>
    </w:p>
    <w:p w14:paraId="436D610C" w14:textId="77777777" w:rsidR="001C352C" w:rsidRPr="00BB0D4F" w:rsidRDefault="001C352C" w:rsidP="0085799C">
      <w:pPr>
        <w:spacing w:after="120" w:line="240" w:lineRule="auto"/>
        <w:jc w:val="both"/>
        <w:rPr>
          <w:rFonts w:ascii="Times New Roman" w:hAnsi="Times New Roman"/>
          <w:szCs w:val="22"/>
          <w:highlight w:val="yellow"/>
        </w:rPr>
      </w:pPr>
    </w:p>
    <w:p w14:paraId="2D96CB2D" w14:textId="77777777" w:rsidR="000515E5" w:rsidRPr="0085799C" w:rsidRDefault="000515E5" w:rsidP="0085799C">
      <w:pPr>
        <w:spacing w:after="120" w:line="240" w:lineRule="auto"/>
        <w:jc w:val="both"/>
        <w:rPr>
          <w:rFonts w:ascii="Times New Roman" w:hAnsi="Times New Roman"/>
          <w:b/>
        </w:rPr>
      </w:pPr>
      <w:r w:rsidRPr="0085799C">
        <w:rPr>
          <w:rFonts w:ascii="Times New Roman" w:hAnsi="Times New Roman"/>
          <w:b/>
        </w:rPr>
        <w:t>Arbitrážne konania</w:t>
      </w:r>
    </w:p>
    <w:p w14:paraId="2794002C" w14:textId="40C6BDB8" w:rsidR="00AF4CC3" w:rsidRPr="00BB0D4F" w:rsidRDefault="000515E5" w:rsidP="0085799C">
      <w:pPr>
        <w:spacing w:after="120" w:line="240" w:lineRule="auto"/>
        <w:jc w:val="both"/>
        <w:rPr>
          <w:rFonts w:ascii="Times New Roman" w:hAnsi="Times New Roman"/>
          <w:szCs w:val="22"/>
          <w:highlight w:val="yellow"/>
        </w:rPr>
      </w:pPr>
      <w:r w:rsidRPr="00BB0D4F">
        <w:rPr>
          <w:rFonts w:ascii="Times New Roman" w:hAnsi="Times New Roman"/>
          <w:szCs w:val="22"/>
        </w:rPr>
        <w:t xml:space="preserve">Arbitráž je vedená so spoločnosťou </w:t>
      </w:r>
      <w:proofErr w:type="spellStart"/>
      <w:r w:rsidRPr="00BB0D4F">
        <w:rPr>
          <w:rFonts w:ascii="Times New Roman" w:hAnsi="Times New Roman"/>
          <w:szCs w:val="22"/>
        </w:rPr>
        <w:t>Achmea</w:t>
      </w:r>
      <w:proofErr w:type="spellEnd"/>
      <w:r w:rsidRPr="00BB0D4F">
        <w:rPr>
          <w:rFonts w:ascii="Times New Roman" w:hAnsi="Times New Roman"/>
          <w:szCs w:val="22"/>
        </w:rPr>
        <w:t xml:space="preserve"> B.V. z dôvodu zákazu zisku zdravotných poisťovní v roku 2007. V tejto arbitráži, vedenej podľa bilaterálnej investičnej dohody medzi SR a Holandským kráľovstvom, bol v decembri 2012 vydaný rozsudok, ktorým arbitrážny tribunál nariadil SR zaplatiť žalobcovi – holandskej spoločnosti </w:t>
      </w:r>
      <w:proofErr w:type="spellStart"/>
      <w:r w:rsidRPr="00BB0D4F">
        <w:rPr>
          <w:rFonts w:ascii="Times New Roman" w:hAnsi="Times New Roman"/>
          <w:szCs w:val="22"/>
        </w:rPr>
        <w:t>Achmea</w:t>
      </w:r>
      <w:proofErr w:type="spellEnd"/>
      <w:r w:rsidRPr="00BB0D4F">
        <w:rPr>
          <w:rFonts w:ascii="Times New Roman" w:hAnsi="Times New Roman"/>
          <w:szCs w:val="22"/>
        </w:rPr>
        <w:t xml:space="preserve"> B.V. – odškodnenie vo výške cca 25 200 tis. eur plus úroky vo výške cca 2 900 tis. eur. Konanie o zrušení tohto rozsudku ako aj jurisdikčného rozhodnutia v tomto spore bolo právoplatne ukončené rozhodnutím Najvyššieho spolkového súdu v Nemecku dňa 31. októbra 2018, čím bol arbitrážny rozsudok ako taký zrušený. </w:t>
      </w:r>
      <w:proofErr w:type="spellStart"/>
      <w:r w:rsidRPr="00BB0D4F">
        <w:rPr>
          <w:rFonts w:ascii="Times New Roman" w:hAnsi="Times New Roman"/>
          <w:szCs w:val="22"/>
        </w:rPr>
        <w:t>Achmea</w:t>
      </w:r>
      <w:proofErr w:type="spellEnd"/>
      <w:r w:rsidRPr="00BB0D4F">
        <w:rPr>
          <w:rFonts w:ascii="Times New Roman" w:hAnsi="Times New Roman"/>
          <w:szCs w:val="22"/>
        </w:rPr>
        <w:t xml:space="preserve"> taktiež iniciovala konanie pred Luxemburským súdom o výkon rozhodnutia arbitrážneho tribunálu z decembra 2012. Súd v tomto konaní nariadil zablokovanie slovenského majetku v hodnote približne 30 000 tis. eur, pričom hodnota sporu určená Medzinárodným tribunálom bola 28 187 tis. eur. Hodnota sporu bola prehodnotená k 1. novembru 2017 na hodnotu 28 692 tis. eur. Dňa 13. septembra 2024 nemecký Ústavný súd vydal svoje uznesenie o neprípustnosti ústavnej sťažnosti, v ktorom zamietol všetky body ústavnej sťažnosti. Na základe tohto rozhodnutia Luxemburský súd odblokoval prostriedky Slovenskej republiky, ktoré boli vrátené na účet Ministerstva financií Slovenskej republiky. </w:t>
      </w:r>
      <w:r w:rsidR="006529AA">
        <w:rPr>
          <w:rFonts w:ascii="Times New Roman" w:hAnsi="Times New Roman"/>
          <w:szCs w:val="22"/>
        </w:rPr>
        <w:t>Dlhoročný a</w:t>
      </w:r>
      <w:r w:rsidRPr="00BB0D4F">
        <w:rPr>
          <w:rFonts w:ascii="Times New Roman" w:hAnsi="Times New Roman"/>
          <w:szCs w:val="22"/>
        </w:rPr>
        <w:t>rbitrážny spor je týmto definitívne ukončený.</w:t>
      </w:r>
    </w:p>
    <w:p w14:paraId="2ABDC2C2" w14:textId="77777777" w:rsidR="00AF4CC3" w:rsidRPr="00BB0D4F" w:rsidRDefault="00AF4CC3" w:rsidP="0085799C">
      <w:pPr>
        <w:spacing w:after="120" w:line="240" w:lineRule="auto"/>
        <w:jc w:val="both"/>
        <w:rPr>
          <w:rFonts w:ascii="Times New Roman" w:hAnsi="Times New Roman"/>
          <w:szCs w:val="22"/>
          <w:highlight w:val="yellow"/>
        </w:rPr>
      </w:pPr>
    </w:p>
    <w:p w14:paraId="4353015F" w14:textId="77777777" w:rsidR="00DE04F6" w:rsidRPr="0085799C" w:rsidRDefault="00DE04F6" w:rsidP="0085799C">
      <w:pPr>
        <w:spacing w:after="120" w:line="240" w:lineRule="auto"/>
        <w:jc w:val="both"/>
        <w:rPr>
          <w:rFonts w:ascii="Times New Roman" w:hAnsi="Times New Roman"/>
          <w:b/>
        </w:rPr>
      </w:pPr>
      <w:r w:rsidRPr="0085799C">
        <w:rPr>
          <w:rFonts w:ascii="Times New Roman" w:hAnsi="Times New Roman"/>
          <w:b/>
        </w:rPr>
        <w:t>Hroziace alebo prebiehajúce súdne spory</w:t>
      </w:r>
    </w:p>
    <w:p w14:paraId="59553570" w14:textId="5A7F065F" w:rsidR="00DE04F6" w:rsidRPr="00BB0D4F" w:rsidRDefault="00DE04F6" w:rsidP="0085799C">
      <w:pPr>
        <w:spacing w:after="120" w:line="240" w:lineRule="auto"/>
        <w:jc w:val="both"/>
        <w:rPr>
          <w:rFonts w:ascii="Times New Roman" w:hAnsi="Times New Roman"/>
          <w:szCs w:val="22"/>
        </w:rPr>
      </w:pPr>
      <w:r w:rsidRPr="00BB0D4F">
        <w:rPr>
          <w:rFonts w:ascii="Times New Roman" w:hAnsi="Times New Roman"/>
          <w:szCs w:val="22"/>
        </w:rPr>
        <w:t xml:space="preserve">Žaloby, ktoré rieši </w:t>
      </w:r>
      <w:r w:rsidRPr="0085799C">
        <w:rPr>
          <w:rFonts w:ascii="Times New Roman" w:hAnsi="Times New Roman"/>
          <w:u w:val="single"/>
        </w:rPr>
        <w:t>Ministerstvo financií SR</w:t>
      </w:r>
      <w:r w:rsidRPr="00BB0D4F">
        <w:rPr>
          <w:rFonts w:ascii="Times New Roman" w:hAnsi="Times New Roman"/>
          <w:szCs w:val="22"/>
        </w:rPr>
        <w:t xml:space="preserve"> v úhrnnej hodnote 1</w:t>
      </w:r>
      <w:r w:rsidR="00D3023D" w:rsidRPr="00BB0D4F">
        <w:rPr>
          <w:rFonts w:ascii="Times New Roman" w:hAnsi="Times New Roman"/>
          <w:szCs w:val="22"/>
        </w:rPr>
        <w:t> </w:t>
      </w:r>
      <w:r w:rsidRPr="00BB0D4F">
        <w:rPr>
          <w:rFonts w:ascii="Times New Roman" w:hAnsi="Times New Roman"/>
          <w:szCs w:val="22"/>
        </w:rPr>
        <w:t>105</w:t>
      </w:r>
      <w:r w:rsidR="00D3023D" w:rsidRPr="00BB0D4F">
        <w:rPr>
          <w:rFonts w:ascii="Times New Roman" w:hAnsi="Times New Roman"/>
          <w:szCs w:val="22"/>
        </w:rPr>
        <w:t> </w:t>
      </w:r>
      <w:r w:rsidRPr="00BB0D4F">
        <w:rPr>
          <w:rFonts w:ascii="Times New Roman" w:hAnsi="Times New Roman"/>
          <w:szCs w:val="22"/>
        </w:rPr>
        <w:t>784</w:t>
      </w:r>
      <w:r w:rsidR="00D3023D" w:rsidRPr="00BB0D4F">
        <w:rPr>
          <w:rFonts w:ascii="Times New Roman" w:hAnsi="Times New Roman"/>
          <w:szCs w:val="22"/>
        </w:rPr>
        <w:t> </w:t>
      </w:r>
      <w:r w:rsidRPr="00BB0D4F">
        <w:rPr>
          <w:rFonts w:ascii="Times New Roman" w:hAnsi="Times New Roman"/>
          <w:szCs w:val="22"/>
        </w:rPr>
        <w:t>tis.</w:t>
      </w:r>
      <w:r w:rsidR="00D3023D" w:rsidRPr="00BB0D4F">
        <w:rPr>
          <w:rFonts w:ascii="Times New Roman" w:hAnsi="Times New Roman"/>
          <w:szCs w:val="22"/>
        </w:rPr>
        <w:t> </w:t>
      </w:r>
      <w:r w:rsidRPr="00BB0D4F">
        <w:rPr>
          <w:rFonts w:ascii="Times New Roman" w:hAnsi="Times New Roman"/>
          <w:szCs w:val="22"/>
        </w:rPr>
        <w:t>eur sú najmä o náhradu škody uplatňovanej podľa zákona č. 514/2003 Z. z. o zodpovednosti za škodu spôsobenú pri výkone verejnej moci a o zmene niektorých zákonov, v ktorých Ministerstvo financií SR zastupuje pred súdom aj iné orgány verejnej moci. Medziročný pokles v hodnote 313</w:t>
      </w:r>
      <w:r w:rsidR="00D3023D" w:rsidRPr="00BB0D4F">
        <w:rPr>
          <w:rFonts w:ascii="Times New Roman" w:hAnsi="Times New Roman"/>
          <w:szCs w:val="22"/>
        </w:rPr>
        <w:t> </w:t>
      </w:r>
      <w:r w:rsidRPr="00BB0D4F">
        <w:rPr>
          <w:rFonts w:ascii="Times New Roman" w:hAnsi="Times New Roman"/>
          <w:szCs w:val="22"/>
        </w:rPr>
        <w:t>950</w:t>
      </w:r>
      <w:r w:rsidR="00D3023D" w:rsidRPr="00BB0D4F">
        <w:rPr>
          <w:rFonts w:ascii="Times New Roman" w:hAnsi="Times New Roman"/>
          <w:szCs w:val="22"/>
        </w:rPr>
        <w:t> </w:t>
      </w:r>
      <w:r w:rsidRPr="00BB0D4F">
        <w:rPr>
          <w:rFonts w:ascii="Times New Roman" w:hAnsi="Times New Roman"/>
          <w:szCs w:val="22"/>
        </w:rPr>
        <w:t>tis.</w:t>
      </w:r>
      <w:r w:rsidR="00D3023D" w:rsidRPr="00BB0D4F">
        <w:rPr>
          <w:rFonts w:ascii="Times New Roman" w:hAnsi="Times New Roman"/>
          <w:szCs w:val="22"/>
        </w:rPr>
        <w:t> </w:t>
      </w:r>
      <w:r w:rsidRPr="00BB0D4F">
        <w:rPr>
          <w:rFonts w:ascii="Times New Roman" w:hAnsi="Times New Roman"/>
          <w:szCs w:val="22"/>
        </w:rPr>
        <w:t>eur vyplýva z ukončených pasívnych súdnych sporov.</w:t>
      </w:r>
    </w:p>
    <w:p w14:paraId="75961A12" w14:textId="0D5189E1" w:rsidR="00DE04F6" w:rsidRPr="00BB0D4F" w:rsidRDefault="00DE04F6" w:rsidP="0085799C">
      <w:pPr>
        <w:spacing w:after="120" w:line="240" w:lineRule="auto"/>
        <w:jc w:val="both"/>
        <w:rPr>
          <w:rFonts w:ascii="Times New Roman" w:hAnsi="Times New Roman"/>
          <w:szCs w:val="22"/>
        </w:rPr>
      </w:pPr>
      <w:r w:rsidRPr="0085799C">
        <w:rPr>
          <w:rFonts w:ascii="Times New Roman" w:hAnsi="Times New Roman"/>
          <w:u w:val="single"/>
        </w:rPr>
        <w:t>Ministerstvo práce, sociálnych vecí a rodiny SR</w:t>
      </w:r>
      <w:r w:rsidRPr="00BB0D4F">
        <w:rPr>
          <w:rFonts w:ascii="Times New Roman" w:hAnsi="Times New Roman"/>
          <w:szCs w:val="22"/>
        </w:rPr>
        <w:t xml:space="preserve"> eviduje najvýznamnejší spor s fyzickou osobou o náhradu škody vo výške 450</w:t>
      </w:r>
      <w:r w:rsidR="00D3023D" w:rsidRPr="00BB0D4F">
        <w:rPr>
          <w:rFonts w:ascii="Times New Roman" w:hAnsi="Times New Roman"/>
          <w:szCs w:val="22"/>
        </w:rPr>
        <w:t> </w:t>
      </w:r>
      <w:r w:rsidRPr="00BB0D4F">
        <w:rPr>
          <w:rFonts w:ascii="Times New Roman" w:hAnsi="Times New Roman"/>
          <w:szCs w:val="22"/>
        </w:rPr>
        <w:t>000</w:t>
      </w:r>
      <w:r w:rsidR="00D3023D" w:rsidRPr="00BB0D4F">
        <w:rPr>
          <w:rFonts w:ascii="Times New Roman" w:hAnsi="Times New Roman"/>
          <w:szCs w:val="22"/>
        </w:rPr>
        <w:t> </w:t>
      </w:r>
      <w:r w:rsidRPr="00BB0D4F">
        <w:rPr>
          <w:rFonts w:ascii="Times New Roman" w:hAnsi="Times New Roman"/>
          <w:szCs w:val="22"/>
        </w:rPr>
        <w:t>tis.</w:t>
      </w:r>
      <w:r w:rsidR="00D3023D" w:rsidRPr="00BB0D4F">
        <w:rPr>
          <w:rFonts w:ascii="Times New Roman" w:hAnsi="Times New Roman"/>
          <w:szCs w:val="22"/>
        </w:rPr>
        <w:t> </w:t>
      </w:r>
      <w:r w:rsidRPr="00BB0D4F">
        <w:rPr>
          <w:rFonts w:ascii="Times New Roman" w:hAnsi="Times New Roman"/>
          <w:szCs w:val="22"/>
        </w:rPr>
        <w:t>eur, ktorá mala byť spôsobená údajnou nečinnosťou a nesprávnym úradným postupom.</w:t>
      </w:r>
    </w:p>
    <w:p w14:paraId="4AE0069A" w14:textId="77777777" w:rsidR="00DE04F6" w:rsidRPr="00BB0D4F" w:rsidRDefault="00DE04F6" w:rsidP="0085799C">
      <w:pPr>
        <w:spacing w:after="120" w:line="240" w:lineRule="auto"/>
        <w:jc w:val="both"/>
        <w:rPr>
          <w:rFonts w:ascii="Times New Roman" w:hAnsi="Times New Roman"/>
          <w:szCs w:val="22"/>
        </w:rPr>
      </w:pPr>
      <w:r w:rsidRPr="0085799C">
        <w:rPr>
          <w:rFonts w:ascii="Times New Roman" w:hAnsi="Times New Roman"/>
          <w:u w:val="single"/>
        </w:rPr>
        <w:t>Kancelária Národnej rady SR</w:t>
      </w:r>
      <w:r w:rsidRPr="00BB0D4F">
        <w:rPr>
          <w:rFonts w:ascii="Times New Roman" w:hAnsi="Times New Roman"/>
          <w:szCs w:val="22"/>
        </w:rPr>
        <w:t xml:space="preserve"> eviduje podmienené záväzky z existujúcich alebo hroziacich súdnych sporov, z čoho podstatnú časť tvoria žaloby na náhradu škody spôsobenú legislatívnou činnosťou NR SR.  Medziročné zvýšenie žalovanej sumy vychádza zo súdnych uznesení o výške žalovanej sumy, zo </w:t>
      </w:r>
      <w:proofErr w:type="spellStart"/>
      <w:r w:rsidRPr="00BB0D4F">
        <w:rPr>
          <w:rFonts w:ascii="Times New Roman" w:hAnsi="Times New Roman"/>
          <w:szCs w:val="22"/>
        </w:rPr>
        <w:t>späťvzatí</w:t>
      </w:r>
      <w:proofErr w:type="spellEnd"/>
      <w:r w:rsidRPr="00BB0D4F">
        <w:rPr>
          <w:rFonts w:ascii="Times New Roman" w:hAnsi="Times New Roman"/>
          <w:szCs w:val="22"/>
        </w:rPr>
        <w:t xml:space="preserve"> niektorých žalôb, ako aj po prehodnotení výšky žiadaných nárokov.</w:t>
      </w:r>
    </w:p>
    <w:p w14:paraId="76314EBF" w14:textId="79500537" w:rsidR="00DE04F6" w:rsidRPr="00BB0D4F" w:rsidRDefault="00DE04F6" w:rsidP="0085799C">
      <w:pPr>
        <w:spacing w:after="120" w:line="240" w:lineRule="auto"/>
        <w:jc w:val="both"/>
        <w:rPr>
          <w:rFonts w:ascii="Times New Roman" w:hAnsi="Times New Roman"/>
          <w:szCs w:val="22"/>
        </w:rPr>
      </w:pPr>
      <w:r w:rsidRPr="0085799C">
        <w:rPr>
          <w:rFonts w:ascii="Times New Roman" w:hAnsi="Times New Roman"/>
          <w:u w:val="single"/>
        </w:rPr>
        <w:t>Ministerstvo vnútra SR</w:t>
      </w:r>
      <w:r w:rsidRPr="00BB0D4F">
        <w:rPr>
          <w:rFonts w:ascii="Times New Roman" w:hAnsi="Times New Roman"/>
          <w:szCs w:val="22"/>
        </w:rPr>
        <w:t xml:space="preserve"> vykazuje podmienené pasíva zo súdnych sporov najmä z titulu náhrady škody spôsobenej pri výkone verejnej moci.</w:t>
      </w:r>
      <w:r w:rsidR="0085799C">
        <w:rPr>
          <w:rFonts w:ascii="Times New Roman" w:hAnsi="Times New Roman"/>
          <w:szCs w:val="22"/>
        </w:rPr>
        <w:t xml:space="preserve"> Významný medziročný pokles v hodnote 869 055 tis. eur </w:t>
      </w:r>
      <w:r w:rsidR="00672CE1">
        <w:rPr>
          <w:rFonts w:ascii="Times New Roman" w:hAnsi="Times New Roman"/>
          <w:szCs w:val="22"/>
        </w:rPr>
        <w:t xml:space="preserve">súvisí </w:t>
      </w:r>
      <w:r w:rsidR="0085799C">
        <w:rPr>
          <w:rFonts w:ascii="Times New Roman" w:hAnsi="Times New Roman"/>
          <w:szCs w:val="22"/>
        </w:rPr>
        <w:t xml:space="preserve">najmä </w:t>
      </w:r>
      <w:r w:rsidR="00672CE1">
        <w:rPr>
          <w:rFonts w:ascii="Times New Roman" w:hAnsi="Times New Roman"/>
          <w:szCs w:val="22"/>
        </w:rPr>
        <w:t>s</w:t>
      </w:r>
      <w:r w:rsidR="0085799C">
        <w:rPr>
          <w:rFonts w:ascii="Times New Roman" w:hAnsi="Times New Roman"/>
          <w:szCs w:val="22"/>
        </w:rPr>
        <w:t> ukončen</w:t>
      </w:r>
      <w:r w:rsidR="00672CE1">
        <w:rPr>
          <w:rFonts w:ascii="Times New Roman" w:hAnsi="Times New Roman"/>
          <w:szCs w:val="22"/>
        </w:rPr>
        <w:t>ým</w:t>
      </w:r>
      <w:r w:rsidR="0085799C">
        <w:rPr>
          <w:rFonts w:ascii="Times New Roman" w:hAnsi="Times New Roman"/>
          <w:szCs w:val="22"/>
        </w:rPr>
        <w:t xml:space="preserve"> pasívn</w:t>
      </w:r>
      <w:r w:rsidR="00672CE1">
        <w:rPr>
          <w:rFonts w:ascii="Times New Roman" w:hAnsi="Times New Roman"/>
          <w:szCs w:val="22"/>
        </w:rPr>
        <w:t>ym</w:t>
      </w:r>
      <w:r w:rsidR="0085799C">
        <w:rPr>
          <w:rFonts w:ascii="Times New Roman" w:hAnsi="Times New Roman"/>
          <w:szCs w:val="22"/>
        </w:rPr>
        <w:t xml:space="preserve"> súdn</w:t>
      </w:r>
      <w:r w:rsidR="00672CE1">
        <w:rPr>
          <w:rFonts w:ascii="Times New Roman" w:hAnsi="Times New Roman"/>
          <w:szCs w:val="22"/>
        </w:rPr>
        <w:t>ym</w:t>
      </w:r>
      <w:r w:rsidR="0085799C">
        <w:rPr>
          <w:rFonts w:ascii="Times New Roman" w:hAnsi="Times New Roman"/>
          <w:szCs w:val="22"/>
        </w:rPr>
        <w:t xml:space="preserve"> spor</w:t>
      </w:r>
      <w:r w:rsidR="00672CE1">
        <w:rPr>
          <w:rFonts w:ascii="Times New Roman" w:hAnsi="Times New Roman"/>
          <w:szCs w:val="22"/>
        </w:rPr>
        <w:t>om</w:t>
      </w:r>
      <w:r w:rsidR="0085799C">
        <w:rPr>
          <w:rFonts w:ascii="Times New Roman" w:hAnsi="Times New Roman"/>
          <w:szCs w:val="22"/>
        </w:rPr>
        <w:t>, predmetom ktorého bola náhrada škody v hodnote 1 000 000 tis. eur.</w:t>
      </w:r>
    </w:p>
    <w:p w14:paraId="0BACD918" w14:textId="77777777" w:rsidR="00DE04F6" w:rsidRPr="00BB0D4F" w:rsidRDefault="00DE04F6" w:rsidP="0085799C">
      <w:pPr>
        <w:spacing w:after="120" w:line="240" w:lineRule="auto"/>
        <w:jc w:val="both"/>
        <w:rPr>
          <w:rFonts w:ascii="Times New Roman" w:hAnsi="Times New Roman"/>
          <w:szCs w:val="22"/>
        </w:rPr>
      </w:pPr>
      <w:r w:rsidRPr="0085799C">
        <w:rPr>
          <w:rFonts w:ascii="Times New Roman" w:hAnsi="Times New Roman"/>
          <w:u w:val="single"/>
        </w:rPr>
        <w:t>MH Manažment, a. s.</w:t>
      </w:r>
      <w:r w:rsidRPr="00BB0D4F">
        <w:rPr>
          <w:rFonts w:ascii="Times New Roman" w:hAnsi="Times New Roman"/>
          <w:szCs w:val="22"/>
        </w:rPr>
        <w:t xml:space="preserve"> je v súčasnosti účastníkom rôznych súdnych sporov, ktoré voči nemu vedú tretie osoby, uplatňujúce si nároky voči MH Manažment, a. s. Na základe vyjadrení právnych zástupcov v príslušných sporoch spoločnosť MH Manažment, a. s. eviduje podmienené záväzky na súdne spory v celkovej sume 185 857 tis. eur. Spoločnosť zároveň opätovne prehodnotila súdne spory a riziko plnenia z nich vrátane príslušenstva, čoho výsledkom je vykázaný medziročný nárast o 8 894 tis. eur.</w:t>
      </w:r>
    </w:p>
    <w:p w14:paraId="06F186D6" w14:textId="77777777" w:rsidR="00DE04F6" w:rsidRPr="00BB0D4F" w:rsidRDefault="00DE04F6" w:rsidP="0085799C">
      <w:pPr>
        <w:spacing w:after="120" w:line="240" w:lineRule="auto"/>
        <w:jc w:val="both"/>
        <w:rPr>
          <w:rFonts w:ascii="Times New Roman" w:hAnsi="Times New Roman"/>
          <w:szCs w:val="22"/>
        </w:rPr>
      </w:pPr>
      <w:r w:rsidRPr="0085799C">
        <w:rPr>
          <w:rFonts w:ascii="Times New Roman" w:hAnsi="Times New Roman"/>
          <w:u w:val="single"/>
        </w:rPr>
        <w:lastRenderedPageBreak/>
        <w:t>Úrad podpredsedu vlády SR pre Plán obnovy a znalostnú ekonomiku/Ministerstvo cestovného ruchu a športu SR</w:t>
      </w:r>
      <w:r w:rsidRPr="00BB0D4F">
        <w:rPr>
          <w:rFonts w:ascii="Times New Roman" w:hAnsi="Times New Roman"/>
          <w:szCs w:val="22"/>
        </w:rPr>
        <w:t xml:space="preserve"> vystupuje ako účastník konania, resp. strana sporu a zároveň ako zástupca Slovenskej republiky v štyroch súdnych konaniach (z toho pri jednom súdnom spore vystupuje ako žalobca, t. j. ide o aktívny súdny spor, ktorého hodnota je vykazovaná medzi inými aktívami účtovnej jednotky) týkajúcich sa výstavby Národného futbalového štadióna v Bratislave. </w:t>
      </w:r>
    </w:p>
    <w:p w14:paraId="5ABD0452" w14:textId="77777777" w:rsidR="00DE04F6" w:rsidRPr="00BB0D4F" w:rsidRDefault="00DE04F6" w:rsidP="0085799C">
      <w:pPr>
        <w:spacing w:after="120" w:line="240" w:lineRule="auto"/>
        <w:jc w:val="both"/>
        <w:rPr>
          <w:rFonts w:ascii="Times New Roman" w:hAnsi="Times New Roman"/>
          <w:szCs w:val="22"/>
        </w:rPr>
      </w:pPr>
      <w:r w:rsidRPr="0085799C">
        <w:rPr>
          <w:rFonts w:ascii="Times New Roman" w:hAnsi="Times New Roman"/>
          <w:u w:val="single"/>
        </w:rPr>
        <w:t>Národná diaľničná spoločnosť, a. s.</w:t>
      </w:r>
      <w:r w:rsidRPr="00BB0D4F">
        <w:rPr>
          <w:rFonts w:ascii="Times New Roman" w:hAnsi="Times New Roman"/>
          <w:szCs w:val="22"/>
        </w:rPr>
        <w:t xml:space="preserve"> je účastníkom rozhodcovského konania, predmetom ktorého je uplatňovanie nárokov v súvislosti s ukončením zmluvy o dielo týkajúcej sa výstavby úseku diaľnice D1. Medziročný nárast súvisí s aktualizáciou prehodnotenia žiadaných nárokov v rámci rozhodcovského konania.</w:t>
      </w:r>
    </w:p>
    <w:p w14:paraId="7786AE1E" w14:textId="029C6D0F" w:rsidR="00DE04F6" w:rsidRPr="00BB0D4F" w:rsidRDefault="00DE04F6" w:rsidP="0085799C">
      <w:pPr>
        <w:spacing w:after="120" w:line="240" w:lineRule="auto"/>
        <w:jc w:val="both"/>
        <w:rPr>
          <w:rFonts w:ascii="Times New Roman" w:hAnsi="Times New Roman"/>
          <w:szCs w:val="22"/>
        </w:rPr>
      </w:pPr>
      <w:r w:rsidRPr="0085799C">
        <w:rPr>
          <w:rFonts w:ascii="Times New Roman" w:hAnsi="Times New Roman"/>
          <w:u w:val="single"/>
        </w:rPr>
        <w:t>Ministerstvo hospodárstva SR</w:t>
      </w:r>
      <w:r w:rsidRPr="00BB0D4F">
        <w:rPr>
          <w:rFonts w:ascii="Times New Roman" w:hAnsi="Times New Roman"/>
          <w:szCs w:val="22"/>
        </w:rPr>
        <w:t xml:space="preserve"> zaznamenalo výrazný medziročný pokles v súvislosti so súdnym sporom o náhrade škody v hodnote 64</w:t>
      </w:r>
      <w:r w:rsidR="00625B85">
        <w:rPr>
          <w:rFonts w:ascii="Times New Roman" w:hAnsi="Times New Roman"/>
          <w:bCs/>
          <w:szCs w:val="22"/>
        </w:rPr>
        <w:t> </w:t>
      </w:r>
      <w:r w:rsidRPr="00BB0D4F">
        <w:rPr>
          <w:rFonts w:ascii="Times New Roman" w:hAnsi="Times New Roman"/>
          <w:szCs w:val="22"/>
        </w:rPr>
        <w:t>385</w:t>
      </w:r>
      <w:r w:rsidR="00625B85">
        <w:rPr>
          <w:rFonts w:ascii="Times New Roman" w:hAnsi="Times New Roman"/>
          <w:bCs/>
          <w:szCs w:val="22"/>
        </w:rPr>
        <w:t> </w:t>
      </w:r>
      <w:r w:rsidRPr="00BB0D4F">
        <w:rPr>
          <w:rFonts w:ascii="Times New Roman" w:hAnsi="Times New Roman"/>
          <w:szCs w:val="22"/>
        </w:rPr>
        <w:t>tis.</w:t>
      </w:r>
      <w:r w:rsidR="00625B85">
        <w:rPr>
          <w:rFonts w:ascii="Times New Roman" w:hAnsi="Times New Roman"/>
          <w:bCs/>
          <w:szCs w:val="22"/>
        </w:rPr>
        <w:t> </w:t>
      </w:r>
      <w:r w:rsidRPr="00BB0D4F">
        <w:rPr>
          <w:rFonts w:ascii="Times New Roman" w:hAnsi="Times New Roman"/>
          <w:szCs w:val="22"/>
        </w:rPr>
        <w:t>eur z titulu nesprávneho úradného postupu podriadeného úradu za roky 2004 až 2006, ktoré bolo právoplatne ukončené uznesením o zastavení konania.</w:t>
      </w:r>
    </w:p>
    <w:p w14:paraId="6C585051" w14:textId="77777777" w:rsidR="00DE04F6" w:rsidRPr="00BB0D4F" w:rsidRDefault="00DE04F6" w:rsidP="0085799C">
      <w:pPr>
        <w:spacing w:after="120" w:line="240" w:lineRule="auto"/>
        <w:jc w:val="both"/>
        <w:rPr>
          <w:rFonts w:ascii="Times New Roman" w:hAnsi="Times New Roman"/>
          <w:szCs w:val="22"/>
        </w:rPr>
      </w:pPr>
      <w:r w:rsidRPr="0085799C">
        <w:rPr>
          <w:rFonts w:ascii="Times New Roman" w:hAnsi="Times New Roman"/>
          <w:u w:val="single"/>
        </w:rPr>
        <w:t>Vodohospodárska výstavba, š. p.</w:t>
      </w:r>
      <w:r w:rsidRPr="00BB0D4F">
        <w:rPr>
          <w:rFonts w:ascii="Times New Roman" w:hAnsi="Times New Roman"/>
          <w:szCs w:val="22"/>
        </w:rPr>
        <w:t xml:space="preserve"> eviduje viaceré súdne spory, pričom väčšinu  z uvedenej sumy tvorí spor o náhradu škody z dôvodu údajného porušenia nájomnej zmluvy a spory so Slovenskými elektrárňami o úhradu platieb podľa zmluvy o prevádzke Vodnej elektrárne Gabčíkovo. Vodohospodárska výstavba, š. p. vykazuje voči Slovenským elektrárňam aj podmienené aktíva, z titulu bezdôvodného obohatenia, ktoré malo vzniknúť úhradou platieb Slovenským elektrárňam, a.s. podľa neplatnej zmluvy o prevádzke Vodnej elektrárne Gabčíkovo. V súdnych sporoch sa naďalej pokračuje.</w:t>
      </w:r>
    </w:p>
    <w:p w14:paraId="7889A891" w14:textId="77777777" w:rsidR="00DE04F6" w:rsidRPr="00BB0D4F" w:rsidRDefault="00DE04F6" w:rsidP="0085799C">
      <w:pPr>
        <w:spacing w:after="120" w:line="240" w:lineRule="auto"/>
        <w:jc w:val="both"/>
        <w:rPr>
          <w:rFonts w:ascii="Times New Roman" w:hAnsi="Times New Roman"/>
          <w:szCs w:val="22"/>
        </w:rPr>
      </w:pPr>
    </w:p>
    <w:p w14:paraId="5414B47E" w14:textId="77777777" w:rsidR="00DE04F6" w:rsidRPr="0085799C" w:rsidRDefault="00DE04F6" w:rsidP="0085799C">
      <w:pPr>
        <w:spacing w:after="120" w:line="240" w:lineRule="auto"/>
        <w:jc w:val="both"/>
        <w:rPr>
          <w:rFonts w:ascii="Times New Roman" w:hAnsi="Times New Roman"/>
          <w:b/>
        </w:rPr>
      </w:pPr>
      <w:r w:rsidRPr="0085799C">
        <w:rPr>
          <w:rFonts w:ascii="Times New Roman" w:hAnsi="Times New Roman"/>
          <w:b/>
        </w:rPr>
        <w:t>Iné podmienené záväzky</w:t>
      </w:r>
    </w:p>
    <w:p w14:paraId="52539D2B" w14:textId="128B5F93" w:rsidR="007B5603" w:rsidRPr="0085799C" w:rsidRDefault="00DE04F6" w:rsidP="0026208F">
      <w:pPr>
        <w:spacing w:after="120" w:line="240" w:lineRule="auto"/>
        <w:jc w:val="both"/>
        <w:rPr>
          <w:rFonts w:ascii="Times New Roman" w:hAnsi="Times New Roman"/>
        </w:rPr>
      </w:pPr>
      <w:r w:rsidRPr="00A828A5">
        <w:rPr>
          <w:rFonts w:ascii="Times New Roman" w:hAnsi="Times New Roman"/>
        </w:rPr>
        <w:t xml:space="preserve">Do podmienených záväzkov bola zaradená aj hodnota založeného majetku </w:t>
      </w:r>
      <w:r w:rsidRPr="00A7107D">
        <w:rPr>
          <w:rFonts w:ascii="Times New Roman" w:hAnsi="Times New Roman"/>
          <w:u w:val="single"/>
        </w:rPr>
        <w:t>Slovenských elektrární, a. s.</w:t>
      </w:r>
      <w:r w:rsidRPr="00A828A5">
        <w:rPr>
          <w:rFonts w:ascii="Times New Roman" w:hAnsi="Times New Roman"/>
        </w:rPr>
        <w:t xml:space="preserve"> v prospech banky. Hodnota záložného práva sa medziročne zvýšila o 162</w:t>
      </w:r>
      <w:r w:rsidR="00EC7F7D">
        <w:rPr>
          <w:rFonts w:ascii="Times New Roman" w:hAnsi="Times New Roman"/>
        </w:rPr>
        <w:t> </w:t>
      </w:r>
      <w:r w:rsidRPr="00A828A5">
        <w:rPr>
          <w:rFonts w:ascii="Times New Roman" w:hAnsi="Times New Roman"/>
        </w:rPr>
        <w:t>224</w:t>
      </w:r>
      <w:r w:rsidR="00EC7F7D">
        <w:rPr>
          <w:rFonts w:ascii="Times New Roman" w:hAnsi="Times New Roman"/>
        </w:rPr>
        <w:t> </w:t>
      </w:r>
      <w:r w:rsidRPr="00A828A5">
        <w:rPr>
          <w:rFonts w:ascii="Times New Roman" w:hAnsi="Times New Roman"/>
        </w:rPr>
        <w:t>tis.</w:t>
      </w:r>
      <w:r w:rsidR="00EC7F7D">
        <w:rPr>
          <w:rFonts w:ascii="Times New Roman" w:hAnsi="Times New Roman"/>
        </w:rPr>
        <w:t> </w:t>
      </w:r>
      <w:r w:rsidRPr="00A828A5">
        <w:rPr>
          <w:rFonts w:ascii="Times New Roman" w:hAnsi="Times New Roman"/>
        </w:rPr>
        <w:t xml:space="preserve">eur. Hodnota podmienených pasív reprezentuje 34% podiel štátu na základnom imaní spoločnosti. </w:t>
      </w:r>
      <w:r w:rsidR="006529AA" w:rsidRPr="0085799C">
        <w:rPr>
          <w:rFonts w:ascii="Times New Roman" w:hAnsi="Times New Roman"/>
          <w:szCs w:val="22"/>
          <w:lang w:eastAsia="sk-SK"/>
        </w:rPr>
        <w:t>Hodnota podmienených pasív reprezentuje 34 % podiel štátu na základnom imaní spoločnosti.</w:t>
      </w:r>
      <w:r w:rsidR="006529AA">
        <w:rPr>
          <w:rFonts w:ascii="Times New Roman" w:hAnsi="Times New Roman"/>
          <w:szCs w:val="22"/>
          <w:lang w:eastAsia="sk-SK"/>
        </w:rPr>
        <w:t xml:space="preserve"> </w:t>
      </w:r>
      <w:r w:rsidR="007B5603" w:rsidRPr="0085799C">
        <w:rPr>
          <w:rFonts w:ascii="Times New Roman" w:hAnsi="Times New Roman"/>
          <w:szCs w:val="22"/>
          <w:lang w:eastAsia="sk-SK"/>
        </w:rPr>
        <w:t xml:space="preserve">Začiatkom roka 2025 účtovná jednotka splatila existujúce úvery, v dôsledku čoho sa zároveň uvoľnilo zabezpečenie prostredníctvom záložného práva na vyššie uvedený založený majetok. </w:t>
      </w:r>
    </w:p>
    <w:p w14:paraId="1B5FA031" w14:textId="7AD7EBAA" w:rsidR="000A065C" w:rsidRPr="00A828A5" w:rsidRDefault="00DE04F6" w:rsidP="00A828A5">
      <w:pPr>
        <w:spacing w:after="120" w:line="240" w:lineRule="auto"/>
        <w:jc w:val="both"/>
        <w:rPr>
          <w:rFonts w:ascii="Times New Roman" w:hAnsi="Times New Roman"/>
          <w:szCs w:val="22"/>
        </w:rPr>
      </w:pPr>
      <w:r w:rsidRPr="0085799C">
        <w:rPr>
          <w:rFonts w:ascii="Times New Roman" w:hAnsi="Times New Roman"/>
          <w:u w:val="single"/>
        </w:rPr>
        <w:t>MH Manažment, a.</w:t>
      </w:r>
      <w:r w:rsidR="006E0419" w:rsidRPr="0085799C">
        <w:rPr>
          <w:rFonts w:ascii="Times New Roman" w:hAnsi="Times New Roman"/>
          <w:szCs w:val="22"/>
          <w:u w:val="single"/>
        </w:rPr>
        <w:t xml:space="preserve"> </w:t>
      </w:r>
      <w:r w:rsidRPr="0085799C">
        <w:rPr>
          <w:rFonts w:ascii="Times New Roman" w:hAnsi="Times New Roman"/>
          <w:u w:val="single"/>
        </w:rPr>
        <w:t>s.</w:t>
      </w:r>
      <w:r w:rsidRPr="00A828A5">
        <w:rPr>
          <w:rFonts w:ascii="Times New Roman" w:hAnsi="Times New Roman"/>
          <w:szCs w:val="22"/>
        </w:rPr>
        <w:t xml:space="preserve"> eviduje významnú hodnotu podmienených záväzkov z ručenia za splnenie záväzkov vyplývajúcich z niektorých privatizačných zmlúv uzavretých bývalým  Fondom národného majetku. FNM sa zaviazal uhradiť nadobúdateľom privatizovaných spoločností určité straty na majetku, ktoré im môžu v budúcnosti vzniknúť v dôsledku určitých rizík definovaných v privatizačných zmluvách.</w:t>
      </w:r>
    </w:p>
    <w:p w14:paraId="7872E880" w14:textId="506D38FD" w:rsidR="00D22BD6" w:rsidRPr="00A828A5" w:rsidRDefault="00D22BD6" w:rsidP="00A828A5">
      <w:pPr>
        <w:spacing w:after="120" w:line="240" w:lineRule="auto"/>
        <w:jc w:val="both"/>
        <w:rPr>
          <w:rFonts w:ascii="Times New Roman" w:hAnsi="Times New Roman"/>
          <w:szCs w:val="22"/>
        </w:rPr>
      </w:pPr>
      <w:r w:rsidRPr="0085799C">
        <w:rPr>
          <w:rFonts w:ascii="Times New Roman" w:hAnsi="Times New Roman"/>
          <w:u w:val="single"/>
        </w:rPr>
        <w:t>Slovenský plynárenský priemysel, a.s.</w:t>
      </w:r>
      <w:r w:rsidRPr="00A828A5">
        <w:rPr>
          <w:rFonts w:ascii="Times New Roman" w:hAnsi="Times New Roman"/>
          <w:szCs w:val="22"/>
        </w:rPr>
        <w:t xml:space="preserve"> vykazuje podmienené pasíva z dôvodu uzatvorených komoditných derivátových transakcií s protistranami, pričom zmena hodnoty súvisí najmä so znížením trhových cien komodít pri približne rovnakom objeme uzatvorených komoditných derivátových transakciách.</w:t>
      </w:r>
    </w:p>
    <w:p w14:paraId="477BD4C6" w14:textId="6AAFF088" w:rsidR="00EB24B2" w:rsidRPr="00A828A5" w:rsidRDefault="00D22BD6" w:rsidP="0085799C">
      <w:pPr>
        <w:spacing w:after="120" w:line="240" w:lineRule="auto"/>
        <w:jc w:val="both"/>
        <w:rPr>
          <w:rFonts w:ascii="Times New Roman" w:hAnsi="Times New Roman"/>
          <w:szCs w:val="22"/>
        </w:rPr>
      </w:pPr>
      <w:r w:rsidRPr="00A828A5">
        <w:rPr>
          <w:rFonts w:ascii="Times New Roman" w:hAnsi="Times New Roman"/>
          <w:szCs w:val="22"/>
        </w:rPr>
        <w:t xml:space="preserve">Poskytnuté záruky </w:t>
      </w:r>
      <w:r w:rsidRPr="0085799C">
        <w:rPr>
          <w:rFonts w:ascii="Times New Roman" w:hAnsi="Times New Roman"/>
          <w:u w:val="single"/>
        </w:rPr>
        <w:t>Ministerstvom financií SR</w:t>
      </w:r>
      <w:r w:rsidRPr="00A828A5">
        <w:rPr>
          <w:rFonts w:ascii="Times New Roman" w:hAnsi="Times New Roman"/>
          <w:szCs w:val="22"/>
        </w:rPr>
        <w:t xml:space="preserve"> boli vykázané vo výške 162</w:t>
      </w:r>
      <w:r w:rsidR="00EC7F7D">
        <w:rPr>
          <w:rFonts w:ascii="Times New Roman" w:hAnsi="Times New Roman"/>
          <w:szCs w:val="22"/>
        </w:rPr>
        <w:t> </w:t>
      </w:r>
      <w:r w:rsidRPr="00A828A5">
        <w:rPr>
          <w:rFonts w:ascii="Times New Roman" w:hAnsi="Times New Roman"/>
          <w:szCs w:val="22"/>
        </w:rPr>
        <w:t>789</w:t>
      </w:r>
      <w:r w:rsidR="00EC7F7D">
        <w:rPr>
          <w:rFonts w:ascii="Times New Roman" w:hAnsi="Times New Roman"/>
          <w:szCs w:val="22"/>
        </w:rPr>
        <w:t> </w:t>
      </w:r>
      <w:r w:rsidRPr="00A828A5">
        <w:rPr>
          <w:rFonts w:ascii="Times New Roman" w:hAnsi="Times New Roman"/>
          <w:szCs w:val="22"/>
        </w:rPr>
        <w:t>tis.</w:t>
      </w:r>
      <w:r w:rsidR="00EC7F7D">
        <w:rPr>
          <w:rFonts w:ascii="Times New Roman" w:hAnsi="Times New Roman"/>
          <w:szCs w:val="22"/>
        </w:rPr>
        <w:t> </w:t>
      </w:r>
      <w:r w:rsidRPr="00A828A5">
        <w:rPr>
          <w:rFonts w:ascii="Times New Roman" w:hAnsi="Times New Roman"/>
          <w:szCs w:val="22"/>
        </w:rPr>
        <w:t>eur, a medziročne sa znížili o 69</w:t>
      </w:r>
      <w:r w:rsidR="00C04127">
        <w:rPr>
          <w:rFonts w:ascii="Times New Roman" w:hAnsi="Times New Roman"/>
          <w:szCs w:val="22"/>
        </w:rPr>
        <w:t> </w:t>
      </w:r>
      <w:r w:rsidRPr="00A828A5">
        <w:rPr>
          <w:rFonts w:ascii="Times New Roman" w:hAnsi="Times New Roman"/>
          <w:szCs w:val="22"/>
        </w:rPr>
        <w:t>778</w:t>
      </w:r>
      <w:r w:rsidR="00C04127">
        <w:rPr>
          <w:rFonts w:ascii="Times New Roman" w:hAnsi="Times New Roman"/>
          <w:szCs w:val="22"/>
        </w:rPr>
        <w:t> </w:t>
      </w:r>
      <w:r w:rsidRPr="00A828A5">
        <w:rPr>
          <w:rFonts w:ascii="Times New Roman" w:hAnsi="Times New Roman"/>
          <w:szCs w:val="22"/>
        </w:rPr>
        <w:t>tis.</w:t>
      </w:r>
      <w:r w:rsidR="00C04127">
        <w:rPr>
          <w:rFonts w:ascii="Times New Roman" w:hAnsi="Times New Roman"/>
          <w:szCs w:val="22"/>
        </w:rPr>
        <w:t> </w:t>
      </w:r>
      <w:r w:rsidRPr="00A828A5">
        <w:rPr>
          <w:rFonts w:ascii="Times New Roman" w:hAnsi="Times New Roman"/>
          <w:szCs w:val="22"/>
        </w:rPr>
        <w:t>eur. Zníženie spôsobili záruky podľa zákona</w:t>
      </w:r>
      <w:r w:rsidR="00EC7F7D">
        <w:rPr>
          <w:rFonts w:ascii="Times New Roman" w:hAnsi="Times New Roman"/>
          <w:szCs w:val="22"/>
        </w:rPr>
        <w:t xml:space="preserve"> </w:t>
      </w:r>
      <w:r w:rsidRPr="00A828A5">
        <w:rPr>
          <w:rFonts w:ascii="Times New Roman" w:hAnsi="Times New Roman"/>
          <w:szCs w:val="22"/>
        </w:rPr>
        <w:t>č. 67/2020 Z.</w:t>
      </w:r>
      <w:r w:rsidR="00C04127">
        <w:rPr>
          <w:rFonts w:ascii="Times New Roman" w:hAnsi="Times New Roman"/>
          <w:szCs w:val="22"/>
        </w:rPr>
        <w:t> </w:t>
      </w:r>
      <w:r w:rsidRPr="00A828A5">
        <w:rPr>
          <w:rFonts w:ascii="Times New Roman" w:hAnsi="Times New Roman"/>
          <w:szCs w:val="22"/>
        </w:rPr>
        <w:t>z. o niektorých</w:t>
      </w:r>
      <w:r w:rsidR="00C04127">
        <w:rPr>
          <w:rFonts w:ascii="Times New Roman" w:hAnsi="Times New Roman"/>
          <w:szCs w:val="22"/>
        </w:rPr>
        <w:t xml:space="preserve"> </w:t>
      </w:r>
      <w:r w:rsidRPr="00A828A5">
        <w:rPr>
          <w:rFonts w:ascii="Times New Roman" w:hAnsi="Times New Roman"/>
          <w:szCs w:val="22"/>
        </w:rPr>
        <w:t>mimoriadnych opatreniach vo finančnej oblasti v súvislosti so šírením nebezpečnej nákazlivej ľudskej choroby</w:t>
      </w:r>
      <w:r w:rsidR="00C04127">
        <w:rPr>
          <w:rFonts w:ascii="Times New Roman" w:hAnsi="Times New Roman"/>
          <w:szCs w:val="22"/>
        </w:rPr>
        <w:t xml:space="preserve"> </w:t>
      </w:r>
      <w:r w:rsidRPr="00A828A5">
        <w:rPr>
          <w:rFonts w:ascii="Times New Roman" w:hAnsi="Times New Roman"/>
          <w:szCs w:val="22"/>
        </w:rPr>
        <w:t>COVID-19 v platnom znení, v prospech finančných inštitúcií (SZRB, E</w:t>
      </w:r>
      <w:r w:rsidR="00A15561" w:rsidRPr="00A828A5">
        <w:rPr>
          <w:rFonts w:ascii="Times New Roman" w:hAnsi="Times New Roman"/>
          <w:szCs w:val="22"/>
        </w:rPr>
        <w:t>XIMBANKA SR</w:t>
      </w:r>
      <w:r w:rsidRPr="00A828A5">
        <w:rPr>
          <w:rFonts w:ascii="Times New Roman" w:hAnsi="Times New Roman"/>
          <w:szCs w:val="22"/>
        </w:rPr>
        <w:t xml:space="preserve"> a NDF I.), ktoré poskytli úvery, resp. záruky za úvery na podporu podnikateľom v čase pandémie COVID-19. Zmenu stavu záruk ovplyvňuje najmä postupné splácanie úverov zo strany dlžníkov a v menšej miere hotovostné plnenie záruk na základe zlyhaných úverov</w:t>
      </w:r>
      <w:r w:rsidR="00EB24B2" w:rsidRPr="00A828A5">
        <w:rPr>
          <w:rFonts w:ascii="Times New Roman" w:hAnsi="Times New Roman"/>
          <w:szCs w:val="22"/>
        </w:rPr>
        <w:t>.</w:t>
      </w:r>
    </w:p>
    <w:p w14:paraId="657013F1" w14:textId="284D4FB6" w:rsidR="00D3023D" w:rsidRDefault="00D22BD6" w:rsidP="0085799C">
      <w:pPr>
        <w:spacing w:after="120" w:line="240" w:lineRule="auto"/>
        <w:jc w:val="both"/>
        <w:rPr>
          <w:rFonts w:ascii="Times New Roman" w:hAnsi="Times New Roman"/>
        </w:rPr>
      </w:pPr>
      <w:r w:rsidRPr="0085799C">
        <w:rPr>
          <w:rFonts w:ascii="Times New Roman" w:hAnsi="Times New Roman"/>
          <w:u w:val="single"/>
        </w:rPr>
        <w:t xml:space="preserve">National </w:t>
      </w:r>
      <w:proofErr w:type="spellStart"/>
      <w:r w:rsidRPr="0085799C">
        <w:rPr>
          <w:rFonts w:ascii="Times New Roman" w:hAnsi="Times New Roman"/>
          <w:u w:val="single"/>
        </w:rPr>
        <w:t>Development</w:t>
      </w:r>
      <w:proofErr w:type="spellEnd"/>
      <w:r w:rsidRPr="0085799C">
        <w:rPr>
          <w:rFonts w:ascii="Times New Roman" w:hAnsi="Times New Roman"/>
          <w:u w:val="single"/>
        </w:rPr>
        <w:t xml:space="preserve"> </w:t>
      </w:r>
      <w:proofErr w:type="spellStart"/>
      <w:r w:rsidRPr="0085799C">
        <w:rPr>
          <w:rFonts w:ascii="Times New Roman" w:hAnsi="Times New Roman"/>
          <w:u w:val="single"/>
        </w:rPr>
        <w:t>Fund</w:t>
      </w:r>
      <w:proofErr w:type="spellEnd"/>
      <w:r w:rsidRPr="0085799C">
        <w:rPr>
          <w:rFonts w:ascii="Times New Roman" w:hAnsi="Times New Roman"/>
          <w:u w:val="single"/>
        </w:rPr>
        <w:t xml:space="preserve"> II, </w:t>
      </w:r>
      <w:proofErr w:type="spellStart"/>
      <w:r w:rsidRPr="0085799C">
        <w:rPr>
          <w:rFonts w:ascii="Times New Roman" w:hAnsi="Times New Roman"/>
          <w:u w:val="single"/>
        </w:rPr>
        <w:t>a.s</w:t>
      </w:r>
      <w:proofErr w:type="spellEnd"/>
      <w:r w:rsidRPr="0085799C">
        <w:rPr>
          <w:rFonts w:ascii="Times New Roman" w:hAnsi="Times New Roman"/>
          <w:u w:val="single"/>
        </w:rPr>
        <w:t>.</w:t>
      </w:r>
      <w:r w:rsidRPr="00A828A5">
        <w:rPr>
          <w:rFonts w:ascii="Times New Roman" w:hAnsi="Times New Roman"/>
          <w:szCs w:val="22"/>
        </w:rPr>
        <w:t xml:space="preserve"> vykazuje portfóliové záruky za úvery komerčných bánk</w:t>
      </w:r>
      <w:r w:rsidR="00611176" w:rsidRPr="00A828A5">
        <w:rPr>
          <w:rFonts w:ascii="Times New Roman" w:hAnsi="Times New Roman"/>
          <w:szCs w:val="22"/>
        </w:rPr>
        <w:t xml:space="preserve"> </w:t>
      </w:r>
      <w:r w:rsidRPr="00A828A5">
        <w:rPr>
          <w:rFonts w:ascii="Times New Roman" w:hAnsi="Times New Roman"/>
          <w:szCs w:val="22"/>
        </w:rPr>
        <w:t>poskytované v rámci opatrení na zmiernenie dopadov pandémie COVID-19 na podnikateľský sektor</w:t>
      </w:r>
      <w:r w:rsidR="00611176" w:rsidRPr="00A828A5">
        <w:rPr>
          <w:rFonts w:ascii="Times New Roman" w:hAnsi="Times New Roman"/>
          <w:szCs w:val="22"/>
        </w:rPr>
        <w:t xml:space="preserve">. </w:t>
      </w:r>
      <w:r w:rsidRPr="00A828A5">
        <w:rPr>
          <w:rFonts w:ascii="Times New Roman" w:hAnsi="Times New Roman"/>
          <w:szCs w:val="22"/>
        </w:rPr>
        <w:t>Krytie týchto</w:t>
      </w:r>
      <w:r w:rsidR="00611176" w:rsidRPr="00A828A5">
        <w:rPr>
          <w:rFonts w:ascii="Times New Roman" w:hAnsi="Times New Roman"/>
          <w:szCs w:val="22"/>
        </w:rPr>
        <w:t xml:space="preserve"> </w:t>
      </w:r>
      <w:r w:rsidRPr="00A828A5">
        <w:rPr>
          <w:rFonts w:ascii="Times New Roman" w:hAnsi="Times New Roman"/>
          <w:szCs w:val="22"/>
        </w:rPr>
        <w:t>záruk</w:t>
      </w:r>
      <w:r w:rsidR="00611176" w:rsidRPr="00A828A5">
        <w:rPr>
          <w:rFonts w:ascii="Times New Roman" w:hAnsi="Times New Roman"/>
          <w:szCs w:val="22"/>
        </w:rPr>
        <w:t xml:space="preserve"> </w:t>
      </w:r>
      <w:r w:rsidRPr="00A828A5">
        <w:rPr>
          <w:rFonts w:ascii="Times New Roman" w:hAnsi="Times New Roman"/>
          <w:szCs w:val="22"/>
        </w:rPr>
        <w:t>je</w:t>
      </w:r>
      <w:r w:rsidR="00611176" w:rsidRPr="00A828A5">
        <w:rPr>
          <w:rFonts w:ascii="Times New Roman" w:hAnsi="Times New Roman"/>
          <w:szCs w:val="22"/>
        </w:rPr>
        <w:t xml:space="preserve"> </w:t>
      </w:r>
      <w:r w:rsidRPr="00A828A5">
        <w:rPr>
          <w:rFonts w:ascii="Times New Roman" w:hAnsi="Times New Roman"/>
          <w:szCs w:val="22"/>
        </w:rPr>
        <w:t>najmä z prostriedkov rozpočtu EÚ.</w:t>
      </w:r>
    </w:p>
    <w:p w14:paraId="182497D0" w14:textId="77777777" w:rsidR="00EC7F7D" w:rsidRDefault="00EC7F7D" w:rsidP="0085799C">
      <w:pPr>
        <w:spacing w:after="120" w:line="240" w:lineRule="auto"/>
        <w:jc w:val="both"/>
        <w:rPr>
          <w:rFonts w:ascii="Times New Roman" w:hAnsi="Times New Roman"/>
          <w:b/>
          <w:szCs w:val="22"/>
          <w:lang w:eastAsia="sk-SK"/>
        </w:rPr>
      </w:pPr>
    </w:p>
    <w:p w14:paraId="004A23C9" w14:textId="77777777" w:rsidR="00EC7F7D" w:rsidRDefault="00EC7F7D" w:rsidP="00EC7F7D">
      <w:pPr>
        <w:spacing w:after="120" w:line="240" w:lineRule="auto"/>
        <w:rPr>
          <w:rFonts w:ascii="Times New Roman" w:hAnsi="Times New Roman"/>
          <w:b/>
          <w:szCs w:val="22"/>
          <w:lang w:eastAsia="sk-SK"/>
        </w:rPr>
      </w:pPr>
    </w:p>
    <w:p w14:paraId="7B37782D" w14:textId="0E3A11F1" w:rsidR="00EC7F7D" w:rsidRPr="006A3374" w:rsidRDefault="00EC7F7D" w:rsidP="00EC7F7D">
      <w:pPr>
        <w:spacing w:after="120" w:line="240" w:lineRule="auto"/>
        <w:rPr>
          <w:rFonts w:ascii="Times New Roman" w:hAnsi="Times New Roman"/>
          <w:b/>
          <w:szCs w:val="22"/>
          <w:lang w:eastAsia="sk-SK"/>
        </w:rPr>
      </w:pPr>
      <w:r w:rsidRPr="006A3374">
        <w:rPr>
          <w:rFonts w:ascii="Times New Roman" w:hAnsi="Times New Roman"/>
          <w:b/>
          <w:szCs w:val="22"/>
          <w:lang w:eastAsia="sk-SK"/>
        </w:rPr>
        <w:br w:type="page"/>
      </w:r>
    </w:p>
    <w:tbl>
      <w:tblPr>
        <w:tblW w:w="5056" w:type="pct"/>
        <w:jc w:val="center"/>
        <w:tblCellMar>
          <w:left w:w="70" w:type="dxa"/>
          <w:right w:w="70" w:type="dxa"/>
        </w:tblCellMar>
        <w:tblLook w:val="04A0" w:firstRow="1" w:lastRow="0" w:firstColumn="1" w:lastColumn="0" w:noHBand="0" w:noVBand="1"/>
      </w:tblPr>
      <w:tblGrid>
        <w:gridCol w:w="6374"/>
        <w:gridCol w:w="725"/>
        <w:gridCol w:w="1003"/>
        <w:gridCol w:w="1071"/>
      </w:tblGrid>
      <w:tr w:rsidR="00750BF4" w:rsidRPr="001567C8" w14:paraId="773ABD98" w14:textId="77777777" w:rsidTr="00A7107D">
        <w:trPr>
          <w:trHeight w:val="227"/>
          <w:jc w:val="center"/>
        </w:trPr>
        <w:tc>
          <w:tcPr>
            <w:tcW w:w="3555" w:type="pct"/>
            <w:tcBorders>
              <w:top w:val="single" w:sz="4" w:space="0" w:color="auto"/>
              <w:left w:val="nil"/>
              <w:bottom w:val="single" w:sz="4" w:space="0" w:color="auto"/>
              <w:right w:val="nil"/>
            </w:tcBorders>
            <w:shd w:val="clear" w:color="000000" w:fill="FABF8F"/>
            <w:vAlign w:val="center"/>
            <w:hideMark/>
          </w:tcPr>
          <w:p w14:paraId="35678BA2" w14:textId="13907345" w:rsidR="00750BF4" w:rsidRPr="00750BF4" w:rsidRDefault="00647542" w:rsidP="00750BF4">
            <w:pPr>
              <w:spacing w:after="0" w:line="240" w:lineRule="auto"/>
              <w:rPr>
                <w:rFonts w:ascii="Times New Roman" w:hAnsi="Times New Roman"/>
                <w:b/>
                <w:bCs/>
                <w:color w:val="000000"/>
                <w:sz w:val="18"/>
                <w:szCs w:val="18"/>
                <w:lang w:eastAsia="sk-SK"/>
              </w:rPr>
            </w:pPr>
            <w:r w:rsidRPr="128BCF73">
              <w:rPr>
                <w:rFonts w:ascii="Times New Roman" w:hAnsi="Times New Roman"/>
                <w:b/>
                <w:bCs/>
                <w:sz w:val="18"/>
                <w:szCs w:val="18"/>
              </w:rPr>
              <w:lastRenderedPageBreak/>
              <w:t xml:space="preserve">Tabuľka </w:t>
            </w:r>
            <w:r w:rsidR="00B32B6B" w:rsidRPr="128BCF73">
              <w:rPr>
                <w:rFonts w:ascii="Times New Roman" w:hAnsi="Times New Roman"/>
                <w:b/>
                <w:bCs/>
                <w:sz w:val="18"/>
                <w:szCs w:val="18"/>
              </w:rPr>
              <w:t>30</w:t>
            </w:r>
            <w:r w:rsidRPr="128BCF73">
              <w:rPr>
                <w:rFonts w:ascii="Times New Roman" w:hAnsi="Times New Roman"/>
                <w:b/>
                <w:bCs/>
                <w:sz w:val="18"/>
                <w:szCs w:val="18"/>
              </w:rPr>
              <w:fldChar w:fldCharType="begin"/>
            </w:r>
            <w:r>
              <w:instrText xml:space="preserve"> SEQ Tabuľka \* ARABIC </w:instrText>
            </w:r>
            <w:r w:rsidRPr="128BCF73">
              <w:rPr>
                <w:rFonts w:ascii="Times New Roman" w:hAnsi="Times New Roman"/>
                <w:b/>
                <w:bCs/>
                <w:sz w:val="18"/>
                <w:szCs w:val="18"/>
              </w:rPr>
              <w:fldChar w:fldCharType="separate"/>
            </w:r>
            <w:r w:rsidRPr="128BCF73">
              <w:rPr>
                <w:rFonts w:ascii="Times New Roman" w:hAnsi="Times New Roman"/>
                <w:b/>
                <w:bCs/>
                <w:sz w:val="18"/>
                <w:szCs w:val="18"/>
              </w:rPr>
              <w:fldChar w:fldCharType="end"/>
            </w:r>
            <w:r w:rsidR="00750BF4" w:rsidRPr="00750BF4">
              <w:rPr>
                <w:rFonts w:ascii="Times New Roman" w:hAnsi="Times New Roman"/>
                <w:b/>
                <w:bCs/>
                <w:color w:val="000000"/>
                <w:sz w:val="18"/>
                <w:szCs w:val="18"/>
                <w:lang w:eastAsia="sk-SK"/>
              </w:rPr>
              <w:t> Prehľad vystavených covid záruk na základe zákona č. 67/2020 Z. z.</w:t>
            </w:r>
          </w:p>
        </w:tc>
        <w:tc>
          <w:tcPr>
            <w:tcW w:w="154" w:type="pct"/>
            <w:tcBorders>
              <w:top w:val="single" w:sz="4" w:space="0" w:color="auto"/>
              <w:left w:val="nil"/>
              <w:bottom w:val="single" w:sz="4" w:space="0" w:color="auto"/>
              <w:right w:val="nil"/>
            </w:tcBorders>
            <w:shd w:val="clear" w:color="000000" w:fill="FABF8F"/>
            <w:vAlign w:val="center"/>
            <w:hideMark/>
          </w:tcPr>
          <w:p w14:paraId="60649E0A" w14:textId="77777777" w:rsidR="00750BF4" w:rsidRPr="00750BF4" w:rsidRDefault="00750BF4" w:rsidP="00750BF4">
            <w:pPr>
              <w:spacing w:after="0" w:line="240" w:lineRule="auto"/>
              <w:jc w:val="center"/>
              <w:rPr>
                <w:rFonts w:ascii="Times New Roman" w:hAnsi="Times New Roman"/>
                <w:b/>
                <w:bCs/>
                <w:color w:val="000000"/>
                <w:sz w:val="18"/>
                <w:szCs w:val="18"/>
                <w:lang w:eastAsia="sk-SK"/>
              </w:rPr>
            </w:pPr>
            <w:r w:rsidRPr="00750BF4">
              <w:rPr>
                <w:rFonts w:ascii="Times New Roman" w:hAnsi="Times New Roman"/>
                <w:b/>
                <w:bCs/>
                <w:color w:val="000000"/>
                <w:sz w:val="18"/>
                <w:szCs w:val="18"/>
                <w:lang w:eastAsia="sk-SK"/>
              </w:rPr>
              <w:t> </w:t>
            </w:r>
          </w:p>
        </w:tc>
        <w:tc>
          <w:tcPr>
            <w:tcW w:w="627" w:type="pct"/>
            <w:tcBorders>
              <w:top w:val="single" w:sz="4" w:space="0" w:color="auto"/>
              <w:left w:val="nil"/>
              <w:bottom w:val="single" w:sz="4" w:space="0" w:color="auto"/>
              <w:right w:val="nil"/>
            </w:tcBorders>
            <w:shd w:val="clear" w:color="000000" w:fill="FABF8F"/>
            <w:vAlign w:val="center"/>
            <w:hideMark/>
          </w:tcPr>
          <w:p w14:paraId="0F0FDDD2" w14:textId="77777777" w:rsidR="00750BF4" w:rsidRPr="00750BF4" w:rsidRDefault="00750BF4" w:rsidP="00750BF4">
            <w:pPr>
              <w:spacing w:after="0" w:line="240" w:lineRule="auto"/>
              <w:jc w:val="center"/>
              <w:rPr>
                <w:rFonts w:ascii="Times New Roman" w:hAnsi="Times New Roman"/>
                <w:b/>
                <w:bCs/>
                <w:color w:val="000000"/>
                <w:sz w:val="18"/>
                <w:szCs w:val="18"/>
                <w:lang w:eastAsia="sk-SK"/>
              </w:rPr>
            </w:pPr>
            <w:r w:rsidRPr="00750BF4">
              <w:rPr>
                <w:rFonts w:ascii="Times New Roman" w:hAnsi="Times New Roman"/>
                <w:b/>
                <w:bCs/>
                <w:color w:val="000000"/>
                <w:sz w:val="18"/>
                <w:szCs w:val="18"/>
                <w:lang w:eastAsia="sk-SK"/>
              </w:rPr>
              <w:t>(v tis. eur)</w:t>
            </w:r>
          </w:p>
        </w:tc>
        <w:tc>
          <w:tcPr>
            <w:tcW w:w="662" w:type="pct"/>
            <w:tcBorders>
              <w:top w:val="single" w:sz="4" w:space="0" w:color="auto"/>
              <w:left w:val="nil"/>
              <w:bottom w:val="single" w:sz="4" w:space="0" w:color="auto"/>
              <w:right w:val="nil"/>
            </w:tcBorders>
            <w:shd w:val="clear" w:color="000000" w:fill="FABF8F"/>
            <w:vAlign w:val="center"/>
            <w:hideMark/>
          </w:tcPr>
          <w:p w14:paraId="6EBD8240" w14:textId="77777777" w:rsidR="00750BF4" w:rsidRPr="00750BF4" w:rsidRDefault="00750BF4" w:rsidP="00750BF4">
            <w:pPr>
              <w:spacing w:after="0" w:line="240" w:lineRule="auto"/>
              <w:jc w:val="center"/>
              <w:rPr>
                <w:rFonts w:ascii="Times New Roman" w:hAnsi="Times New Roman"/>
                <w:b/>
                <w:bCs/>
                <w:color w:val="000000"/>
                <w:sz w:val="18"/>
                <w:szCs w:val="18"/>
                <w:lang w:eastAsia="sk-SK"/>
              </w:rPr>
            </w:pPr>
            <w:r w:rsidRPr="00750BF4">
              <w:rPr>
                <w:rFonts w:ascii="Times New Roman" w:hAnsi="Times New Roman"/>
                <w:b/>
                <w:bCs/>
                <w:color w:val="000000"/>
                <w:sz w:val="18"/>
                <w:szCs w:val="18"/>
                <w:lang w:eastAsia="sk-SK"/>
              </w:rPr>
              <w:t> </w:t>
            </w:r>
          </w:p>
        </w:tc>
      </w:tr>
      <w:tr w:rsidR="00750BF4" w:rsidRPr="001567C8" w14:paraId="602BCA21" w14:textId="77777777" w:rsidTr="00A7107D">
        <w:trPr>
          <w:trHeight w:val="227"/>
          <w:jc w:val="center"/>
        </w:trPr>
        <w:tc>
          <w:tcPr>
            <w:tcW w:w="3555" w:type="pct"/>
            <w:tcBorders>
              <w:top w:val="nil"/>
              <w:left w:val="nil"/>
              <w:bottom w:val="single" w:sz="4" w:space="0" w:color="auto"/>
              <w:right w:val="nil"/>
            </w:tcBorders>
            <w:shd w:val="clear" w:color="000000" w:fill="B8CCE4"/>
            <w:vAlign w:val="center"/>
            <w:hideMark/>
          </w:tcPr>
          <w:p w14:paraId="2388633C" w14:textId="77777777" w:rsidR="00750BF4" w:rsidRPr="00750BF4" w:rsidRDefault="00750BF4" w:rsidP="00750BF4">
            <w:pPr>
              <w:spacing w:after="0" w:line="240" w:lineRule="auto"/>
              <w:rPr>
                <w:rFonts w:ascii="Times New Roman" w:hAnsi="Times New Roman"/>
                <w:color w:val="000000"/>
                <w:sz w:val="16"/>
                <w:szCs w:val="16"/>
                <w:lang w:eastAsia="sk-SK"/>
              </w:rPr>
            </w:pPr>
            <w:r w:rsidRPr="00750BF4">
              <w:rPr>
                <w:rFonts w:ascii="Times New Roman" w:hAnsi="Times New Roman"/>
                <w:color w:val="000000"/>
                <w:sz w:val="16"/>
                <w:szCs w:val="16"/>
                <w:lang w:eastAsia="sk-SK"/>
              </w:rPr>
              <w:t> </w:t>
            </w:r>
          </w:p>
        </w:tc>
        <w:tc>
          <w:tcPr>
            <w:tcW w:w="154" w:type="pct"/>
            <w:tcBorders>
              <w:top w:val="nil"/>
              <w:left w:val="nil"/>
              <w:bottom w:val="single" w:sz="4" w:space="0" w:color="auto"/>
              <w:right w:val="nil"/>
            </w:tcBorders>
            <w:shd w:val="clear" w:color="000000" w:fill="B8CCE4"/>
            <w:vAlign w:val="center"/>
            <w:hideMark/>
          </w:tcPr>
          <w:p w14:paraId="4253C7BE" w14:textId="77777777" w:rsidR="00750BF4" w:rsidRPr="00750BF4" w:rsidRDefault="00750BF4" w:rsidP="00750BF4">
            <w:pPr>
              <w:spacing w:after="0" w:line="240" w:lineRule="auto"/>
              <w:jc w:val="center"/>
              <w:rPr>
                <w:rFonts w:ascii="Times New Roman" w:hAnsi="Times New Roman"/>
                <w:b/>
                <w:bCs/>
                <w:color w:val="000000"/>
                <w:sz w:val="18"/>
                <w:szCs w:val="18"/>
                <w:lang w:eastAsia="sk-SK"/>
              </w:rPr>
            </w:pPr>
            <w:r w:rsidRPr="00750BF4">
              <w:rPr>
                <w:rFonts w:ascii="Times New Roman" w:hAnsi="Times New Roman"/>
                <w:b/>
                <w:bCs/>
                <w:color w:val="000000"/>
                <w:sz w:val="18"/>
                <w:szCs w:val="18"/>
                <w:lang w:eastAsia="sk-SK"/>
              </w:rPr>
              <w:t>2024</w:t>
            </w:r>
          </w:p>
        </w:tc>
        <w:tc>
          <w:tcPr>
            <w:tcW w:w="627" w:type="pct"/>
            <w:tcBorders>
              <w:top w:val="nil"/>
              <w:left w:val="nil"/>
              <w:bottom w:val="single" w:sz="4" w:space="0" w:color="auto"/>
              <w:right w:val="nil"/>
            </w:tcBorders>
            <w:shd w:val="clear" w:color="000000" w:fill="B8CCE4"/>
            <w:vAlign w:val="center"/>
            <w:hideMark/>
          </w:tcPr>
          <w:p w14:paraId="2322A0C9" w14:textId="77777777" w:rsidR="00750BF4" w:rsidRPr="00750BF4" w:rsidRDefault="00750BF4" w:rsidP="00750BF4">
            <w:pPr>
              <w:spacing w:after="0" w:line="240" w:lineRule="auto"/>
              <w:jc w:val="center"/>
              <w:rPr>
                <w:rFonts w:ascii="Times New Roman" w:hAnsi="Times New Roman"/>
                <w:b/>
                <w:bCs/>
                <w:color w:val="000000"/>
                <w:sz w:val="18"/>
                <w:szCs w:val="18"/>
                <w:lang w:eastAsia="sk-SK"/>
              </w:rPr>
            </w:pPr>
            <w:r w:rsidRPr="00750BF4">
              <w:rPr>
                <w:rFonts w:ascii="Times New Roman" w:hAnsi="Times New Roman"/>
                <w:b/>
                <w:bCs/>
                <w:color w:val="000000"/>
                <w:sz w:val="18"/>
                <w:szCs w:val="18"/>
                <w:lang w:eastAsia="sk-SK"/>
              </w:rPr>
              <w:t>2023</w:t>
            </w:r>
          </w:p>
        </w:tc>
        <w:tc>
          <w:tcPr>
            <w:tcW w:w="662" w:type="pct"/>
            <w:tcBorders>
              <w:top w:val="nil"/>
              <w:left w:val="nil"/>
              <w:bottom w:val="single" w:sz="4" w:space="0" w:color="auto"/>
              <w:right w:val="nil"/>
            </w:tcBorders>
            <w:shd w:val="clear" w:color="000000" w:fill="B8CCE4"/>
            <w:vAlign w:val="center"/>
            <w:hideMark/>
          </w:tcPr>
          <w:p w14:paraId="027F13EB" w14:textId="77777777" w:rsidR="00750BF4" w:rsidRPr="00750BF4" w:rsidRDefault="00750BF4" w:rsidP="00750BF4">
            <w:pPr>
              <w:spacing w:after="0" w:line="240" w:lineRule="auto"/>
              <w:jc w:val="center"/>
              <w:rPr>
                <w:rFonts w:ascii="Times New Roman" w:hAnsi="Times New Roman"/>
                <w:b/>
                <w:bCs/>
                <w:color w:val="000000"/>
                <w:sz w:val="18"/>
                <w:szCs w:val="18"/>
                <w:lang w:eastAsia="sk-SK"/>
              </w:rPr>
            </w:pPr>
            <w:r w:rsidRPr="00750BF4">
              <w:rPr>
                <w:rFonts w:ascii="Times New Roman" w:hAnsi="Times New Roman"/>
                <w:b/>
                <w:bCs/>
                <w:color w:val="000000"/>
                <w:sz w:val="18"/>
                <w:szCs w:val="18"/>
                <w:lang w:eastAsia="sk-SK"/>
              </w:rPr>
              <w:t>Δ2024-2023</w:t>
            </w:r>
          </w:p>
        </w:tc>
      </w:tr>
      <w:tr w:rsidR="00750BF4" w:rsidRPr="001567C8" w14:paraId="21E5D9CA" w14:textId="77777777" w:rsidTr="00A7107D">
        <w:trPr>
          <w:trHeight w:val="227"/>
          <w:jc w:val="center"/>
        </w:trPr>
        <w:tc>
          <w:tcPr>
            <w:tcW w:w="3555" w:type="pct"/>
            <w:tcBorders>
              <w:top w:val="nil"/>
              <w:left w:val="nil"/>
              <w:bottom w:val="nil"/>
              <w:right w:val="nil"/>
            </w:tcBorders>
            <w:vAlign w:val="center"/>
            <w:hideMark/>
          </w:tcPr>
          <w:p w14:paraId="0AF630D5" w14:textId="77777777" w:rsidR="00750BF4" w:rsidRPr="00750BF4" w:rsidRDefault="00750BF4" w:rsidP="00750BF4">
            <w:pPr>
              <w:spacing w:after="0" w:line="240" w:lineRule="auto"/>
              <w:rPr>
                <w:rFonts w:ascii="Times New Roman" w:hAnsi="Times New Roman"/>
                <w:color w:val="000000"/>
                <w:sz w:val="18"/>
                <w:szCs w:val="18"/>
                <w:lang w:eastAsia="sk-SK"/>
              </w:rPr>
            </w:pPr>
            <w:r w:rsidRPr="00750BF4">
              <w:rPr>
                <w:rFonts w:ascii="Times New Roman" w:hAnsi="Times New Roman"/>
                <w:color w:val="000000"/>
                <w:sz w:val="18"/>
                <w:szCs w:val="18"/>
                <w:lang w:eastAsia="sk-SK"/>
              </w:rPr>
              <w:t>NDF II v prospech tretích strán (§25a)</w:t>
            </w:r>
          </w:p>
        </w:tc>
        <w:tc>
          <w:tcPr>
            <w:tcW w:w="154" w:type="pct"/>
            <w:tcBorders>
              <w:top w:val="nil"/>
              <w:left w:val="nil"/>
              <w:bottom w:val="nil"/>
              <w:right w:val="nil"/>
            </w:tcBorders>
            <w:vAlign w:val="center"/>
            <w:hideMark/>
          </w:tcPr>
          <w:p w14:paraId="21BC0185" w14:textId="77777777" w:rsidR="00750BF4" w:rsidRPr="00750BF4" w:rsidRDefault="00750BF4" w:rsidP="00750BF4">
            <w:pPr>
              <w:spacing w:after="0" w:line="240" w:lineRule="auto"/>
              <w:jc w:val="right"/>
              <w:rPr>
                <w:rFonts w:ascii="Times New Roman" w:hAnsi="Times New Roman"/>
                <w:color w:val="000000"/>
                <w:sz w:val="18"/>
                <w:szCs w:val="18"/>
                <w:lang w:eastAsia="sk-SK"/>
              </w:rPr>
            </w:pPr>
            <w:r w:rsidRPr="00750BF4">
              <w:rPr>
                <w:rFonts w:ascii="Times New Roman" w:hAnsi="Times New Roman"/>
                <w:color w:val="000000"/>
                <w:sz w:val="18"/>
                <w:szCs w:val="18"/>
                <w:lang w:eastAsia="sk-SK"/>
              </w:rPr>
              <w:t>290 387</w:t>
            </w:r>
          </w:p>
        </w:tc>
        <w:tc>
          <w:tcPr>
            <w:tcW w:w="627" w:type="pct"/>
            <w:tcBorders>
              <w:top w:val="nil"/>
              <w:left w:val="nil"/>
              <w:bottom w:val="nil"/>
              <w:right w:val="nil"/>
            </w:tcBorders>
            <w:vAlign w:val="center"/>
            <w:hideMark/>
          </w:tcPr>
          <w:p w14:paraId="44931040" w14:textId="77777777" w:rsidR="00750BF4" w:rsidRPr="00750BF4" w:rsidRDefault="00750BF4" w:rsidP="00750BF4">
            <w:pPr>
              <w:spacing w:after="0" w:line="240" w:lineRule="auto"/>
              <w:jc w:val="right"/>
              <w:rPr>
                <w:rFonts w:ascii="Times New Roman" w:hAnsi="Times New Roman"/>
                <w:color w:val="000000"/>
                <w:sz w:val="18"/>
                <w:szCs w:val="18"/>
                <w:lang w:eastAsia="sk-SK"/>
              </w:rPr>
            </w:pPr>
            <w:r w:rsidRPr="00750BF4">
              <w:rPr>
                <w:rFonts w:ascii="Times New Roman" w:hAnsi="Times New Roman"/>
                <w:color w:val="000000"/>
                <w:sz w:val="18"/>
                <w:szCs w:val="18"/>
                <w:lang w:eastAsia="sk-SK"/>
              </w:rPr>
              <w:t>461 226</w:t>
            </w:r>
          </w:p>
        </w:tc>
        <w:tc>
          <w:tcPr>
            <w:tcW w:w="662" w:type="pct"/>
            <w:tcBorders>
              <w:top w:val="nil"/>
              <w:left w:val="nil"/>
              <w:bottom w:val="nil"/>
              <w:right w:val="nil"/>
            </w:tcBorders>
            <w:vAlign w:val="center"/>
            <w:hideMark/>
          </w:tcPr>
          <w:p w14:paraId="58E34549" w14:textId="77777777" w:rsidR="00750BF4" w:rsidRPr="00750BF4" w:rsidRDefault="00750BF4" w:rsidP="00750BF4">
            <w:pPr>
              <w:spacing w:after="0" w:line="240" w:lineRule="auto"/>
              <w:jc w:val="right"/>
              <w:rPr>
                <w:rFonts w:ascii="Times New Roman" w:hAnsi="Times New Roman"/>
                <w:color w:val="000000"/>
                <w:sz w:val="18"/>
                <w:szCs w:val="18"/>
                <w:lang w:eastAsia="sk-SK"/>
              </w:rPr>
            </w:pPr>
            <w:r w:rsidRPr="00750BF4">
              <w:rPr>
                <w:rFonts w:ascii="Times New Roman" w:hAnsi="Times New Roman"/>
                <w:color w:val="000000"/>
                <w:sz w:val="18"/>
                <w:szCs w:val="18"/>
                <w:lang w:eastAsia="sk-SK"/>
              </w:rPr>
              <w:t>-170 839</w:t>
            </w:r>
          </w:p>
        </w:tc>
      </w:tr>
      <w:tr w:rsidR="00750BF4" w:rsidRPr="001567C8" w14:paraId="10641C25" w14:textId="77777777" w:rsidTr="00A7107D">
        <w:trPr>
          <w:trHeight w:val="227"/>
          <w:jc w:val="center"/>
        </w:trPr>
        <w:tc>
          <w:tcPr>
            <w:tcW w:w="3555" w:type="pct"/>
            <w:tcBorders>
              <w:top w:val="nil"/>
              <w:left w:val="nil"/>
              <w:bottom w:val="nil"/>
              <w:right w:val="nil"/>
            </w:tcBorders>
            <w:vAlign w:val="center"/>
            <w:hideMark/>
          </w:tcPr>
          <w:p w14:paraId="09E0CCD0" w14:textId="77777777" w:rsidR="00750BF4" w:rsidRPr="00750BF4" w:rsidRDefault="00750BF4" w:rsidP="00750BF4">
            <w:pPr>
              <w:spacing w:after="0" w:line="240" w:lineRule="auto"/>
              <w:rPr>
                <w:rFonts w:ascii="Times New Roman" w:hAnsi="Times New Roman"/>
                <w:color w:val="000000"/>
                <w:sz w:val="18"/>
                <w:szCs w:val="18"/>
                <w:lang w:eastAsia="sk-SK"/>
              </w:rPr>
            </w:pPr>
            <w:r w:rsidRPr="00750BF4">
              <w:rPr>
                <w:rFonts w:ascii="Times New Roman" w:hAnsi="Times New Roman"/>
                <w:color w:val="000000"/>
                <w:sz w:val="18"/>
                <w:szCs w:val="18"/>
                <w:lang w:eastAsia="sk-SK"/>
              </w:rPr>
              <w:t>MF SR v prospech NDF I (§25a)</w:t>
            </w:r>
          </w:p>
        </w:tc>
        <w:tc>
          <w:tcPr>
            <w:tcW w:w="154" w:type="pct"/>
            <w:tcBorders>
              <w:top w:val="nil"/>
              <w:left w:val="nil"/>
              <w:bottom w:val="nil"/>
              <w:right w:val="nil"/>
            </w:tcBorders>
            <w:vAlign w:val="center"/>
            <w:hideMark/>
          </w:tcPr>
          <w:p w14:paraId="101E0468" w14:textId="77777777" w:rsidR="00750BF4" w:rsidRPr="00750BF4" w:rsidRDefault="00750BF4" w:rsidP="00750BF4">
            <w:pPr>
              <w:spacing w:after="0" w:line="240" w:lineRule="auto"/>
              <w:jc w:val="right"/>
              <w:rPr>
                <w:rFonts w:ascii="Times New Roman" w:hAnsi="Times New Roman"/>
                <w:color w:val="000000"/>
                <w:sz w:val="18"/>
                <w:szCs w:val="18"/>
                <w:lang w:eastAsia="sk-SK"/>
              </w:rPr>
            </w:pPr>
            <w:r w:rsidRPr="00750BF4">
              <w:rPr>
                <w:rFonts w:ascii="Times New Roman" w:hAnsi="Times New Roman"/>
                <w:color w:val="000000"/>
                <w:sz w:val="18"/>
                <w:szCs w:val="18"/>
                <w:lang w:eastAsia="sk-SK"/>
              </w:rPr>
              <w:t>101 346</w:t>
            </w:r>
          </w:p>
        </w:tc>
        <w:tc>
          <w:tcPr>
            <w:tcW w:w="627" w:type="pct"/>
            <w:tcBorders>
              <w:top w:val="nil"/>
              <w:left w:val="nil"/>
              <w:bottom w:val="nil"/>
              <w:right w:val="nil"/>
            </w:tcBorders>
            <w:vAlign w:val="center"/>
            <w:hideMark/>
          </w:tcPr>
          <w:p w14:paraId="6A9BD023" w14:textId="77777777" w:rsidR="00750BF4" w:rsidRPr="00750BF4" w:rsidRDefault="00750BF4" w:rsidP="00750BF4">
            <w:pPr>
              <w:spacing w:after="0" w:line="240" w:lineRule="auto"/>
              <w:jc w:val="right"/>
              <w:rPr>
                <w:rFonts w:ascii="Times New Roman" w:hAnsi="Times New Roman"/>
                <w:color w:val="000000"/>
                <w:sz w:val="18"/>
                <w:szCs w:val="18"/>
                <w:lang w:eastAsia="sk-SK"/>
              </w:rPr>
            </w:pPr>
            <w:r w:rsidRPr="00750BF4">
              <w:rPr>
                <w:rFonts w:ascii="Times New Roman" w:hAnsi="Times New Roman"/>
                <w:color w:val="000000"/>
                <w:sz w:val="18"/>
                <w:szCs w:val="18"/>
                <w:lang w:eastAsia="sk-SK"/>
              </w:rPr>
              <w:t>163 666</w:t>
            </w:r>
          </w:p>
        </w:tc>
        <w:tc>
          <w:tcPr>
            <w:tcW w:w="662" w:type="pct"/>
            <w:tcBorders>
              <w:top w:val="nil"/>
              <w:left w:val="nil"/>
              <w:bottom w:val="nil"/>
              <w:right w:val="nil"/>
            </w:tcBorders>
            <w:vAlign w:val="center"/>
            <w:hideMark/>
          </w:tcPr>
          <w:p w14:paraId="768CBE0E" w14:textId="77777777" w:rsidR="00750BF4" w:rsidRPr="00750BF4" w:rsidRDefault="00750BF4" w:rsidP="00750BF4">
            <w:pPr>
              <w:spacing w:after="0" w:line="240" w:lineRule="auto"/>
              <w:jc w:val="right"/>
              <w:rPr>
                <w:rFonts w:ascii="Times New Roman" w:hAnsi="Times New Roman"/>
                <w:color w:val="000000"/>
                <w:sz w:val="18"/>
                <w:szCs w:val="18"/>
                <w:lang w:eastAsia="sk-SK"/>
              </w:rPr>
            </w:pPr>
            <w:r w:rsidRPr="00750BF4">
              <w:rPr>
                <w:rFonts w:ascii="Times New Roman" w:hAnsi="Times New Roman"/>
                <w:color w:val="000000"/>
                <w:sz w:val="18"/>
                <w:szCs w:val="18"/>
                <w:lang w:eastAsia="sk-SK"/>
              </w:rPr>
              <w:t>-62 320</w:t>
            </w:r>
          </w:p>
        </w:tc>
      </w:tr>
      <w:tr w:rsidR="00750BF4" w:rsidRPr="001567C8" w14:paraId="452D21D0" w14:textId="77777777" w:rsidTr="00A7107D">
        <w:trPr>
          <w:trHeight w:val="227"/>
          <w:jc w:val="center"/>
        </w:trPr>
        <w:tc>
          <w:tcPr>
            <w:tcW w:w="3555" w:type="pct"/>
            <w:tcBorders>
              <w:top w:val="nil"/>
              <w:left w:val="nil"/>
              <w:bottom w:val="nil"/>
              <w:right w:val="nil"/>
            </w:tcBorders>
            <w:noWrap/>
            <w:vAlign w:val="center"/>
            <w:hideMark/>
          </w:tcPr>
          <w:p w14:paraId="6B98710F" w14:textId="77777777" w:rsidR="00750BF4" w:rsidRPr="00750BF4" w:rsidRDefault="00750BF4" w:rsidP="00750BF4">
            <w:pPr>
              <w:spacing w:after="0" w:line="240" w:lineRule="auto"/>
              <w:rPr>
                <w:rFonts w:ascii="Times New Roman" w:hAnsi="Times New Roman"/>
                <w:color w:val="000000"/>
                <w:sz w:val="18"/>
                <w:szCs w:val="18"/>
                <w:lang w:eastAsia="sk-SK"/>
              </w:rPr>
            </w:pPr>
            <w:r w:rsidRPr="00750BF4">
              <w:rPr>
                <w:rFonts w:ascii="Times New Roman" w:hAnsi="Times New Roman"/>
                <w:color w:val="000000"/>
                <w:sz w:val="18"/>
                <w:szCs w:val="18"/>
                <w:lang w:eastAsia="sk-SK"/>
              </w:rPr>
              <w:t>MF SR v prospech SZRB, a.s. (§5)</w:t>
            </w:r>
          </w:p>
        </w:tc>
        <w:tc>
          <w:tcPr>
            <w:tcW w:w="154" w:type="pct"/>
            <w:tcBorders>
              <w:top w:val="nil"/>
              <w:left w:val="nil"/>
              <w:bottom w:val="nil"/>
              <w:right w:val="nil"/>
            </w:tcBorders>
            <w:vAlign w:val="center"/>
            <w:hideMark/>
          </w:tcPr>
          <w:p w14:paraId="52364070" w14:textId="77777777" w:rsidR="00750BF4" w:rsidRPr="00750BF4" w:rsidRDefault="00750BF4" w:rsidP="00750BF4">
            <w:pPr>
              <w:spacing w:after="0" w:line="240" w:lineRule="auto"/>
              <w:jc w:val="right"/>
              <w:rPr>
                <w:rFonts w:ascii="Times New Roman" w:hAnsi="Times New Roman"/>
                <w:color w:val="000000"/>
                <w:sz w:val="18"/>
                <w:szCs w:val="18"/>
                <w:lang w:eastAsia="sk-SK"/>
              </w:rPr>
            </w:pPr>
            <w:r w:rsidRPr="00750BF4">
              <w:rPr>
                <w:rFonts w:ascii="Times New Roman" w:hAnsi="Times New Roman"/>
                <w:color w:val="000000"/>
                <w:sz w:val="18"/>
                <w:szCs w:val="18"/>
                <w:lang w:eastAsia="sk-SK"/>
              </w:rPr>
              <w:t>24 723</w:t>
            </w:r>
          </w:p>
        </w:tc>
        <w:tc>
          <w:tcPr>
            <w:tcW w:w="627" w:type="pct"/>
            <w:tcBorders>
              <w:top w:val="nil"/>
              <w:left w:val="nil"/>
              <w:bottom w:val="nil"/>
              <w:right w:val="nil"/>
            </w:tcBorders>
            <w:vAlign w:val="center"/>
            <w:hideMark/>
          </w:tcPr>
          <w:p w14:paraId="0652E96C" w14:textId="77777777" w:rsidR="00750BF4" w:rsidRPr="00750BF4" w:rsidRDefault="00750BF4" w:rsidP="00750BF4">
            <w:pPr>
              <w:spacing w:after="0" w:line="240" w:lineRule="auto"/>
              <w:jc w:val="right"/>
              <w:rPr>
                <w:rFonts w:ascii="Times New Roman" w:hAnsi="Times New Roman"/>
                <w:color w:val="000000"/>
                <w:sz w:val="18"/>
                <w:szCs w:val="18"/>
                <w:lang w:eastAsia="sk-SK"/>
              </w:rPr>
            </w:pPr>
            <w:r w:rsidRPr="00750BF4">
              <w:rPr>
                <w:rFonts w:ascii="Times New Roman" w:hAnsi="Times New Roman"/>
                <w:color w:val="000000"/>
                <w:sz w:val="18"/>
                <w:szCs w:val="18"/>
                <w:lang w:eastAsia="sk-SK"/>
              </w:rPr>
              <w:t>24 803</w:t>
            </w:r>
          </w:p>
        </w:tc>
        <w:tc>
          <w:tcPr>
            <w:tcW w:w="662" w:type="pct"/>
            <w:tcBorders>
              <w:top w:val="nil"/>
              <w:left w:val="nil"/>
              <w:bottom w:val="nil"/>
              <w:right w:val="nil"/>
            </w:tcBorders>
            <w:vAlign w:val="center"/>
            <w:hideMark/>
          </w:tcPr>
          <w:p w14:paraId="35D19AD1" w14:textId="77777777" w:rsidR="00750BF4" w:rsidRPr="00750BF4" w:rsidRDefault="00750BF4" w:rsidP="00750BF4">
            <w:pPr>
              <w:spacing w:after="0" w:line="240" w:lineRule="auto"/>
              <w:jc w:val="right"/>
              <w:rPr>
                <w:rFonts w:ascii="Times New Roman" w:hAnsi="Times New Roman"/>
                <w:color w:val="000000"/>
                <w:sz w:val="18"/>
                <w:szCs w:val="18"/>
                <w:lang w:eastAsia="sk-SK"/>
              </w:rPr>
            </w:pPr>
            <w:r w:rsidRPr="00750BF4">
              <w:rPr>
                <w:rFonts w:ascii="Times New Roman" w:hAnsi="Times New Roman"/>
                <w:color w:val="000000"/>
                <w:sz w:val="18"/>
                <w:szCs w:val="18"/>
                <w:lang w:eastAsia="sk-SK"/>
              </w:rPr>
              <w:t>-80</w:t>
            </w:r>
          </w:p>
        </w:tc>
      </w:tr>
      <w:tr w:rsidR="00750BF4" w:rsidRPr="001567C8" w14:paraId="3D0CFA4C" w14:textId="77777777" w:rsidTr="00A7107D">
        <w:trPr>
          <w:trHeight w:val="227"/>
          <w:jc w:val="center"/>
        </w:trPr>
        <w:tc>
          <w:tcPr>
            <w:tcW w:w="3555" w:type="pct"/>
            <w:tcBorders>
              <w:top w:val="nil"/>
              <w:left w:val="nil"/>
              <w:bottom w:val="nil"/>
              <w:right w:val="nil"/>
            </w:tcBorders>
            <w:vAlign w:val="center"/>
            <w:hideMark/>
          </w:tcPr>
          <w:p w14:paraId="6F76F2E4" w14:textId="4B9D6580" w:rsidR="00750BF4" w:rsidRPr="00750BF4" w:rsidRDefault="00750BF4" w:rsidP="00750BF4">
            <w:pPr>
              <w:spacing w:after="0" w:line="240" w:lineRule="auto"/>
              <w:rPr>
                <w:rFonts w:ascii="Times New Roman" w:hAnsi="Times New Roman"/>
                <w:color w:val="000000"/>
                <w:sz w:val="18"/>
                <w:szCs w:val="18"/>
                <w:lang w:eastAsia="sk-SK"/>
              </w:rPr>
            </w:pPr>
            <w:r w:rsidRPr="00750BF4">
              <w:rPr>
                <w:rFonts w:ascii="Times New Roman" w:hAnsi="Times New Roman"/>
                <w:color w:val="000000"/>
                <w:sz w:val="18"/>
                <w:szCs w:val="18"/>
                <w:lang w:eastAsia="sk-SK"/>
              </w:rPr>
              <w:t>MF SR v prospech EXIMBANKY</w:t>
            </w:r>
            <w:r w:rsidR="00A15561">
              <w:rPr>
                <w:rFonts w:ascii="Times New Roman" w:hAnsi="Times New Roman"/>
                <w:color w:val="000000"/>
                <w:sz w:val="18"/>
                <w:szCs w:val="18"/>
                <w:lang w:eastAsia="sk-SK"/>
              </w:rPr>
              <w:t xml:space="preserve"> SR</w:t>
            </w:r>
            <w:r w:rsidRPr="00750BF4">
              <w:rPr>
                <w:rFonts w:ascii="Times New Roman" w:hAnsi="Times New Roman"/>
                <w:color w:val="000000"/>
                <w:sz w:val="18"/>
                <w:szCs w:val="18"/>
                <w:lang w:eastAsia="sk-SK"/>
              </w:rPr>
              <w:t xml:space="preserve"> (§25)</w:t>
            </w:r>
          </w:p>
        </w:tc>
        <w:tc>
          <w:tcPr>
            <w:tcW w:w="154" w:type="pct"/>
            <w:tcBorders>
              <w:top w:val="nil"/>
              <w:left w:val="nil"/>
              <w:bottom w:val="nil"/>
              <w:right w:val="nil"/>
            </w:tcBorders>
            <w:vAlign w:val="center"/>
            <w:hideMark/>
          </w:tcPr>
          <w:p w14:paraId="4150F5DC" w14:textId="77777777" w:rsidR="00750BF4" w:rsidRPr="00750BF4" w:rsidRDefault="00750BF4" w:rsidP="00750BF4">
            <w:pPr>
              <w:spacing w:after="0" w:line="240" w:lineRule="auto"/>
              <w:jc w:val="right"/>
              <w:rPr>
                <w:rFonts w:ascii="Times New Roman" w:hAnsi="Times New Roman"/>
                <w:color w:val="000000"/>
                <w:sz w:val="18"/>
                <w:szCs w:val="18"/>
                <w:lang w:eastAsia="sk-SK"/>
              </w:rPr>
            </w:pPr>
            <w:r w:rsidRPr="00750BF4">
              <w:rPr>
                <w:rFonts w:ascii="Times New Roman" w:hAnsi="Times New Roman"/>
                <w:color w:val="000000"/>
                <w:sz w:val="18"/>
                <w:szCs w:val="18"/>
                <w:lang w:eastAsia="sk-SK"/>
              </w:rPr>
              <w:t>18 904</w:t>
            </w:r>
          </w:p>
        </w:tc>
        <w:tc>
          <w:tcPr>
            <w:tcW w:w="627" w:type="pct"/>
            <w:tcBorders>
              <w:top w:val="nil"/>
              <w:left w:val="nil"/>
              <w:bottom w:val="nil"/>
              <w:right w:val="nil"/>
            </w:tcBorders>
            <w:vAlign w:val="center"/>
            <w:hideMark/>
          </w:tcPr>
          <w:p w14:paraId="59F4DB74" w14:textId="77777777" w:rsidR="00750BF4" w:rsidRPr="00750BF4" w:rsidRDefault="00750BF4" w:rsidP="00750BF4">
            <w:pPr>
              <w:spacing w:after="0" w:line="240" w:lineRule="auto"/>
              <w:jc w:val="right"/>
              <w:rPr>
                <w:rFonts w:ascii="Times New Roman" w:hAnsi="Times New Roman"/>
                <w:color w:val="000000"/>
                <w:sz w:val="18"/>
                <w:szCs w:val="18"/>
                <w:lang w:eastAsia="sk-SK"/>
              </w:rPr>
            </w:pPr>
            <w:r w:rsidRPr="00750BF4">
              <w:rPr>
                <w:rFonts w:ascii="Times New Roman" w:hAnsi="Times New Roman"/>
                <w:color w:val="000000"/>
                <w:sz w:val="18"/>
                <w:szCs w:val="18"/>
                <w:lang w:eastAsia="sk-SK"/>
              </w:rPr>
              <w:t>19 304</w:t>
            </w:r>
          </w:p>
        </w:tc>
        <w:tc>
          <w:tcPr>
            <w:tcW w:w="662" w:type="pct"/>
            <w:tcBorders>
              <w:top w:val="nil"/>
              <w:left w:val="nil"/>
              <w:bottom w:val="nil"/>
              <w:right w:val="nil"/>
            </w:tcBorders>
            <w:vAlign w:val="center"/>
            <w:hideMark/>
          </w:tcPr>
          <w:p w14:paraId="2193C583" w14:textId="77777777" w:rsidR="00750BF4" w:rsidRPr="00750BF4" w:rsidRDefault="00750BF4" w:rsidP="00750BF4">
            <w:pPr>
              <w:spacing w:after="0" w:line="240" w:lineRule="auto"/>
              <w:jc w:val="right"/>
              <w:rPr>
                <w:rFonts w:ascii="Times New Roman" w:hAnsi="Times New Roman"/>
                <w:color w:val="000000"/>
                <w:sz w:val="18"/>
                <w:szCs w:val="18"/>
                <w:lang w:eastAsia="sk-SK"/>
              </w:rPr>
            </w:pPr>
            <w:r w:rsidRPr="00750BF4">
              <w:rPr>
                <w:rFonts w:ascii="Times New Roman" w:hAnsi="Times New Roman"/>
                <w:color w:val="000000"/>
                <w:sz w:val="18"/>
                <w:szCs w:val="18"/>
                <w:lang w:eastAsia="sk-SK"/>
              </w:rPr>
              <w:t>-400</w:t>
            </w:r>
          </w:p>
        </w:tc>
      </w:tr>
      <w:tr w:rsidR="00750BF4" w:rsidRPr="001567C8" w14:paraId="67A9FF7B" w14:textId="77777777" w:rsidTr="00A7107D">
        <w:trPr>
          <w:trHeight w:val="227"/>
          <w:jc w:val="center"/>
        </w:trPr>
        <w:tc>
          <w:tcPr>
            <w:tcW w:w="3555" w:type="pct"/>
            <w:tcBorders>
              <w:top w:val="nil"/>
              <w:left w:val="nil"/>
              <w:bottom w:val="single" w:sz="4" w:space="0" w:color="auto"/>
              <w:right w:val="nil"/>
            </w:tcBorders>
            <w:vAlign w:val="center"/>
            <w:hideMark/>
          </w:tcPr>
          <w:p w14:paraId="35EB08EE" w14:textId="3E4FE5A8" w:rsidR="00750BF4" w:rsidRPr="00750BF4" w:rsidRDefault="00750BF4" w:rsidP="00750BF4">
            <w:pPr>
              <w:spacing w:after="0" w:line="240" w:lineRule="auto"/>
              <w:rPr>
                <w:rFonts w:ascii="Times New Roman" w:hAnsi="Times New Roman"/>
                <w:color w:val="000000"/>
                <w:sz w:val="18"/>
                <w:szCs w:val="18"/>
                <w:lang w:eastAsia="sk-SK"/>
              </w:rPr>
            </w:pPr>
            <w:r w:rsidRPr="00750BF4">
              <w:rPr>
                <w:rFonts w:ascii="Times New Roman" w:hAnsi="Times New Roman"/>
                <w:color w:val="000000"/>
                <w:sz w:val="18"/>
                <w:szCs w:val="18"/>
                <w:lang w:eastAsia="sk-SK"/>
              </w:rPr>
              <w:t>MF SR v prospech EXIMBANKY</w:t>
            </w:r>
            <w:r w:rsidR="00A15561">
              <w:rPr>
                <w:rFonts w:ascii="Times New Roman" w:hAnsi="Times New Roman"/>
                <w:color w:val="000000"/>
                <w:sz w:val="18"/>
                <w:szCs w:val="18"/>
                <w:lang w:eastAsia="sk-SK"/>
              </w:rPr>
              <w:t xml:space="preserve"> SR</w:t>
            </w:r>
            <w:r w:rsidRPr="00750BF4">
              <w:rPr>
                <w:rFonts w:ascii="Times New Roman" w:hAnsi="Times New Roman"/>
                <w:color w:val="000000"/>
                <w:sz w:val="18"/>
                <w:szCs w:val="18"/>
                <w:lang w:eastAsia="sk-SK"/>
              </w:rPr>
              <w:t xml:space="preserve"> (§25a)</w:t>
            </w:r>
          </w:p>
        </w:tc>
        <w:tc>
          <w:tcPr>
            <w:tcW w:w="154" w:type="pct"/>
            <w:tcBorders>
              <w:top w:val="nil"/>
              <w:left w:val="nil"/>
              <w:bottom w:val="single" w:sz="4" w:space="0" w:color="auto"/>
              <w:right w:val="nil"/>
            </w:tcBorders>
            <w:vAlign w:val="center"/>
            <w:hideMark/>
          </w:tcPr>
          <w:p w14:paraId="14C26BB4" w14:textId="77777777" w:rsidR="00750BF4" w:rsidRPr="00750BF4" w:rsidRDefault="00750BF4" w:rsidP="00750BF4">
            <w:pPr>
              <w:spacing w:after="0" w:line="240" w:lineRule="auto"/>
              <w:jc w:val="right"/>
              <w:rPr>
                <w:rFonts w:ascii="Times New Roman" w:hAnsi="Times New Roman"/>
                <w:color w:val="000000"/>
                <w:sz w:val="18"/>
                <w:szCs w:val="18"/>
                <w:lang w:eastAsia="sk-SK"/>
              </w:rPr>
            </w:pPr>
            <w:r w:rsidRPr="00750BF4">
              <w:rPr>
                <w:rFonts w:ascii="Times New Roman" w:hAnsi="Times New Roman"/>
                <w:color w:val="000000"/>
                <w:sz w:val="18"/>
                <w:szCs w:val="18"/>
                <w:lang w:eastAsia="sk-SK"/>
              </w:rPr>
              <w:t>17 816</w:t>
            </w:r>
          </w:p>
        </w:tc>
        <w:tc>
          <w:tcPr>
            <w:tcW w:w="627" w:type="pct"/>
            <w:tcBorders>
              <w:top w:val="nil"/>
              <w:left w:val="nil"/>
              <w:bottom w:val="single" w:sz="4" w:space="0" w:color="auto"/>
              <w:right w:val="nil"/>
            </w:tcBorders>
            <w:vAlign w:val="center"/>
            <w:hideMark/>
          </w:tcPr>
          <w:p w14:paraId="01AA98AF" w14:textId="77777777" w:rsidR="00750BF4" w:rsidRPr="00750BF4" w:rsidRDefault="00750BF4" w:rsidP="00750BF4">
            <w:pPr>
              <w:spacing w:after="0" w:line="240" w:lineRule="auto"/>
              <w:jc w:val="right"/>
              <w:rPr>
                <w:rFonts w:ascii="Times New Roman" w:hAnsi="Times New Roman"/>
                <w:color w:val="000000"/>
                <w:sz w:val="18"/>
                <w:szCs w:val="18"/>
                <w:lang w:eastAsia="sk-SK"/>
              </w:rPr>
            </w:pPr>
            <w:r w:rsidRPr="00750BF4">
              <w:rPr>
                <w:rFonts w:ascii="Times New Roman" w:hAnsi="Times New Roman"/>
                <w:color w:val="000000"/>
                <w:sz w:val="18"/>
                <w:szCs w:val="18"/>
                <w:lang w:eastAsia="sk-SK"/>
              </w:rPr>
              <w:t>24 794</w:t>
            </w:r>
          </w:p>
        </w:tc>
        <w:tc>
          <w:tcPr>
            <w:tcW w:w="662" w:type="pct"/>
            <w:tcBorders>
              <w:top w:val="nil"/>
              <w:left w:val="nil"/>
              <w:bottom w:val="single" w:sz="4" w:space="0" w:color="auto"/>
              <w:right w:val="nil"/>
            </w:tcBorders>
            <w:vAlign w:val="center"/>
            <w:hideMark/>
          </w:tcPr>
          <w:p w14:paraId="08B01F36" w14:textId="77777777" w:rsidR="00750BF4" w:rsidRPr="00750BF4" w:rsidRDefault="00750BF4" w:rsidP="00750BF4">
            <w:pPr>
              <w:spacing w:after="0" w:line="240" w:lineRule="auto"/>
              <w:jc w:val="right"/>
              <w:rPr>
                <w:rFonts w:ascii="Times New Roman" w:hAnsi="Times New Roman"/>
                <w:color w:val="000000"/>
                <w:sz w:val="18"/>
                <w:szCs w:val="18"/>
                <w:lang w:eastAsia="sk-SK"/>
              </w:rPr>
            </w:pPr>
            <w:r w:rsidRPr="00750BF4">
              <w:rPr>
                <w:rFonts w:ascii="Times New Roman" w:hAnsi="Times New Roman"/>
                <w:color w:val="000000"/>
                <w:sz w:val="18"/>
                <w:szCs w:val="18"/>
                <w:lang w:eastAsia="sk-SK"/>
              </w:rPr>
              <w:t>-6 978</w:t>
            </w:r>
          </w:p>
        </w:tc>
      </w:tr>
      <w:tr w:rsidR="00750BF4" w:rsidRPr="001567C8" w14:paraId="4DA7A1A4" w14:textId="77777777" w:rsidTr="00A7107D">
        <w:trPr>
          <w:trHeight w:val="227"/>
          <w:jc w:val="center"/>
        </w:trPr>
        <w:tc>
          <w:tcPr>
            <w:tcW w:w="3555" w:type="pct"/>
            <w:tcBorders>
              <w:top w:val="nil"/>
              <w:left w:val="nil"/>
              <w:bottom w:val="single" w:sz="4" w:space="0" w:color="auto"/>
              <w:right w:val="nil"/>
            </w:tcBorders>
            <w:vAlign w:val="center"/>
            <w:hideMark/>
          </w:tcPr>
          <w:p w14:paraId="7FBB1099" w14:textId="77777777" w:rsidR="00750BF4" w:rsidRPr="00750BF4" w:rsidRDefault="00750BF4" w:rsidP="00750BF4">
            <w:pPr>
              <w:spacing w:after="0" w:line="240" w:lineRule="auto"/>
              <w:rPr>
                <w:rFonts w:ascii="Times New Roman" w:hAnsi="Times New Roman"/>
                <w:b/>
                <w:bCs/>
                <w:color w:val="000000"/>
                <w:sz w:val="16"/>
                <w:szCs w:val="16"/>
                <w:lang w:eastAsia="sk-SK"/>
              </w:rPr>
            </w:pPr>
            <w:r w:rsidRPr="00750BF4">
              <w:rPr>
                <w:rFonts w:ascii="Times New Roman" w:hAnsi="Times New Roman"/>
                <w:b/>
                <w:bCs/>
                <w:color w:val="000000"/>
                <w:sz w:val="16"/>
                <w:szCs w:val="16"/>
                <w:lang w:eastAsia="sk-SK"/>
              </w:rPr>
              <w:t xml:space="preserve">Spolu  </w:t>
            </w:r>
          </w:p>
        </w:tc>
        <w:tc>
          <w:tcPr>
            <w:tcW w:w="154" w:type="pct"/>
            <w:tcBorders>
              <w:top w:val="nil"/>
              <w:left w:val="nil"/>
              <w:bottom w:val="single" w:sz="4" w:space="0" w:color="auto"/>
              <w:right w:val="nil"/>
            </w:tcBorders>
            <w:noWrap/>
            <w:vAlign w:val="center"/>
            <w:hideMark/>
          </w:tcPr>
          <w:p w14:paraId="4678C953" w14:textId="77777777" w:rsidR="00750BF4" w:rsidRPr="00750BF4" w:rsidRDefault="00750BF4" w:rsidP="00750BF4">
            <w:pPr>
              <w:spacing w:after="0" w:line="240" w:lineRule="auto"/>
              <w:jc w:val="right"/>
              <w:rPr>
                <w:rFonts w:ascii="Times New Roman" w:hAnsi="Times New Roman"/>
                <w:b/>
                <w:bCs/>
                <w:color w:val="000000"/>
                <w:sz w:val="18"/>
                <w:szCs w:val="18"/>
                <w:lang w:eastAsia="sk-SK"/>
              </w:rPr>
            </w:pPr>
            <w:r w:rsidRPr="00750BF4">
              <w:rPr>
                <w:rFonts w:ascii="Times New Roman" w:hAnsi="Times New Roman"/>
                <w:b/>
                <w:bCs/>
                <w:color w:val="000000"/>
                <w:sz w:val="18"/>
                <w:szCs w:val="18"/>
                <w:lang w:eastAsia="sk-SK"/>
              </w:rPr>
              <w:t>453 176</w:t>
            </w:r>
          </w:p>
        </w:tc>
        <w:tc>
          <w:tcPr>
            <w:tcW w:w="627" w:type="pct"/>
            <w:tcBorders>
              <w:top w:val="nil"/>
              <w:left w:val="nil"/>
              <w:bottom w:val="single" w:sz="4" w:space="0" w:color="auto"/>
              <w:right w:val="nil"/>
            </w:tcBorders>
            <w:noWrap/>
            <w:vAlign w:val="center"/>
            <w:hideMark/>
          </w:tcPr>
          <w:p w14:paraId="22D045DA" w14:textId="77777777" w:rsidR="00750BF4" w:rsidRPr="00750BF4" w:rsidRDefault="00750BF4" w:rsidP="00750BF4">
            <w:pPr>
              <w:spacing w:after="0" w:line="240" w:lineRule="auto"/>
              <w:jc w:val="right"/>
              <w:rPr>
                <w:rFonts w:ascii="Times New Roman" w:hAnsi="Times New Roman"/>
                <w:b/>
                <w:bCs/>
                <w:color w:val="000000"/>
                <w:sz w:val="18"/>
                <w:szCs w:val="18"/>
                <w:lang w:eastAsia="sk-SK"/>
              </w:rPr>
            </w:pPr>
            <w:r w:rsidRPr="00750BF4">
              <w:rPr>
                <w:rFonts w:ascii="Times New Roman" w:hAnsi="Times New Roman"/>
                <w:b/>
                <w:bCs/>
                <w:color w:val="000000"/>
                <w:sz w:val="18"/>
                <w:szCs w:val="18"/>
                <w:lang w:eastAsia="sk-SK"/>
              </w:rPr>
              <w:t>693 793</w:t>
            </w:r>
          </w:p>
        </w:tc>
        <w:tc>
          <w:tcPr>
            <w:tcW w:w="662" w:type="pct"/>
            <w:tcBorders>
              <w:top w:val="nil"/>
              <w:left w:val="nil"/>
              <w:bottom w:val="single" w:sz="4" w:space="0" w:color="auto"/>
              <w:right w:val="nil"/>
            </w:tcBorders>
            <w:vAlign w:val="center"/>
            <w:hideMark/>
          </w:tcPr>
          <w:p w14:paraId="2B1487BA" w14:textId="77777777" w:rsidR="00750BF4" w:rsidRPr="00750BF4" w:rsidRDefault="00750BF4" w:rsidP="00750BF4">
            <w:pPr>
              <w:spacing w:after="0" w:line="240" w:lineRule="auto"/>
              <w:jc w:val="right"/>
              <w:rPr>
                <w:rFonts w:ascii="Times New Roman" w:hAnsi="Times New Roman"/>
                <w:b/>
                <w:bCs/>
                <w:color w:val="000000"/>
                <w:sz w:val="18"/>
                <w:szCs w:val="18"/>
                <w:lang w:eastAsia="sk-SK"/>
              </w:rPr>
            </w:pPr>
            <w:r w:rsidRPr="00750BF4">
              <w:rPr>
                <w:rFonts w:ascii="Times New Roman" w:hAnsi="Times New Roman"/>
                <w:b/>
                <w:bCs/>
                <w:color w:val="000000"/>
                <w:sz w:val="18"/>
                <w:szCs w:val="18"/>
                <w:lang w:eastAsia="sk-SK"/>
              </w:rPr>
              <w:t>-240 617</w:t>
            </w:r>
          </w:p>
        </w:tc>
      </w:tr>
      <w:tr w:rsidR="00750BF4" w:rsidRPr="001567C8" w14:paraId="62465B0C" w14:textId="77777777" w:rsidTr="00A7107D">
        <w:trPr>
          <w:trHeight w:val="227"/>
          <w:jc w:val="center"/>
        </w:trPr>
        <w:tc>
          <w:tcPr>
            <w:tcW w:w="5000" w:type="pct"/>
            <w:gridSpan w:val="4"/>
            <w:tcBorders>
              <w:top w:val="nil"/>
              <w:left w:val="nil"/>
              <w:bottom w:val="nil"/>
              <w:right w:val="nil"/>
            </w:tcBorders>
            <w:noWrap/>
            <w:vAlign w:val="center"/>
            <w:hideMark/>
          </w:tcPr>
          <w:p w14:paraId="32F0FDD3" w14:textId="77777777" w:rsidR="00750BF4" w:rsidRPr="00750BF4" w:rsidRDefault="00750BF4" w:rsidP="00750BF4">
            <w:pPr>
              <w:spacing w:after="0" w:line="240" w:lineRule="auto"/>
              <w:jc w:val="right"/>
              <w:rPr>
                <w:rFonts w:ascii="Times New Roman" w:hAnsi="Times New Roman"/>
                <w:color w:val="000000"/>
                <w:sz w:val="16"/>
                <w:szCs w:val="16"/>
                <w:lang w:eastAsia="sk-SK"/>
              </w:rPr>
            </w:pPr>
            <w:r w:rsidRPr="00750BF4">
              <w:rPr>
                <w:rFonts w:ascii="Times New Roman" w:hAnsi="Times New Roman"/>
                <w:color w:val="000000"/>
                <w:sz w:val="16"/>
                <w:szCs w:val="16"/>
                <w:lang w:eastAsia="sk-SK"/>
              </w:rPr>
              <w:t>Zdroj: databáza MF SR</w:t>
            </w:r>
          </w:p>
        </w:tc>
      </w:tr>
    </w:tbl>
    <w:p w14:paraId="6662F877" w14:textId="77777777" w:rsidR="004A4576" w:rsidRPr="00A828A5" w:rsidRDefault="004A4576" w:rsidP="0085799C">
      <w:pPr>
        <w:spacing w:after="120" w:line="240" w:lineRule="auto"/>
        <w:rPr>
          <w:rFonts w:ascii="Times New Roman" w:hAnsi="Times New Roman"/>
          <w:szCs w:val="22"/>
        </w:rPr>
      </w:pPr>
    </w:p>
    <w:p w14:paraId="42AB17D6" w14:textId="1EE1F316" w:rsidR="003474A0" w:rsidRPr="00A828A5" w:rsidRDefault="003474A0" w:rsidP="0085799C">
      <w:pPr>
        <w:spacing w:after="120" w:line="240" w:lineRule="auto"/>
        <w:jc w:val="both"/>
        <w:rPr>
          <w:rFonts w:ascii="Times New Roman" w:hAnsi="Times New Roman"/>
          <w:szCs w:val="22"/>
        </w:rPr>
      </w:pPr>
      <w:r w:rsidRPr="00A828A5">
        <w:rPr>
          <w:rFonts w:ascii="Times New Roman" w:hAnsi="Times New Roman"/>
          <w:szCs w:val="22"/>
        </w:rPr>
        <w:t xml:space="preserve">Po abstrahovaní záruk vystavených </w:t>
      </w:r>
      <w:r w:rsidRPr="00A828A5">
        <w:rPr>
          <w:rFonts w:ascii="Times New Roman" w:hAnsi="Times New Roman"/>
          <w:szCs w:val="22"/>
          <w:u w:val="single"/>
        </w:rPr>
        <w:t>Ministerstvom financií SR</w:t>
      </w:r>
      <w:r w:rsidRPr="00A828A5">
        <w:rPr>
          <w:rFonts w:ascii="Times New Roman" w:hAnsi="Times New Roman"/>
          <w:szCs w:val="22"/>
        </w:rPr>
        <w:t xml:space="preserve"> v prospech iných subjektov verejnej správy (E</w:t>
      </w:r>
      <w:r w:rsidR="00A15561" w:rsidRPr="00A828A5">
        <w:rPr>
          <w:rFonts w:ascii="Times New Roman" w:hAnsi="Times New Roman"/>
          <w:szCs w:val="22"/>
        </w:rPr>
        <w:t>XIMBANKA SR</w:t>
      </w:r>
      <w:r w:rsidRPr="00A828A5">
        <w:rPr>
          <w:rFonts w:ascii="Times New Roman" w:hAnsi="Times New Roman"/>
          <w:szCs w:val="22"/>
        </w:rPr>
        <w:t xml:space="preserve">, SZRB a NDF I) je hodnota covid záruk k </w:t>
      </w:r>
      <w:r w:rsidR="00F418A2" w:rsidRPr="00A828A5">
        <w:rPr>
          <w:rFonts w:ascii="Times New Roman" w:hAnsi="Times New Roman"/>
          <w:szCs w:val="22"/>
        </w:rPr>
        <w:t>31.</w:t>
      </w:r>
      <w:r w:rsidR="00867606">
        <w:rPr>
          <w:rFonts w:ascii="Times New Roman" w:hAnsi="Times New Roman"/>
          <w:szCs w:val="22"/>
        </w:rPr>
        <w:t xml:space="preserve"> </w:t>
      </w:r>
      <w:r w:rsidR="00F418A2" w:rsidRPr="00A828A5">
        <w:rPr>
          <w:rFonts w:ascii="Times New Roman" w:hAnsi="Times New Roman"/>
          <w:szCs w:val="22"/>
        </w:rPr>
        <w:t>12.</w:t>
      </w:r>
      <w:r w:rsidR="00867606">
        <w:rPr>
          <w:rFonts w:ascii="Times New Roman" w:hAnsi="Times New Roman"/>
          <w:szCs w:val="22"/>
        </w:rPr>
        <w:t xml:space="preserve"> </w:t>
      </w:r>
      <w:r w:rsidR="00F418A2" w:rsidRPr="00A828A5">
        <w:rPr>
          <w:rFonts w:ascii="Times New Roman" w:hAnsi="Times New Roman"/>
          <w:szCs w:val="22"/>
        </w:rPr>
        <w:t>2024</w:t>
      </w:r>
      <w:r w:rsidRPr="00A828A5">
        <w:rPr>
          <w:rFonts w:ascii="Times New Roman" w:hAnsi="Times New Roman"/>
          <w:szCs w:val="22"/>
        </w:rPr>
        <w:t xml:space="preserve"> na úrovni 290</w:t>
      </w:r>
      <w:r w:rsidR="00950007">
        <w:rPr>
          <w:rFonts w:ascii="Times New Roman" w:hAnsi="Times New Roman"/>
          <w:szCs w:val="22"/>
        </w:rPr>
        <w:t> </w:t>
      </w:r>
      <w:r w:rsidRPr="00A828A5">
        <w:rPr>
          <w:rFonts w:ascii="Times New Roman" w:hAnsi="Times New Roman"/>
          <w:szCs w:val="22"/>
        </w:rPr>
        <w:t>387</w:t>
      </w:r>
      <w:r w:rsidR="00950007">
        <w:rPr>
          <w:rFonts w:ascii="Times New Roman" w:hAnsi="Times New Roman"/>
          <w:szCs w:val="22"/>
        </w:rPr>
        <w:t> </w:t>
      </w:r>
      <w:r w:rsidRPr="00A828A5">
        <w:rPr>
          <w:rFonts w:ascii="Times New Roman" w:hAnsi="Times New Roman"/>
          <w:szCs w:val="22"/>
        </w:rPr>
        <w:t>tis.</w:t>
      </w:r>
      <w:r w:rsidR="00950007">
        <w:rPr>
          <w:rFonts w:ascii="Times New Roman" w:hAnsi="Times New Roman"/>
          <w:szCs w:val="22"/>
        </w:rPr>
        <w:t> </w:t>
      </w:r>
      <w:r w:rsidRPr="00A828A5">
        <w:rPr>
          <w:rFonts w:ascii="Times New Roman" w:hAnsi="Times New Roman"/>
          <w:szCs w:val="22"/>
        </w:rPr>
        <w:t xml:space="preserve">eur. </w:t>
      </w:r>
    </w:p>
    <w:p w14:paraId="03E6DA69" w14:textId="5344DEF0" w:rsidR="003474A0" w:rsidRPr="00A828A5" w:rsidRDefault="003474A0" w:rsidP="0085799C">
      <w:pPr>
        <w:spacing w:after="120" w:line="240" w:lineRule="auto"/>
        <w:jc w:val="both"/>
        <w:rPr>
          <w:rFonts w:ascii="Times New Roman" w:hAnsi="Times New Roman"/>
          <w:szCs w:val="22"/>
        </w:rPr>
      </w:pPr>
      <w:r w:rsidRPr="00A828A5">
        <w:rPr>
          <w:rFonts w:ascii="Times New Roman" w:hAnsi="Times New Roman"/>
          <w:szCs w:val="22"/>
        </w:rPr>
        <w:t xml:space="preserve">Obdobne aj </w:t>
      </w:r>
      <w:r w:rsidRPr="00A828A5">
        <w:rPr>
          <w:rFonts w:ascii="Times New Roman" w:hAnsi="Times New Roman"/>
          <w:szCs w:val="22"/>
          <w:u w:val="single"/>
        </w:rPr>
        <w:t>Exportno-importná banka Slovensk</w:t>
      </w:r>
      <w:r w:rsidR="00C05E5B" w:rsidRPr="00A828A5">
        <w:rPr>
          <w:rFonts w:ascii="Times New Roman" w:hAnsi="Times New Roman"/>
          <w:szCs w:val="22"/>
          <w:u w:val="single"/>
        </w:rPr>
        <w:t>ej republiky</w:t>
      </w:r>
      <w:r w:rsidRPr="00A828A5">
        <w:rPr>
          <w:rFonts w:ascii="Times New Roman" w:hAnsi="Times New Roman"/>
          <w:szCs w:val="22"/>
        </w:rPr>
        <w:t xml:space="preserve"> vykazuje v iných pasívach hodnotu poskytnutých záruk 291</w:t>
      </w:r>
      <w:r w:rsidR="00950007">
        <w:rPr>
          <w:rFonts w:ascii="Times New Roman" w:hAnsi="Times New Roman"/>
          <w:szCs w:val="22"/>
        </w:rPr>
        <w:t> </w:t>
      </w:r>
      <w:r w:rsidRPr="00A828A5">
        <w:rPr>
          <w:rFonts w:ascii="Times New Roman" w:hAnsi="Times New Roman"/>
          <w:szCs w:val="22"/>
        </w:rPr>
        <w:t>479</w:t>
      </w:r>
      <w:r w:rsidR="00950007">
        <w:rPr>
          <w:rFonts w:ascii="Times New Roman" w:hAnsi="Times New Roman"/>
          <w:szCs w:val="22"/>
        </w:rPr>
        <w:t> </w:t>
      </w:r>
      <w:r w:rsidRPr="00A828A5">
        <w:rPr>
          <w:rFonts w:ascii="Times New Roman" w:hAnsi="Times New Roman"/>
          <w:szCs w:val="22"/>
        </w:rPr>
        <w:t>tis.</w:t>
      </w:r>
      <w:r w:rsidR="00950007">
        <w:rPr>
          <w:rFonts w:ascii="Times New Roman" w:hAnsi="Times New Roman"/>
          <w:szCs w:val="22"/>
        </w:rPr>
        <w:t> </w:t>
      </w:r>
      <w:r w:rsidRPr="00A828A5">
        <w:rPr>
          <w:rFonts w:ascii="Times New Roman" w:hAnsi="Times New Roman"/>
          <w:szCs w:val="22"/>
        </w:rPr>
        <w:t>eur, v tom záruky v súvislosti s opatreniami na zmiernenie dopadov pandémie COVID-19 v sume  17</w:t>
      </w:r>
      <w:r w:rsidR="00950007">
        <w:rPr>
          <w:rFonts w:ascii="Times New Roman" w:hAnsi="Times New Roman"/>
          <w:szCs w:val="22"/>
        </w:rPr>
        <w:t> </w:t>
      </w:r>
      <w:r w:rsidRPr="00A828A5">
        <w:rPr>
          <w:rFonts w:ascii="Times New Roman" w:hAnsi="Times New Roman"/>
          <w:szCs w:val="22"/>
        </w:rPr>
        <w:t>816</w:t>
      </w:r>
      <w:r w:rsidR="00950007">
        <w:rPr>
          <w:rFonts w:ascii="Times New Roman" w:hAnsi="Times New Roman"/>
          <w:szCs w:val="22"/>
        </w:rPr>
        <w:t> </w:t>
      </w:r>
      <w:r w:rsidRPr="00A828A5">
        <w:rPr>
          <w:rFonts w:ascii="Times New Roman" w:hAnsi="Times New Roman"/>
          <w:szCs w:val="22"/>
        </w:rPr>
        <w:t>tis.</w:t>
      </w:r>
      <w:r w:rsidR="00950007">
        <w:rPr>
          <w:rFonts w:ascii="Times New Roman" w:hAnsi="Times New Roman"/>
          <w:szCs w:val="22"/>
        </w:rPr>
        <w:t> </w:t>
      </w:r>
      <w:r w:rsidRPr="00A828A5">
        <w:rPr>
          <w:rFonts w:ascii="Times New Roman" w:hAnsi="Times New Roman"/>
          <w:szCs w:val="22"/>
        </w:rPr>
        <w:t>eur.</w:t>
      </w:r>
    </w:p>
    <w:p w14:paraId="45C2F787" w14:textId="54036CF8" w:rsidR="003474A0" w:rsidRPr="00A828A5" w:rsidRDefault="003474A0" w:rsidP="0085799C">
      <w:pPr>
        <w:spacing w:after="120" w:line="240" w:lineRule="auto"/>
        <w:jc w:val="both"/>
        <w:rPr>
          <w:rFonts w:ascii="Times New Roman" w:hAnsi="Times New Roman"/>
          <w:szCs w:val="22"/>
        </w:rPr>
      </w:pPr>
      <w:r w:rsidRPr="00A828A5">
        <w:rPr>
          <w:rFonts w:ascii="Times New Roman" w:hAnsi="Times New Roman"/>
          <w:szCs w:val="22"/>
          <w:u w:val="single"/>
        </w:rPr>
        <w:t>Slovenská záručná a rozvojová banka, a.s.</w:t>
      </w:r>
      <w:r w:rsidRPr="00A828A5">
        <w:rPr>
          <w:rFonts w:ascii="Times New Roman" w:hAnsi="Times New Roman"/>
          <w:szCs w:val="22"/>
        </w:rPr>
        <w:t xml:space="preserve"> vykazuje podmienené záväzky z titulu poskytnutých záruk v hodnote 23</w:t>
      </w:r>
      <w:r w:rsidR="00950007">
        <w:rPr>
          <w:rFonts w:ascii="Times New Roman" w:hAnsi="Times New Roman"/>
          <w:szCs w:val="22"/>
        </w:rPr>
        <w:t> </w:t>
      </w:r>
      <w:r w:rsidRPr="00A828A5">
        <w:rPr>
          <w:rFonts w:ascii="Times New Roman" w:hAnsi="Times New Roman"/>
          <w:szCs w:val="22"/>
        </w:rPr>
        <w:t>171</w:t>
      </w:r>
      <w:r w:rsidR="00950007">
        <w:rPr>
          <w:rFonts w:ascii="Times New Roman" w:hAnsi="Times New Roman"/>
          <w:szCs w:val="22"/>
        </w:rPr>
        <w:t> </w:t>
      </w:r>
      <w:r w:rsidRPr="00A828A5">
        <w:rPr>
          <w:rFonts w:ascii="Times New Roman" w:hAnsi="Times New Roman"/>
          <w:szCs w:val="22"/>
        </w:rPr>
        <w:t>tis.</w:t>
      </w:r>
      <w:r w:rsidR="00950007">
        <w:rPr>
          <w:rFonts w:ascii="Times New Roman" w:hAnsi="Times New Roman"/>
          <w:szCs w:val="22"/>
        </w:rPr>
        <w:t> </w:t>
      </w:r>
      <w:r w:rsidRPr="00A828A5">
        <w:rPr>
          <w:rFonts w:ascii="Times New Roman" w:hAnsi="Times New Roman"/>
          <w:szCs w:val="22"/>
        </w:rPr>
        <w:t>eur a úverových prísľubov vo výške 46</w:t>
      </w:r>
      <w:r w:rsidR="00950007">
        <w:rPr>
          <w:rFonts w:ascii="Times New Roman" w:hAnsi="Times New Roman"/>
          <w:szCs w:val="22"/>
        </w:rPr>
        <w:t> </w:t>
      </w:r>
      <w:r w:rsidRPr="00A828A5">
        <w:rPr>
          <w:rFonts w:ascii="Times New Roman" w:hAnsi="Times New Roman"/>
          <w:szCs w:val="22"/>
        </w:rPr>
        <w:t>605</w:t>
      </w:r>
      <w:r w:rsidR="00950007">
        <w:rPr>
          <w:rFonts w:ascii="Times New Roman" w:hAnsi="Times New Roman"/>
          <w:szCs w:val="22"/>
        </w:rPr>
        <w:t> </w:t>
      </w:r>
      <w:r w:rsidRPr="00A828A5">
        <w:rPr>
          <w:rFonts w:ascii="Times New Roman" w:hAnsi="Times New Roman"/>
          <w:szCs w:val="22"/>
        </w:rPr>
        <w:t>tis.</w:t>
      </w:r>
      <w:r w:rsidR="00950007">
        <w:rPr>
          <w:rFonts w:ascii="Times New Roman" w:hAnsi="Times New Roman"/>
          <w:szCs w:val="22"/>
        </w:rPr>
        <w:t> </w:t>
      </w:r>
      <w:r w:rsidRPr="00A828A5">
        <w:rPr>
          <w:rFonts w:ascii="Times New Roman" w:hAnsi="Times New Roman"/>
          <w:szCs w:val="22"/>
        </w:rPr>
        <w:t>eur.</w:t>
      </w:r>
    </w:p>
    <w:p w14:paraId="12E2AC60" w14:textId="3A809A06" w:rsidR="004A4576" w:rsidRDefault="00175C8F" w:rsidP="00EC7F7D">
      <w:pPr>
        <w:spacing w:after="120" w:line="240" w:lineRule="auto"/>
        <w:jc w:val="both"/>
        <w:rPr>
          <w:rFonts w:ascii="Times New Roman" w:hAnsi="Times New Roman"/>
          <w:szCs w:val="22"/>
        </w:rPr>
      </w:pPr>
      <w:r w:rsidRPr="00A828A5">
        <w:rPr>
          <w:rFonts w:ascii="Times New Roman" w:hAnsi="Times New Roman"/>
          <w:szCs w:val="22"/>
          <w:u w:val="single"/>
        </w:rPr>
        <w:t>LESY Slovenskej republiky, štátny podnik</w:t>
      </w:r>
      <w:r w:rsidR="009B7A4A" w:rsidRPr="00A828A5">
        <w:rPr>
          <w:rFonts w:ascii="Times New Roman" w:hAnsi="Times New Roman"/>
          <w:b/>
          <w:szCs w:val="22"/>
        </w:rPr>
        <w:t xml:space="preserve"> </w:t>
      </w:r>
      <w:r w:rsidR="003474A0" w:rsidRPr="00A828A5">
        <w:rPr>
          <w:rFonts w:ascii="Times New Roman" w:hAnsi="Times New Roman"/>
          <w:szCs w:val="22"/>
        </w:rPr>
        <w:t xml:space="preserve">dlhodobo vykazujú hodnotu majetku, ktorá je právne </w:t>
      </w:r>
      <w:proofErr w:type="spellStart"/>
      <w:r w:rsidR="003474A0" w:rsidRPr="00A828A5">
        <w:rPr>
          <w:rFonts w:ascii="Times New Roman" w:hAnsi="Times New Roman"/>
          <w:szCs w:val="22"/>
        </w:rPr>
        <w:t>nevysporiadaná</w:t>
      </w:r>
      <w:proofErr w:type="spellEnd"/>
      <w:r w:rsidR="003474A0" w:rsidRPr="00A828A5">
        <w:rPr>
          <w:rFonts w:ascii="Times New Roman" w:hAnsi="Times New Roman"/>
          <w:szCs w:val="22"/>
        </w:rPr>
        <w:t xml:space="preserve"> (napr. pozemky a stavby), a ktoré môžu byť predmetom vrátenia pôvodným vlastníkom.</w:t>
      </w:r>
    </w:p>
    <w:p w14:paraId="6A74AAE5" w14:textId="77777777" w:rsidR="00950007" w:rsidRPr="0085799C" w:rsidRDefault="00950007" w:rsidP="0085799C">
      <w:pPr>
        <w:spacing w:after="120" w:line="240" w:lineRule="auto"/>
        <w:jc w:val="both"/>
        <w:rPr>
          <w:rFonts w:ascii="Times New Roman" w:hAnsi="Times New Roman"/>
          <w:szCs w:val="22"/>
        </w:rPr>
      </w:pPr>
    </w:p>
    <w:p w14:paraId="3C668DDB" w14:textId="3CE461C5" w:rsidR="00647542" w:rsidRPr="00907622" w:rsidRDefault="00647542" w:rsidP="0085799C">
      <w:pPr>
        <w:pStyle w:val="IHLAVN"/>
        <w:rPr>
          <w:sz w:val="24"/>
        </w:rPr>
      </w:pPr>
      <w:r w:rsidRPr="0085799C">
        <w:t>V. SKUTOČNOSTI, KTORÉ NASTALI PO DNI, KU KTORÉMU SA ZOSTAVUJE ÚČTOVNÁ ZÁVIERKA, DO DŇA JEJ ZOSTAVENIA</w:t>
      </w:r>
    </w:p>
    <w:p w14:paraId="455CCC45" w14:textId="77777777" w:rsidR="00647542" w:rsidRPr="00950007" w:rsidRDefault="00647542" w:rsidP="0085799C">
      <w:pPr>
        <w:spacing w:after="120" w:line="240" w:lineRule="auto"/>
        <w:jc w:val="both"/>
        <w:rPr>
          <w:rFonts w:ascii="Times New Roman" w:hAnsi="Times New Roman"/>
          <w:szCs w:val="22"/>
          <w:highlight w:val="yellow"/>
          <w:lang w:eastAsia="sk-SK"/>
        </w:rPr>
      </w:pPr>
    </w:p>
    <w:p w14:paraId="1415585F" w14:textId="5DCCC9A6" w:rsidR="00647542" w:rsidRPr="0085799C" w:rsidRDefault="00647542" w:rsidP="0085799C">
      <w:pPr>
        <w:spacing w:after="120" w:line="240" w:lineRule="auto"/>
        <w:jc w:val="both"/>
        <w:rPr>
          <w:rFonts w:ascii="Times New Roman" w:hAnsi="Times New Roman"/>
        </w:rPr>
      </w:pPr>
      <w:r w:rsidRPr="00950007">
        <w:rPr>
          <w:rFonts w:ascii="Times New Roman" w:hAnsi="Times New Roman"/>
          <w:szCs w:val="22"/>
          <w:lang w:eastAsia="sk-SK"/>
        </w:rPr>
        <w:t>Po 31.</w:t>
      </w:r>
      <w:r w:rsidR="00867606">
        <w:rPr>
          <w:rFonts w:ascii="Times New Roman" w:hAnsi="Times New Roman"/>
          <w:szCs w:val="22"/>
          <w:lang w:eastAsia="sk-SK"/>
        </w:rPr>
        <w:t xml:space="preserve"> </w:t>
      </w:r>
      <w:r w:rsidR="00950007" w:rsidRPr="00950007">
        <w:rPr>
          <w:rFonts w:ascii="Times New Roman" w:hAnsi="Times New Roman"/>
          <w:szCs w:val="22"/>
          <w:lang w:eastAsia="sk-SK"/>
        </w:rPr>
        <w:t>12.</w:t>
      </w:r>
      <w:r w:rsidR="00867606">
        <w:rPr>
          <w:rFonts w:ascii="Times New Roman" w:hAnsi="Times New Roman"/>
          <w:szCs w:val="22"/>
          <w:lang w:eastAsia="sk-SK"/>
        </w:rPr>
        <w:t xml:space="preserve"> </w:t>
      </w:r>
      <w:r w:rsidRPr="00950007">
        <w:rPr>
          <w:rFonts w:ascii="Times New Roman" w:hAnsi="Times New Roman"/>
          <w:szCs w:val="22"/>
          <w:lang w:eastAsia="sk-SK"/>
        </w:rPr>
        <w:t>20</w:t>
      </w:r>
      <w:r w:rsidR="00CA3FA2" w:rsidRPr="00950007">
        <w:rPr>
          <w:rFonts w:ascii="Times New Roman" w:hAnsi="Times New Roman"/>
          <w:szCs w:val="22"/>
          <w:lang w:eastAsia="sk-SK"/>
        </w:rPr>
        <w:t>24</w:t>
      </w:r>
      <w:r w:rsidRPr="00950007">
        <w:rPr>
          <w:rFonts w:ascii="Times New Roman" w:hAnsi="Times New Roman"/>
          <w:szCs w:val="22"/>
          <w:lang w:eastAsia="sk-SK"/>
        </w:rPr>
        <w:t xml:space="preserve"> nenastali ďalšie udalosti, ktoré by mali významný vplyv na súhrnnú účtovnú závierku.</w:t>
      </w:r>
    </w:p>
    <w:p w14:paraId="11EBFE2B" w14:textId="77777777" w:rsidR="00647542" w:rsidRPr="00950007" w:rsidRDefault="00647542">
      <w:pPr>
        <w:spacing w:after="120" w:line="240" w:lineRule="auto"/>
        <w:jc w:val="both"/>
        <w:rPr>
          <w:rFonts w:ascii="Times New Roman" w:hAnsi="Times New Roman"/>
          <w:szCs w:val="22"/>
          <w:lang w:eastAsia="sk-SK"/>
        </w:rPr>
      </w:pPr>
    </w:p>
    <w:p w14:paraId="19F7FB9C" w14:textId="77777777" w:rsidR="00950007" w:rsidRPr="00950007" w:rsidRDefault="00950007">
      <w:pPr>
        <w:spacing w:after="120" w:line="240" w:lineRule="auto"/>
        <w:jc w:val="both"/>
        <w:rPr>
          <w:rFonts w:ascii="Times New Roman" w:hAnsi="Times New Roman"/>
          <w:szCs w:val="22"/>
          <w:lang w:eastAsia="sk-SK"/>
        </w:rPr>
      </w:pPr>
    </w:p>
    <w:p w14:paraId="01CB084D" w14:textId="77777777" w:rsidR="00950007" w:rsidRPr="00950007" w:rsidRDefault="00950007">
      <w:pPr>
        <w:spacing w:after="120" w:line="240" w:lineRule="auto"/>
        <w:jc w:val="both"/>
        <w:rPr>
          <w:rFonts w:ascii="Times New Roman" w:hAnsi="Times New Roman"/>
          <w:szCs w:val="22"/>
          <w:lang w:eastAsia="sk-SK"/>
        </w:rPr>
      </w:pPr>
    </w:p>
    <w:p w14:paraId="50264BA4" w14:textId="77777777" w:rsidR="00950007" w:rsidRPr="00950007" w:rsidRDefault="00950007">
      <w:pPr>
        <w:spacing w:after="120" w:line="240" w:lineRule="auto"/>
        <w:jc w:val="both"/>
        <w:rPr>
          <w:rFonts w:ascii="Times New Roman" w:hAnsi="Times New Roman"/>
          <w:szCs w:val="22"/>
          <w:lang w:eastAsia="sk-SK"/>
        </w:rPr>
      </w:pPr>
    </w:p>
    <w:p w14:paraId="31755276" w14:textId="77777777" w:rsidR="00950007" w:rsidRPr="00950007" w:rsidRDefault="00950007">
      <w:pPr>
        <w:spacing w:after="120" w:line="240" w:lineRule="auto"/>
        <w:jc w:val="both"/>
        <w:rPr>
          <w:rFonts w:ascii="Times New Roman" w:hAnsi="Times New Roman"/>
          <w:szCs w:val="22"/>
          <w:lang w:eastAsia="sk-SK"/>
        </w:rPr>
      </w:pPr>
    </w:p>
    <w:p w14:paraId="1E309A44" w14:textId="77777777" w:rsidR="00950007" w:rsidRPr="00950007" w:rsidRDefault="00950007">
      <w:pPr>
        <w:spacing w:after="120" w:line="240" w:lineRule="auto"/>
        <w:jc w:val="both"/>
        <w:rPr>
          <w:rFonts w:ascii="Times New Roman" w:hAnsi="Times New Roman"/>
          <w:szCs w:val="22"/>
          <w:lang w:eastAsia="sk-SK"/>
        </w:rPr>
      </w:pPr>
    </w:p>
    <w:p w14:paraId="5439F2D4" w14:textId="77777777" w:rsidR="00950007" w:rsidRPr="00950007" w:rsidRDefault="00950007">
      <w:pPr>
        <w:spacing w:after="120" w:line="240" w:lineRule="auto"/>
        <w:jc w:val="both"/>
        <w:rPr>
          <w:rFonts w:ascii="Times New Roman" w:hAnsi="Times New Roman"/>
          <w:szCs w:val="22"/>
          <w:lang w:eastAsia="sk-SK"/>
        </w:rPr>
      </w:pPr>
    </w:p>
    <w:p w14:paraId="15051CEF" w14:textId="77777777" w:rsidR="00950007" w:rsidRPr="00950007" w:rsidRDefault="00950007">
      <w:pPr>
        <w:spacing w:after="120" w:line="240" w:lineRule="auto"/>
        <w:jc w:val="both"/>
        <w:rPr>
          <w:rFonts w:ascii="Times New Roman" w:hAnsi="Times New Roman"/>
          <w:szCs w:val="22"/>
          <w:lang w:eastAsia="sk-SK"/>
        </w:rPr>
      </w:pPr>
    </w:p>
    <w:p w14:paraId="7386B013" w14:textId="77777777" w:rsidR="00950007" w:rsidRPr="00950007" w:rsidRDefault="00950007">
      <w:pPr>
        <w:spacing w:after="120" w:line="240" w:lineRule="auto"/>
        <w:jc w:val="both"/>
        <w:rPr>
          <w:rFonts w:ascii="Times New Roman" w:hAnsi="Times New Roman"/>
          <w:szCs w:val="22"/>
          <w:lang w:eastAsia="sk-SK"/>
        </w:rPr>
      </w:pPr>
    </w:p>
    <w:p w14:paraId="36F86EF9" w14:textId="77777777" w:rsidR="00950007" w:rsidRPr="00950007" w:rsidRDefault="00950007">
      <w:pPr>
        <w:spacing w:after="120" w:line="240" w:lineRule="auto"/>
        <w:jc w:val="both"/>
        <w:rPr>
          <w:rFonts w:ascii="Times New Roman" w:hAnsi="Times New Roman"/>
          <w:szCs w:val="22"/>
          <w:lang w:eastAsia="sk-SK"/>
        </w:rPr>
      </w:pPr>
    </w:p>
    <w:p w14:paraId="5F5E75C7" w14:textId="77777777" w:rsidR="00950007" w:rsidRPr="00950007" w:rsidRDefault="00950007">
      <w:pPr>
        <w:spacing w:after="120" w:line="240" w:lineRule="auto"/>
        <w:jc w:val="both"/>
        <w:rPr>
          <w:rFonts w:ascii="Times New Roman" w:hAnsi="Times New Roman"/>
          <w:szCs w:val="22"/>
          <w:lang w:eastAsia="sk-SK"/>
        </w:rPr>
      </w:pPr>
    </w:p>
    <w:p w14:paraId="38C1D639" w14:textId="77777777" w:rsidR="00950007" w:rsidRPr="00950007" w:rsidRDefault="00950007">
      <w:pPr>
        <w:spacing w:after="120" w:line="240" w:lineRule="auto"/>
        <w:jc w:val="both"/>
        <w:rPr>
          <w:rFonts w:ascii="Times New Roman" w:hAnsi="Times New Roman"/>
          <w:szCs w:val="22"/>
          <w:lang w:eastAsia="sk-SK"/>
        </w:rPr>
      </w:pPr>
    </w:p>
    <w:p w14:paraId="7036B156" w14:textId="77777777" w:rsidR="00950007" w:rsidRPr="00950007" w:rsidRDefault="00950007">
      <w:pPr>
        <w:spacing w:after="120" w:line="240" w:lineRule="auto"/>
        <w:jc w:val="both"/>
        <w:rPr>
          <w:rFonts w:ascii="Times New Roman" w:hAnsi="Times New Roman"/>
          <w:szCs w:val="22"/>
          <w:lang w:eastAsia="sk-SK"/>
        </w:rPr>
      </w:pPr>
    </w:p>
    <w:p w14:paraId="2582804E" w14:textId="77777777" w:rsidR="00647542" w:rsidRPr="0085799C" w:rsidRDefault="00647542" w:rsidP="0085799C">
      <w:pPr>
        <w:spacing w:after="120" w:line="240" w:lineRule="auto"/>
        <w:rPr>
          <w:rFonts w:ascii="Times New Roman" w:hAnsi="Times New Roman"/>
          <w:color w:val="FF0000"/>
          <w:szCs w:val="22"/>
          <w:highlight w:val="yellow"/>
        </w:rPr>
      </w:pPr>
    </w:p>
    <w:p w14:paraId="1B64E147" w14:textId="77777777" w:rsidR="00541F18" w:rsidRPr="00950007" w:rsidRDefault="00541F18" w:rsidP="0085799C">
      <w:pPr>
        <w:spacing w:after="120" w:line="240" w:lineRule="auto"/>
        <w:rPr>
          <w:rFonts w:ascii="Times New Roman" w:hAnsi="Times New Roman"/>
          <w:b/>
          <w:bCs/>
          <w:color w:val="000000"/>
          <w:szCs w:val="22"/>
          <w:lang w:eastAsia="sk-SK"/>
        </w:rPr>
      </w:pPr>
      <w:r w:rsidRPr="00950007">
        <w:rPr>
          <w:rFonts w:ascii="Times New Roman" w:hAnsi="Times New Roman"/>
          <w:b/>
          <w:bCs/>
          <w:color w:val="000000"/>
          <w:szCs w:val="22"/>
          <w:lang w:eastAsia="sk-SK"/>
        </w:rPr>
        <w:br w:type="page"/>
      </w:r>
    </w:p>
    <w:p w14:paraId="1A80EB28" w14:textId="32AA7657" w:rsidR="00647542" w:rsidRDefault="00CF08FF" w:rsidP="00647542">
      <w:pPr>
        <w:spacing w:after="0" w:line="240" w:lineRule="auto"/>
        <w:rPr>
          <w:rFonts w:ascii="Times New Roman" w:hAnsi="Times New Roman"/>
          <w:b/>
          <w:bCs/>
          <w:color w:val="000000"/>
          <w:szCs w:val="22"/>
          <w:lang w:eastAsia="sk-SK"/>
        </w:rPr>
      </w:pPr>
      <w:r w:rsidRPr="00907622">
        <w:rPr>
          <w:rFonts w:ascii="Times New Roman" w:hAnsi="Times New Roman"/>
          <w:b/>
          <w:bCs/>
          <w:color w:val="000000"/>
          <w:szCs w:val="22"/>
          <w:lang w:eastAsia="sk-SK"/>
        </w:rPr>
        <w:lastRenderedPageBreak/>
        <w:t>Príloha č. 1: Prehľad o subjektoch tvoriacich súhrnný celok za rok 2024</w:t>
      </w:r>
    </w:p>
    <w:tbl>
      <w:tblPr>
        <w:tblW w:w="5000" w:type="pct"/>
        <w:jc w:val="center"/>
        <w:tblCellMar>
          <w:left w:w="70" w:type="dxa"/>
          <w:right w:w="70" w:type="dxa"/>
        </w:tblCellMar>
        <w:tblLook w:val="04A0" w:firstRow="1" w:lastRow="0" w:firstColumn="1" w:lastColumn="0" w:noHBand="0" w:noVBand="1"/>
      </w:tblPr>
      <w:tblGrid>
        <w:gridCol w:w="4509"/>
        <w:gridCol w:w="649"/>
        <w:gridCol w:w="649"/>
        <w:gridCol w:w="649"/>
        <w:gridCol w:w="649"/>
        <w:gridCol w:w="650"/>
        <w:gridCol w:w="650"/>
        <w:gridCol w:w="656"/>
      </w:tblGrid>
      <w:tr w:rsidR="00873986" w:rsidRPr="001567C8" w14:paraId="5740B49B" w14:textId="77777777" w:rsidTr="00873986">
        <w:trPr>
          <w:trHeight w:val="227"/>
          <w:jc w:val="center"/>
        </w:trPr>
        <w:tc>
          <w:tcPr>
            <w:tcW w:w="2365" w:type="pct"/>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14:paraId="091C99F5" w14:textId="77777777" w:rsidR="00873986" w:rsidRPr="00873986" w:rsidRDefault="00873986" w:rsidP="00873986">
            <w:pPr>
              <w:spacing w:after="0" w:line="240" w:lineRule="auto"/>
              <w:jc w:val="center"/>
              <w:rPr>
                <w:rFonts w:ascii="Times New Roman" w:hAnsi="Times New Roman"/>
                <w:b/>
                <w:bCs/>
                <w:color w:val="000000"/>
                <w:sz w:val="18"/>
                <w:szCs w:val="18"/>
                <w:lang w:eastAsia="sk-SK"/>
              </w:rPr>
            </w:pPr>
            <w:r w:rsidRPr="00873986">
              <w:rPr>
                <w:rFonts w:ascii="Times New Roman" w:hAnsi="Times New Roman"/>
                <w:b/>
                <w:bCs/>
                <w:color w:val="000000"/>
                <w:sz w:val="18"/>
                <w:szCs w:val="18"/>
                <w:lang w:eastAsia="sk-SK"/>
              </w:rPr>
              <w:t>Názov subjektu</w:t>
            </w:r>
          </w:p>
        </w:tc>
        <w:tc>
          <w:tcPr>
            <w:tcW w:w="376" w:type="pct"/>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14:paraId="294B016E" w14:textId="77777777" w:rsidR="00873986" w:rsidRPr="00873986" w:rsidRDefault="00873986" w:rsidP="00873986">
            <w:pPr>
              <w:spacing w:after="0" w:line="240" w:lineRule="auto"/>
              <w:jc w:val="center"/>
              <w:rPr>
                <w:rFonts w:ascii="Times New Roman" w:hAnsi="Times New Roman"/>
                <w:b/>
                <w:bCs/>
                <w:color w:val="000000"/>
                <w:sz w:val="18"/>
                <w:szCs w:val="18"/>
                <w:lang w:eastAsia="sk-SK"/>
              </w:rPr>
            </w:pPr>
            <w:r w:rsidRPr="00873986">
              <w:rPr>
                <w:rFonts w:ascii="Times New Roman" w:hAnsi="Times New Roman"/>
                <w:b/>
                <w:bCs/>
                <w:color w:val="000000"/>
                <w:sz w:val="18"/>
                <w:szCs w:val="18"/>
                <w:lang w:eastAsia="sk-SK"/>
              </w:rPr>
              <w:t>Počet ÚJ spolu</w:t>
            </w:r>
          </w:p>
        </w:tc>
        <w:tc>
          <w:tcPr>
            <w:tcW w:w="2259" w:type="pct"/>
            <w:gridSpan w:val="6"/>
            <w:tcBorders>
              <w:top w:val="single" w:sz="4" w:space="0" w:color="auto"/>
              <w:left w:val="nil"/>
              <w:bottom w:val="single" w:sz="4" w:space="0" w:color="auto"/>
              <w:right w:val="single" w:sz="4" w:space="0" w:color="auto"/>
            </w:tcBorders>
            <w:shd w:val="clear" w:color="000000" w:fill="FABF8F"/>
            <w:vAlign w:val="center"/>
            <w:hideMark/>
          </w:tcPr>
          <w:p w14:paraId="3D829FFE" w14:textId="77777777" w:rsidR="00873986" w:rsidRPr="00873986" w:rsidRDefault="00873986" w:rsidP="00873986">
            <w:pPr>
              <w:spacing w:after="0" w:line="240" w:lineRule="auto"/>
              <w:jc w:val="center"/>
              <w:rPr>
                <w:rFonts w:ascii="Times New Roman" w:hAnsi="Times New Roman"/>
                <w:b/>
                <w:bCs/>
                <w:color w:val="000000"/>
                <w:sz w:val="18"/>
                <w:szCs w:val="18"/>
                <w:lang w:eastAsia="sk-SK"/>
              </w:rPr>
            </w:pPr>
            <w:r w:rsidRPr="00873986">
              <w:rPr>
                <w:rFonts w:ascii="Times New Roman" w:hAnsi="Times New Roman"/>
                <w:b/>
                <w:bCs/>
                <w:color w:val="000000"/>
                <w:sz w:val="18"/>
                <w:szCs w:val="18"/>
                <w:lang w:eastAsia="sk-SK"/>
              </w:rPr>
              <w:t>z toho</w:t>
            </w:r>
          </w:p>
        </w:tc>
      </w:tr>
      <w:tr w:rsidR="00873986" w:rsidRPr="001567C8" w14:paraId="5A9D5D44" w14:textId="77777777" w:rsidTr="0085799C">
        <w:trPr>
          <w:trHeight w:val="227"/>
          <w:jc w:val="center"/>
        </w:trPr>
        <w:tc>
          <w:tcPr>
            <w:tcW w:w="2365" w:type="pct"/>
            <w:vMerge/>
            <w:tcBorders>
              <w:top w:val="single" w:sz="4" w:space="0" w:color="auto"/>
              <w:left w:val="single" w:sz="4" w:space="0" w:color="auto"/>
              <w:bottom w:val="single" w:sz="4" w:space="0" w:color="auto"/>
              <w:right w:val="single" w:sz="4" w:space="0" w:color="auto"/>
            </w:tcBorders>
            <w:vAlign w:val="center"/>
            <w:hideMark/>
          </w:tcPr>
          <w:p w14:paraId="685D7646" w14:textId="77777777" w:rsidR="00873986" w:rsidRPr="00873986" w:rsidRDefault="00873986" w:rsidP="00873986">
            <w:pPr>
              <w:spacing w:after="0" w:line="240" w:lineRule="auto"/>
              <w:rPr>
                <w:rFonts w:ascii="Times New Roman" w:hAnsi="Times New Roman"/>
                <w:b/>
                <w:bCs/>
                <w:color w:val="000000"/>
                <w:sz w:val="18"/>
                <w:szCs w:val="18"/>
                <w:lang w:eastAsia="sk-SK"/>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648F3EB5" w14:textId="77777777" w:rsidR="00873986" w:rsidRPr="00873986" w:rsidRDefault="00873986" w:rsidP="00873986">
            <w:pPr>
              <w:spacing w:after="0" w:line="240" w:lineRule="auto"/>
              <w:rPr>
                <w:rFonts w:ascii="Times New Roman" w:hAnsi="Times New Roman"/>
                <w:b/>
                <w:bCs/>
                <w:color w:val="000000"/>
                <w:sz w:val="18"/>
                <w:szCs w:val="18"/>
                <w:lang w:eastAsia="sk-SK"/>
              </w:rPr>
            </w:pPr>
          </w:p>
        </w:tc>
        <w:tc>
          <w:tcPr>
            <w:tcW w:w="376" w:type="pct"/>
            <w:tcBorders>
              <w:top w:val="nil"/>
              <w:left w:val="nil"/>
              <w:bottom w:val="single" w:sz="4" w:space="0" w:color="auto"/>
              <w:right w:val="single" w:sz="4" w:space="0" w:color="auto"/>
            </w:tcBorders>
            <w:shd w:val="clear" w:color="000000" w:fill="FABF8F"/>
            <w:vAlign w:val="center"/>
            <w:hideMark/>
          </w:tcPr>
          <w:p w14:paraId="66659971" w14:textId="77777777" w:rsidR="00873986" w:rsidRPr="00873986" w:rsidRDefault="00873986" w:rsidP="00873986">
            <w:pPr>
              <w:spacing w:after="0" w:line="240" w:lineRule="auto"/>
              <w:jc w:val="center"/>
              <w:rPr>
                <w:rFonts w:ascii="Times New Roman" w:hAnsi="Times New Roman"/>
                <w:b/>
                <w:bCs/>
                <w:color w:val="000000"/>
                <w:sz w:val="18"/>
                <w:szCs w:val="18"/>
                <w:lang w:eastAsia="sk-SK"/>
              </w:rPr>
            </w:pPr>
            <w:r w:rsidRPr="00873986">
              <w:rPr>
                <w:rFonts w:ascii="Times New Roman" w:hAnsi="Times New Roman"/>
                <w:b/>
                <w:bCs/>
                <w:color w:val="000000"/>
                <w:sz w:val="18"/>
                <w:szCs w:val="18"/>
                <w:lang w:eastAsia="sk-SK"/>
              </w:rPr>
              <w:t>RO</w:t>
            </w:r>
          </w:p>
        </w:tc>
        <w:tc>
          <w:tcPr>
            <w:tcW w:w="376" w:type="pct"/>
            <w:tcBorders>
              <w:top w:val="nil"/>
              <w:left w:val="nil"/>
              <w:bottom w:val="single" w:sz="4" w:space="0" w:color="auto"/>
              <w:right w:val="single" w:sz="4" w:space="0" w:color="auto"/>
            </w:tcBorders>
            <w:shd w:val="clear" w:color="000000" w:fill="FABF8F"/>
            <w:vAlign w:val="center"/>
            <w:hideMark/>
          </w:tcPr>
          <w:p w14:paraId="62BC6F45" w14:textId="77777777" w:rsidR="00873986" w:rsidRPr="00873986" w:rsidRDefault="00873986" w:rsidP="00873986">
            <w:pPr>
              <w:spacing w:after="0" w:line="240" w:lineRule="auto"/>
              <w:jc w:val="center"/>
              <w:rPr>
                <w:rFonts w:ascii="Times New Roman" w:hAnsi="Times New Roman"/>
                <w:b/>
                <w:bCs/>
                <w:color w:val="000000"/>
                <w:sz w:val="18"/>
                <w:szCs w:val="18"/>
                <w:lang w:eastAsia="sk-SK"/>
              </w:rPr>
            </w:pPr>
            <w:r w:rsidRPr="00873986">
              <w:rPr>
                <w:rFonts w:ascii="Times New Roman" w:hAnsi="Times New Roman"/>
                <w:b/>
                <w:bCs/>
                <w:color w:val="000000"/>
                <w:sz w:val="18"/>
                <w:szCs w:val="18"/>
                <w:lang w:eastAsia="sk-SK"/>
              </w:rPr>
              <w:t>PO</w:t>
            </w:r>
          </w:p>
        </w:tc>
        <w:tc>
          <w:tcPr>
            <w:tcW w:w="376" w:type="pct"/>
            <w:tcBorders>
              <w:top w:val="nil"/>
              <w:left w:val="nil"/>
              <w:bottom w:val="single" w:sz="4" w:space="0" w:color="auto"/>
              <w:right w:val="single" w:sz="4" w:space="0" w:color="auto"/>
            </w:tcBorders>
            <w:shd w:val="clear" w:color="000000" w:fill="FABF8F"/>
            <w:vAlign w:val="center"/>
            <w:hideMark/>
          </w:tcPr>
          <w:p w14:paraId="7205A77E" w14:textId="66E5BB5A" w:rsidR="00873986" w:rsidRPr="00873986" w:rsidRDefault="00873986" w:rsidP="00873986">
            <w:pPr>
              <w:spacing w:after="0" w:line="240" w:lineRule="auto"/>
              <w:jc w:val="center"/>
              <w:rPr>
                <w:rFonts w:ascii="Times New Roman" w:hAnsi="Times New Roman"/>
                <w:b/>
                <w:bCs/>
                <w:color w:val="000000"/>
                <w:sz w:val="18"/>
                <w:szCs w:val="18"/>
                <w:lang w:eastAsia="sk-SK"/>
              </w:rPr>
            </w:pPr>
            <w:r w:rsidRPr="00873986">
              <w:rPr>
                <w:rFonts w:ascii="Times New Roman" w:hAnsi="Times New Roman"/>
                <w:b/>
                <w:bCs/>
                <w:color w:val="000000"/>
                <w:sz w:val="18"/>
                <w:szCs w:val="18"/>
                <w:lang w:eastAsia="sk-SK"/>
              </w:rPr>
              <w:t>v.</w:t>
            </w:r>
            <w:r w:rsidR="002765BC">
              <w:rPr>
                <w:rFonts w:ascii="Times New Roman" w:hAnsi="Times New Roman"/>
                <w:b/>
                <w:bCs/>
                <w:color w:val="000000"/>
                <w:sz w:val="18"/>
                <w:szCs w:val="18"/>
                <w:lang w:eastAsia="sk-SK"/>
              </w:rPr>
              <w:t xml:space="preserve"> </w:t>
            </w:r>
            <w:r w:rsidRPr="00873986">
              <w:rPr>
                <w:rFonts w:ascii="Times New Roman" w:hAnsi="Times New Roman"/>
                <w:b/>
                <w:bCs/>
                <w:color w:val="000000"/>
                <w:sz w:val="18"/>
                <w:szCs w:val="18"/>
                <w:lang w:eastAsia="sk-SK"/>
              </w:rPr>
              <w:t>v.</w:t>
            </w:r>
            <w:r w:rsidR="002765BC">
              <w:rPr>
                <w:rFonts w:ascii="Times New Roman" w:hAnsi="Times New Roman"/>
                <w:b/>
                <w:bCs/>
                <w:color w:val="000000"/>
                <w:sz w:val="18"/>
                <w:szCs w:val="18"/>
                <w:lang w:eastAsia="sk-SK"/>
              </w:rPr>
              <w:t xml:space="preserve"> </w:t>
            </w:r>
            <w:r w:rsidRPr="00873986">
              <w:rPr>
                <w:rFonts w:ascii="Times New Roman" w:hAnsi="Times New Roman"/>
                <w:b/>
                <w:bCs/>
                <w:color w:val="000000"/>
                <w:sz w:val="18"/>
                <w:szCs w:val="18"/>
                <w:lang w:eastAsia="sk-SK"/>
              </w:rPr>
              <w:t>i.</w:t>
            </w:r>
          </w:p>
        </w:tc>
        <w:tc>
          <w:tcPr>
            <w:tcW w:w="376" w:type="pct"/>
            <w:tcBorders>
              <w:top w:val="nil"/>
              <w:left w:val="nil"/>
              <w:bottom w:val="single" w:sz="4" w:space="0" w:color="auto"/>
              <w:right w:val="single" w:sz="4" w:space="0" w:color="auto"/>
            </w:tcBorders>
            <w:shd w:val="clear" w:color="000000" w:fill="FABF8F"/>
            <w:vAlign w:val="center"/>
            <w:hideMark/>
          </w:tcPr>
          <w:p w14:paraId="5DF78F86" w14:textId="77777777" w:rsidR="00873986" w:rsidRPr="00873986" w:rsidRDefault="00873986" w:rsidP="00873986">
            <w:pPr>
              <w:spacing w:after="0" w:line="240" w:lineRule="auto"/>
              <w:jc w:val="center"/>
              <w:rPr>
                <w:rFonts w:ascii="Times New Roman" w:hAnsi="Times New Roman"/>
                <w:b/>
                <w:bCs/>
                <w:color w:val="000000"/>
                <w:sz w:val="18"/>
                <w:szCs w:val="18"/>
                <w:lang w:eastAsia="sk-SK"/>
              </w:rPr>
            </w:pPr>
            <w:r w:rsidRPr="00873986">
              <w:rPr>
                <w:rFonts w:ascii="Times New Roman" w:hAnsi="Times New Roman"/>
                <w:b/>
                <w:bCs/>
                <w:color w:val="000000"/>
                <w:sz w:val="18"/>
                <w:szCs w:val="18"/>
                <w:lang w:eastAsia="sk-SK"/>
              </w:rPr>
              <w:t>OS</w:t>
            </w:r>
          </w:p>
        </w:tc>
        <w:tc>
          <w:tcPr>
            <w:tcW w:w="376" w:type="pct"/>
            <w:tcBorders>
              <w:top w:val="nil"/>
              <w:left w:val="nil"/>
              <w:bottom w:val="single" w:sz="4" w:space="0" w:color="auto"/>
              <w:right w:val="single" w:sz="4" w:space="0" w:color="auto"/>
            </w:tcBorders>
            <w:shd w:val="clear" w:color="000000" w:fill="FABF8F"/>
            <w:vAlign w:val="center"/>
            <w:hideMark/>
          </w:tcPr>
          <w:p w14:paraId="7D49E02B" w14:textId="790A3A83" w:rsidR="00873986" w:rsidRPr="00873986" w:rsidRDefault="00873986" w:rsidP="00873986">
            <w:pPr>
              <w:spacing w:after="0" w:line="240" w:lineRule="auto"/>
              <w:jc w:val="center"/>
              <w:rPr>
                <w:rFonts w:ascii="Times New Roman" w:hAnsi="Times New Roman"/>
                <w:b/>
                <w:bCs/>
                <w:color w:val="000000"/>
                <w:sz w:val="18"/>
                <w:szCs w:val="18"/>
                <w:lang w:eastAsia="sk-SK"/>
              </w:rPr>
            </w:pPr>
            <w:r w:rsidRPr="00873986">
              <w:rPr>
                <w:rFonts w:ascii="Times New Roman" w:hAnsi="Times New Roman"/>
                <w:b/>
                <w:bCs/>
                <w:color w:val="000000"/>
                <w:sz w:val="18"/>
                <w:szCs w:val="18"/>
                <w:lang w:eastAsia="sk-SK"/>
              </w:rPr>
              <w:t>š.</w:t>
            </w:r>
            <w:r w:rsidR="002765BC">
              <w:rPr>
                <w:rFonts w:ascii="Times New Roman" w:hAnsi="Times New Roman"/>
                <w:b/>
                <w:bCs/>
                <w:color w:val="000000"/>
                <w:sz w:val="18"/>
                <w:szCs w:val="18"/>
                <w:lang w:eastAsia="sk-SK"/>
              </w:rPr>
              <w:t xml:space="preserve"> </w:t>
            </w:r>
            <w:r w:rsidRPr="00873986">
              <w:rPr>
                <w:rFonts w:ascii="Times New Roman" w:hAnsi="Times New Roman"/>
                <w:b/>
                <w:bCs/>
                <w:color w:val="000000"/>
                <w:sz w:val="18"/>
                <w:szCs w:val="18"/>
                <w:lang w:eastAsia="sk-SK"/>
              </w:rPr>
              <w:t>p.</w:t>
            </w:r>
          </w:p>
        </w:tc>
        <w:tc>
          <w:tcPr>
            <w:tcW w:w="376" w:type="pct"/>
            <w:tcBorders>
              <w:top w:val="nil"/>
              <w:left w:val="nil"/>
              <w:bottom w:val="single" w:sz="4" w:space="0" w:color="auto"/>
              <w:right w:val="single" w:sz="4" w:space="0" w:color="auto"/>
            </w:tcBorders>
            <w:shd w:val="clear" w:color="000000" w:fill="FABF8F"/>
            <w:vAlign w:val="center"/>
            <w:hideMark/>
          </w:tcPr>
          <w:p w14:paraId="1629BF52" w14:textId="77777777" w:rsidR="00873986" w:rsidRPr="00873986" w:rsidRDefault="00873986" w:rsidP="00873986">
            <w:pPr>
              <w:spacing w:after="0" w:line="240" w:lineRule="auto"/>
              <w:jc w:val="center"/>
              <w:rPr>
                <w:rFonts w:ascii="Times New Roman" w:hAnsi="Times New Roman"/>
                <w:b/>
                <w:bCs/>
                <w:color w:val="000000"/>
                <w:sz w:val="18"/>
                <w:szCs w:val="18"/>
                <w:lang w:eastAsia="sk-SK"/>
              </w:rPr>
            </w:pPr>
            <w:r w:rsidRPr="00873986">
              <w:rPr>
                <w:rFonts w:ascii="Times New Roman" w:hAnsi="Times New Roman"/>
                <w:b/>
                <w:bCs/>
                <w:color w:val="000000"/>
                <w:sz w:val="18"/>
                <w:szCs w:val="18"/>
                <w:lang w:eastAsia="sk-SK"/>
              </w:rPr>
              <w:t>ŠF</w:t>
            </w:r>
          </w:p>
        </w:tc>
      </w:tr>
      <w:tr w:rsidR="00873986" w:rsidRPr="001567C8" w14:paraId="444B6345"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620FE78C"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Ministerstvo školstva, výskumu, vývoja a mládeže SR</w:t>
            </w:r>
          </w:p>
        </w:tc>
        <w:tc>
          <w:tcPr>
            <w:tcW w:w="376" w:type="pct"/>
            <w:tcBorders>
              <w:top w:val="nil"/>
              <w:left w:val="nil"/>
              <w:bottom w:val="single" w:sz="4" w:space="0" w:color="auto"/>
              <w:right w:val="single" w:sz="4" w:space="0" w:color="auto"/>
            </w:tcBorders>
            <w:vAlign w:val="center"/>
            <w:hideMark/>
          </w:tcPr>
          <w:p w14:paraId="1732CAA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340</w:t>
            </w:r>
          </w:p>
        </w:tc>
        <w:tc>
          <w:tcPr>
            <w:tcW w:w="376" w:type="pct"/>
            <w:tcBorders>
              <w:top w:val="nil"/>
              <w:left w:val="nil"/>
              <w:bottom w:val="single" w:sz="4" w:space="0" w:color="auto"/>
              <w:right w:val="single" w:sz="4" w:space="0" w:color="auto"/>
            </w:tcBorders>
            <w:vAlign w:val="center"/>
            <w:hideMark/>
          </w:tcPr>
          <w:p w14:paraId="1294B4D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331</w:t>
            </w:r>
          </w:p>
        </w:tc>
        <w:tc>
          <w:tcPr>
            <w:tcW w:w="376" w:type="pct"/>
            <w:tcBorders>
              <w:top w:val="nil"/>
              <w:left w:val="nil"/>
              <w:bottom w:val="single" w:sz="4" w:space="0" w:color="auto"/>
              <w:right w:val="single" w:sz="4" w:space="0" w:color="auto"/>
            </w:tcBorders>
            <w:vAlign w:val="center"/>
            <w:hideMark/>
          </w:tcPr>
          <w:p w14:paraId="6DE99B7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8</w:t>
            </w:r>
          </w:p>
        </w:tc>
        <w:tc>
          <w:tcPr>
            <w:tcW w:w="376" w:type="pct"/>
            <w:tcBorders>
              <w:top w:val="nil"/>
              <w:left w:val="nil"/>
              <w:bottom w:val="single" w:sz="4" w:space="0" w:color="auto"/>
              <w:right w:val="single" w:sz="4" w:space="0" w:color="auto"/>
            </w:tcBorders>
            <w:vAlign w:val="center"/>
            <w:hideMark/>
          </w:tcPr>
          <w:p w14:paraId="35FD8FB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5B7EA8D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2520C9C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75EA9B0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1703ACF5"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1B2C1939"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Ministerstvo práce, sociálnych vecí a rodiny SR</w:t>
            </w:r>
          </w:p>
        </w:tc>
        <w:tc>
          <w:tcPr>
            <w:tcW w:w="376" w:type="pct"/>
            <w:tcBorders>
              <w:top w:val="nil"/>
              <w:left w:val="nil"/>
              <w:bottom w:val="single" w:sz="4" w:space="0" w:color="auto"/>
              <w:right w:val="single" w:sz="4" w:space="0" w:color="auto"/>
            </w:tcBorders>
            <w:vAlign w:val="center"/>
            <w:hideMark/>
          </w:tcPr>
          <w:p w14:paraId="05D05A4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86</w:t>
            </w:r>
          </w:p>
        </w:tc>
        <w:tc>
          <w:tcPr>
            <w:tcW w:w="376" w:type="pct"/>
            <w:tcBorders>
              <w:top w:val="nil"/>
              <w:left w:val="nil"/>
              <w:bottom w:val="single" w:sz="4" w:space="0" w:color="auto"/>
              <w:right w:val="single" w:sz="4" w:space="0" w:color="auto"/>
            </w:tcBorders>
            <w:vAlign w:val="center"/>
            <w:hideMark/>
          </w:tcPr>
          <w:p w14:paraId="2525177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82</w:t>
            </w:r>
          </w:p>
        </w:tc>
        <w:tc>
          <w:tcPr>
            <w:tcW w:w="376" w:type="pct"/>
            <w:tcBorders>
              <w:top w:val="nil"/>
              <w:left w:val="nil"/>
              <w:bottom w:val="single" w:sz="4" w:space="0" w:color="auto"/>
              <w:right w:val="single" w:sz="4" w:space="0" w:color="auto"/>
            </w:tcBorders>
            <w:vAlign w:val="center"/>
            <w:hideMark/>
          </w:tcPr>
          <w:p w14:paraId="1B01DB6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w:t>
            </w:r>
          </w:p>
        </w:tc>
        <w:tc>
          <w:tcPr>
            <w:tcW w:w="376" w:type="pct"/>
            <w:tcBorders>
              <w:top w:val="nil"/>
              <w:left w:val="nil"/>
              <w:bottom w:val="single" w:sz="4" w:space="0" w:color="auto"/>
              <w:right w:val="single" w:sz="4" w:space="0" w:color="auto"/>
            </w:tcBorders>
            <w:vAlign w:val="center"/>
            <w:hideMark/>
          </w:tcPr>
          <w:p w14:paraId="314A56C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0BF00D2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w:t>
            </w:r>
          </w:p>
        </w:tc>
        <w:tc>
          <w:tcPr>
            <w:tcW w:w="376" w:type="pct"/>
            <w:tcBorders>
              <w:top w:val="nil"/>
              <w:left w:val="nil"/>
              <w:bottom w:val="single" w:sz="4" w:space="0" w:color="auto"/>
              <w:right w:val="single" w:sz="4" w:space="0" w:color="auto"/>
            </w:tcBorders>
            <w:vAlign w:val="center"/>
            <w:hideMark/>
          </w:tcPr>
          <w:p w14:paraId="13344FA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58DFA68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438FF9EA"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030F03C8"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Ministerstvo zdravotníctva SR</w:t>
            </w:r>
          </w:p>
        </w:tc>
        <w:tc>
          <w:tcPr>
            <w:tcW w:w="376" w:type="pct"/>
            <w:tcBorders>
              <w:top w:val="nil"/>
              <w:left w:val="nil"/>
              <w:bottom w:val="single" w:sz="4" w:space="0" w:color="auto"/>
              <w:right w:val="single" w:sz="4" w:space="0" w:color="auto"/>
            </w:tcBorders>
            <w:vAlign w:val="center"/>
            <w:hideMark/>
          </w:tcPr>
          <w:p w14:paraId="7210BBC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86</w:t>
            </w:r>
          </w:p>
        </w:tc>
        <w:tc>
          <w:tcPr>
            <w:tcW w:w="376" w:type="pct"/>
            <w:tcBorders>
              <w:top w:val="nil"/>
              <w:left w:val="nil"/>
              <w:bottom w:val="single" w:sz="4" w:space="0" w:color="auto"/>
              <w:right w:val="single" w:sz="4" w:space="0" w:color="auto"/>
            </w:tcBorders>
            <w:vAlign w:val="center"/>
            <w:hideMark/>
          </w:tcPr>
          <w:p w14:paraId="07010DB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40</w:t>
            </w:r>
          </w:p>
        </w:tc>
        <w:tc>
          <w:tcPr>
            <w:tcW w:w="376" w:type="pct"/>
            <w:tcBorders>
              <w:top w:val="nil"/>
              <w:left w:val="nil"/>
              <w:bottom w:val="single" w:sz="4" w:space="0" w:color="auto"/>
              <w:right w:val="single" w:sz="4" w:space="0" w:color="auto"/>
            </w:tcBorders>
            <w:vAlign w:val="center"/>
            <w:hideMark/>
          </w:tcPr>
          <w:p w14:paraId="4E776A5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36</w:t>
            </w:r>
          </w:p>
        </w:tc>
        <w:tc>
          <w:tcPr>
            <w:tcW w:w="376" w:type="pct"/>
            <w:tcBorders>
              <w:top w:val="nil"/>
              <w:left w:val="nil"/>
              <w:bottom w:val="single" w:sz="4" w:space="0" w:color="auto"/>
              <w:right w:val="single" w:sz="4" w:space="0" w:color="auto"/>
            </w:tcBorders>
            <w:vAlign w:val="center"/>
            <w:hideMark/>
          </w:tcPr>
          <w:p w14:paraId="56383F8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46EB3F9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8</w:t>
            </w:r>
          </w:p>
        </w:tc>
        <w:tc>
          <w:tcPr>
            <w:tcW w:w="376" w:type="pct"/>
            <w:tcBorders>
              <w:top w:val="nil"/>
              <w:left w:val="nil"/>
              <w:bottom w:val="single" w:sz="4" w:space="0" w:color="auto"/>
              <w:right w:val="single" w:sz="4" w:space="0" w:color="auto"/>
            </w:tcBorders>
            <w:vAlign w:val="center"/>
            <w:hideMark/>
          </w:tcPr>
          <w:p w14:paraId="49F4751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w:t>
            </w:r>
          </w:p>
        </w:tc>
        <w:tc>
          <w:tcPr>
            <w:tcW w:w="376" w:type="pct"/>
            <w:tcBorders>
              <w:top w:val="nil"/>
              <w:left w:val="nil"/>
              <w:bottom w:val="single" w:sz="4" w:space="0" w:color="auto"/>
              <w:right w:val="single" w:sz="4" w:space="0" w:color="auto"/>
            </w:tcBorders>
            <w:vAlign w:val="center"/>
            <w:hideMark/>
          </w:tcPr>
          <w:p w14:paraId="423D451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5642845F"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05736432"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Ministerstvo spravodlivosti SR</w:t>
            </w:r>
          </w:p>
        </w:tc>
        <w:tc>
          <w:tcPr>
            <w:tcW w:w="376" w:type="pct"/>
            <w:tcBorders>
              <w:top w:val="nil"/>
              <w:left w:val="nil"/>
              <w:bottom w:val="single" w:sz="4" w:space="0" w:color="auto"/>
              <w:right w:val="single" w:sz="4" w:space="0" w:color="auto"/>
            </w:tcBorders>
            <w:vAlign w:val="center"/>
            <w:hideMark/>
          </w:tcPr>
          <w:p w14:paraId="36D7920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71</w:t>
            </w:r>
          </w:p>
        </w:tc>
        <w:tc>
          <w:tcPr>
            <w:tcW w:w="376" w:type="pct"/>
            <w:tcBorders>
              <w:top w:val="nil"/>
              <w:left w:val="nil"/>
              <w:bottom w:val="single" w:sz="4" w:space="0" w:color="auto"/>
              <w:right w:val="single" w:sz="4" w:space="0" w:color="auto"/>
            </w:tcBorders>
            <w:vAlign w:val="center"/>
            <w:hideMark/>
          </w:tcPr>
          <w:p w14:paraId="070900E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71</w:t>
            </w:r>
          </w:p>
        </w:tc>
        <w:tc>
          <w:tcPr>
            <w:tcW w:w="376" w:type="pct"/>
            <w:tcBorders>
              <w:top w:val="nil"/>
              <w:left w:val="nil"/>
              <w:bottom w:val="single" w:sz="4" w:space="0" w:color="auto"/>
              <w:right w:val="single" w:sz="4" w:space="0" w:color="auto"/>
            </w:tcBorders>
            <w:vAlign w:val="center"/>
            <w:hideMark/>
          </w:tcPr>
          <w:p w14:paraId="7F74CE9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3F26A94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4938358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0C6B1D4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044E98A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18194424"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50DD2493"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Ministerstvo pôdohospodárstva a rozvoja vidieka SR</w:t>
            </w:r>
          </w:p>
        </w:tc>
        <w:tc>
          <w:tcPr>
            <w:tcW w:w="376" w:type="pct"/>
            <w:tcBorders>
              <w:top w:val="nil"/>
              <w:left w:val="nil"/>
              <w:bottom w:val="single" w:sz="4" w:space="0" w:color="auto"/>
              <w:right w:val="single" w:sz="4" w:space="0" w:color="auto"/>
            </w:tcBorders>
            <w:vAlign w:val="center"/>
            <w:hideMark/>
          </w:tcPr>
          <w:p w14:paraId="4ED1031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58</w:t>
            </w:r>
          </w:p>
        </w:tc>
        <w:tc>
          <w:tcPr>
            <w:tcW w:w="376" w:type="pct"/>
            <w:tcBorders>
              <w:top w:val="nil"/>
              <w:left w:val="nil"/>
              <w:bottom w:val="single" w:sz="4" w:space="0" w:color="auto"/>
              <w:right w:val="single" w:sz="4" w:space="0" w:color="auto"/>
            </w:tcBorders>
            <w:vAlign w:val="center"/>
            <w:hideMark/>
          </w:tcPr>
          <w:p w14:paraId="4370E54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46</w:t>
            </w:r>
          </w:p>
        </w:tc>
        <w:tc>
          <w:tcPr>
            <w:tcW w:w="376" w:type="pct"/>
            <w:tcBorders>
              <w:top w:val="nil"/>
              <w:left w:val="nil"/>
              <w:bottom w:val="single" w:sz="4" w:space="0" w:color="auto"/>
              <w:right w:val="single" w:sz="4" w:space="0" w:color="auto"/>
            </w:tcBorders>
            <w:vAlign w:val="center"/>
            <w:hideMark/>
          </w:tcPr>
          <w:p w14:paraId="5D18665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6</w:t>
            </w:r>
          </w:p>
        </w:tc>
        <w:tc>
          <w:tcPr>
            <w:tcW w:w="376" w:type="pct"/>
            <w:tcBorders>
              <w:top w:val="nil"/>
              <w:left w:val="nil"/>
              <w:bottom w:val="single" w:sz="4" w:space="0" w:color="auto"/>
              <w:right w:val="single" w:sz="4" w:space="0" w:color="auto"/>
            </w:tcBorders>
            <w:vAlign w:val="center"/>
            <w:hideMark/>
          </w:tcPr>
          <w:p w14:paraId="0C1A6B5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6C941B9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08F2E11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6</w:t>
            </w:r>
          </w:p>
        </w:tc>
        <w:tc>
          <w:tcPr>
            <w:tcW w:w="376" w:type="pct"/>
            <w:tcBorders>
              <w:top w:val="nil"/>
              <w:left w:val="nil"/>
              <w:bottom w:val="single" w:sz="4" w:space="0" w:color="auto"/>
              <w:right w:val="single" w:sz="4" w:space="0" w:color="auto"/>
            </w:tcBorders>
            <w:vAlign w:val="center"/>
            <w:hideMark/>
          </w:tcPr>
          <w:p w14:paraId="68B237F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5C3B5D7D"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1C57CAE8"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Slovenská akadémia vied</w:t>
            </w:r>
          </w:p>
        </w:tc>
        <w:tc>
          <w:tcPr>
            <w:tcW w:w="376" w:type="pct"/>
            <w:tcBorders>
              <w:top w:val="nil"/>
              <w:left w:val="nil"/>
              <w:bottom w:val="single" w:sz="4" w:space="0" w:color="auto"/>
              <w:right w:val="single" w:sz="4" w:space="0" w:color="auto"/>
            </w:tcBorders>
            <w:vAlign w:val="center"/>
            <w:hideMark/>
          </w:tcPr>
          <w:p w14:paraId="6F0FF81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48</w:t>
            </w:r>
          </w:p>
        </w:tc>
        <w:tc>
          <w:tcPr>
            <w:tcW w:w="376" w:type="pct"/>
            <w:tcBorders>
              <w:top w:val="nil"/>
              <w:left w:val="nil"/>
              <w:bottom w:val="single" w:sz="4" w:space="0" w:color="auto"/>
              <w:right w:val="single" w:sz="4" w:space="0" w:color="auto"/>
            </w:tcBorders>
            <w:vAlign w:val="center"/>
            <w:hideMark/>
          </w:tcPr>
          <w:p w14:paraId="52ADE4C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742E45F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2E3FCE6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47</w:t>
            </w:r>
          </w:p>
        </w:tc>
        <w:tc>
          <w:tcPr>
            <w:tcW w:w="376" w:type="pct"/>
            <w:tcBorders>
              <w:top w:val="nil"/>
              <w:left w:val="nil"/>
              <w:bottom w:val="single" w:sz="4" w:space="0" w:color="auto"/>
              <w:right w:val="single" w:sz="4" w:space="0" w:color="auto"/>
            </w:tcBorders>
            <w:vAlign w:val="center"/>
            <w:hideMark/>
          </w:tcPr>
          <w:p w14:paraId="60DD469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23E8EEA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3A1895E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0C49FDEA"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6C7E6271"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Ministerstvo kultúry SR</w:t>
            </w:r>
          </w:p>
        </w:tc>
        <w:tc>
          <w:tcPr>
            <w:tcW w:w="376" w:type="pct"/>
            <w:tcBorders>
              <w:top w:val="nil"/>
              <w:left w:val="nil"/>
              <w:bottom w:val="single" w:sz="4" w:space="0" w:color="auto"/>
              <w:right w:val="single" w:sz="4" w:space="0" w:color="auto"/>
            </w:tcBorders>
            <w:vAlign w:val="center"/>
            <w:hideMark/>
          </w:tcPr>
          <w:p w14:paraId="479387A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31</w:t>
            </w:r>
          </w:p>
        </w:tc>
        <w:tc>
          <w:tcPr>
            <w:tcW w:w="376" w:type="pct"/>
            <w:tcBorders>
              <w:top w:val="nil"/>
              <w:left w:val="nil"/>
              <w:bottom w:val="single" w:sz="4" w:space="0" w:color="auto"/>
              <w:right w:val="single" w:sz="4" w:space="0" w:color="auto"/>
            </w:tcBorders>
            <w:vAlign w:val="center"/>
            <w:hideMark/>
          </w:tcPr>
          <w:p w14:paraId="01C8F72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7</w:t>
            </w:r>
          </w:p>
        </w:tc>
        <w:tc>
          <w:tcPr>
            <w:tcW w:w="376" w:type="pct"/>
            <w:tcBorders>
              <w:top w:val="nil"/>
              <w:left w:val="nil"/>
              <w:bottom w:val="single" w:sz="4" w:space="0" w:color="auto"/>
              <w:right w:val="single" w:sz="4" w:space="0" w:color="auto"/>
            </w:tcBorders>
            <w:vAlign w:val="center"/>
            <w:hideMark/>
          </w:tcPr>
          <w:p w14:paraId="15BE5DF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24</w:t>
            </w:r>
          </w:p>
        </w:tc>
        <w:tc>
          <w:tcPr>
            <w:tcW w:w="376" w:type="pct"/>
            <w:tcBorders>
              <w:top w:val="nil"/>
              <w:left w:val="nil"/>
              <w:bottom w:val="single" w:sz="4" w:space="0" w:color="auto"/>
              <w:right w:val="single" w:sz="4" w:space="0" w:color="auto"/>
            </w:tcBorders>
            <w:vAlign w:val="center"/>
            <w:hideMark/>
          </w:tcPr>
          <w:p w14:paraId="4326F16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4807906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653C6C2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5A0EFE9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5828AC00"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0D9EB4AE"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Ministerstvo obrany SR</w:t>
            </w:r>
          </w:p>
        </w:tc>
        <w:tc>
          <w:tcPr>
            <w:tcW w:w="376" w:type="pct"/>
            <w:tcBorders>
              <w:top w:val="nil"/>
              <w:left w:val="nil"/>
              <w:bottom w:val="single" w:sz="4" w:space="0" w:color="auto"/>
              <w:right w:val="single" w:sz="4" w:space="0" w:color="auto"/>
            </w:tcBorders>
            <w:vAlign w:val="center"/>
            <w:hideMark/>
          </w:tcPr>
          <w:p w14:paraId="1C86334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24</w:t>
            </w:r>
          </w:p>
        </w:tc>
        <w:tc>
          <w:tcPr>
            <w:tcW w:w="376" w:type="pct"/>
            <w:tcBorders>
              <w:top w:val="nil"/>
              <w:left w:val="nil"/>
              <w:bottom w:val="single" w:sz="4" w:space="0" w:color="auto"/>
              <w:right w:val="single" w:sz="4" w:space="0" w:color="auto"/>
            </w:tcBorders>
            <w:vAlign w:val="center"/>
            <w:hideMark/>
          </w:tcPr>
          <w:p w14:paraId="636B04B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11</w:t>
            </w:r>
          </w:p>
        </w:tc>
        <w:tc>
          <w:tcPr>
            <w:tcW w:w="376" w:type="pct"/>
            <w:tcBorders>
              <w:top w:val="nil"/>
              <w:left w:val="nil"/>
              <w:bottom w:val="single" w:sz="4" w:space="0" w:color="auto"/>
              <w:right w:val="single" w:sz="4" w:space="0" w:color="auto"/>
            </w:tcBorders>
            <w:vAlign w:val="center"/>
            <w:hideMark/>
          </w:tcPr>
          <w:p w14:paraId="1BA1927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3</w:t>
            </w:r>
          </w:p>
        </w:tc>
        <w:tc>
          <w:tcPr>
            <w:tcW w:w="376" w:type="pct"/>
            <w:tcBorders>
              <w:top w:val="nil"/>
              <w:left w:val="nil"/>
              <w:bottom w:val="single" w:sz="4" w:space="0" w:color="auto"/>
              <w:right w:val="single" w:sz="4" w:space="0" w:color="auto"/>
            </w:tcBorders>
            <w:vAlign w:val="center"/>
            <w:hideMark/>
          </w:tcPr>
          <w:p w14:paraId="207D985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0D4AB7D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9</w:t>
            </w:r>
          </w:p>
        </w:tc>
        <w:tc>
          <w:tcPr>
            <w:tcW w:w="376" w:type="pct"/>
            <w:tcBorders>
              <w:top w:val="nil"/>
              <w:left w:val="nil"/>
              <w:bottom w:val="single" w:sz="4" w:space="0" w:color="auto"/>
              <w:right w:val="single" w:sz="4" w:space="0" w:color="auto"/>
            </w:tcBorders>
            <w:vAlign w:val="center"/>
            <w:hideMark/>
          </w:tcPr>
          <w:p w14:paraId="067AC83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2F5E853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3574652E"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2B5B57DD"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Ministerstvo hospodárstva SR</w:t>
            </w:r>
          </w:p>
        </w:tc>
        <w:tc>
          <w:tcPr>
            <w:tcW w:w="376" w:type="pct"/>
            <w:tcBorders>
              <w:top w:val="nil"/>
              <w:left w:val="nil"/>
              <w:bottom w:val="single" w:sz="4" w:space="0" w:color="auto"/>
              <w:right w:val="single" w:sz="4" w:space="0" w:color="auto"/>
            </w:tcBorders>
            <w:vAlign w:val="center"/>
            <w:hideMark/>
          </w:tcPr>
          <w:p w14:paraId="6A46874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22</w:t>
            </w:r>
          </w:p>
        </w:tc>
        <w:tc>
          <w:tcPr>
            <w:tcW w:w="376" w:type="pct"/>
            <w:tcBorders>
              <w:top w:val="nil"/>
              <w:left w:val="nil"/>
              <w:bottom w:val="single" w:sz="4" w:space="0" w:color="auto"/>
              <w:right w:val="single" w:sz="4" w:space="0" w:color="auto"/>
            </w:tcBorders>
            <w:vAlign w:val="center"/>
            <w:hideMark/>
          </w:tcPr>
          <w:p w14:paraId="2EC0D8B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4</w:t>
            </w:r>
          </w:p>
        </w:tc>
        <w:tc>
          <w:tcPr>
            <w:tcW w:w="376" w:type="pct"/>
            <w:tcBorders>
              <w:top w:val="nil"/>
              <w:left w:val="nil"/>
              <w:bottom w:val="single" w:sz="4" w:space="0" w:color="auto"/>
              <w:right w:val="single" w:sz="4" w:space="0" w:color="auto"/>
            </w:tcBorders>
            <w:vAlign w:val="center"/>
            <w:hideMark/>
          </w:tcPr>
          <w:p w14:paraId="3747564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3</w:t>
            </w:r>
          </w:p>
        </w:tc>
        <w:tc>
          <w:tcPr>
            <w:tcW w:w="376" w:type="pct"/>
            <w:tcBorders>
              <w:top w:val="nil"/>
              <w:left w:val="nil"/>
              <w:bottom w:val="single" w:sz="4" w:space="0" w:color="auto"/>
              <w:right w:val="single" w:sz="4" w:space="0" w:color="auto"/>
            </w:tcBorders>
            <w:vAlign w:val="center"/>
            <w:hideMark/>
          </w:tcPr>
          <w:p w14:paraId="46C59B3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25DF5F8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13</w:t>
            </w:r>
          </w:p>
        </w:tc>
        <w:tc>
          <w:tcPr>
            <w:tcW w:w="376" w:type="pct"/>
            <w:tcBorders>
              <w:top w:val="nil"/>
              <w:left w:val="nil"/>
              <w:bottom w:val="single" w:sz="4" w:space="0" w:color="auto"/>
              <w:right w:val="single" w:sz="4" w:space="0" w:color="auto"/>
            </w:tcBorders>
            <w:vAlign w:val="center"/>
            <w:hideMark/>
          </w:tcPr>
          <w:p w14:paraId="05605E6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5D12CDF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r>
      <w:tr w:rsidR="00873986" w:rsidRPr="001567C8" w14:paraId="6419C95A"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4D5A777E"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Ministerstvo životného prostredia SR</w:t>
            </w:r>
          </w:p>
        </w:tc>
        <w:tc>
          <w:tcPr>
            <w:tcW w:w="376" w:type="pct"/>
            <w:tcBorders>
              <w:top w:val="nil"/>
              <w:left w:val="nil"/>
              <w:bottom w:val="single" w:sz="4" w:space="0" w:color="auto"/>
              <w:right w:val="single" w:sz="4" w:space="0" w:color="auto"/>
            </w:tcBorders>
            <w:vAlign w:val="center"/>
            <w:hideMark/>
          </w:tcPr>
          <w:p w14:paraId="22A6F83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22</w:t>
            </w:r>
          </w:p>
        </w:tc>
        <w:tc>
          <w:tcPr>
            <w:tcW w:w="376" w:type="pct"/>
            <w:tcBorders>
              <w:top w:val="nil"/>
              <w:left w:val="nil"/>
              <w:bottom w:val="single" w:sz="4" w:space="0" w:color="auto"/>
              <w:right w:val="single" w:sz="4" w:space="0" w:color="auto"/>
            </w:tcBorders>
            <w:vAlign w:val="center"/>
            <w:hideMark/>
          </w:tcPr>
          <w:p w14:paraId="7A8C13F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w:t>
            </w:r>
          </w:p>
        </w:tc>
        <w:tc>
          <w:tcPr>
            <w:tcW w:w="376" w:type="pct"/>
            <w:tcBorders>
              <w:top w:val="nil"/>
              <w:left w:val="nil"/>
              <w:bottom w:val="single" w:sz="4" w:space="0" w:color="auto"/>
              <w:right w:val="single" w:sz="4" w:space="0" w:color="auto"/>
            </w:tcBorders>
            <w:vAlign w:val="center"/>
            <w:hideMark/>
          </w:tcPr>
          <w:p w14:paraId="6AE7C6D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17</w:t>
            </w:r>
          </w:p>
        </w:tc>
        <w:tc>
          <w:tcPr>
            <w:tcW w:w="376" w:type="pct"/>
            <w:tcBorders>
              <w:top w:val="nil"/>
              <w:left w:val="nil"/>
              <w:bottom w:val="single" w:sz="4" w:space="0" w:color="auto"/>
              <w:right w:val="single" w:sz="4" w:space="0" w:color="auto"/>
            </w:tcBorders>
            <w:vAlign w:val="center"/>
            <w:hideMark/>
          </w:tcPr>
          <w:p w14:paraId="58C4491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7D343A6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57B2C10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w:t>
            </w:r>
          </w:p>
        </w:tc>
        <w:tc>
          <w:tcPr>
            <w:tcW w:w="376" w:type="pct"/>
            <w:tcBorders>
              <w:top w:val="nil"/>
              <w:left w:val="nil"/>
              <w:bottom w:val="single" w:sz="4" w:space="0" w:color="auto"/>
              <w:right w:val="single" w:sz="4" w:space="0" w:color="auto"/>
            </w:tcBorders>
            <w:vAlign w:val="center"/>
            <w:hideMark/>
          </w:tcPr>
          <w:p w14:paraId="7FA47B4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r>
      <w:tr w:rsidR="00873986" w:rsidRPr="001567C8" w14:paraId="7060CC19"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4C4E6008"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Ministerstvo dopravy SR*</w:t>
            </w:r>
          </w:p>
        </w:tc>
        <w:tc>
          <w:tcPr>
            <w:tcW w:w="376" w:type="pct"/>
            <w:tcBorders>
              <w:top w:val="nil"/>
              <w:left w:val="nil"/>
              <w:bottom w:val="single" w:sz="4" w:space="0" w:color="auto"/>
              <w:right w:val="single" w:sz="4" w:space="0" w:color="auto"/>
            </w:tcBorders>
            <w:vAlign w:val="center"/>
            <w:hideMark/>
          </w:tcPr>
          <w:p w14:paraId="75C6E0A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21</w:t>
            </w:r>
          </w:p>
        </w:tc>
        <w:tc>
          <w:tcPr>
            <w:tcW w:w="376" w:type="pct"/>
            <w:tcBorders>
              <w:top w:val="nil"/>
              <w:left w:val="nil"/>
              <w:bottom w:val="single" w:sz="4" w:space="0" w:color="auto"/>
              <w:right w:val="single" w:sz="4" w:space="0" w:color="auto"/>
            </w:tcBorders>
            <w:vAlign w:val="center"/>
            <w:hideMark/>
          </w:tcPr>
          <w:p w14:paraId="69A661E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5</w:t>
            </w:r>
          </w:p>
        </w:tc>
        <w:tc>
          <w:tcPr>
            <w:tcW w:w="376" w:type="pct"/>
            <w:tcBorders>
              <w:top w:val="nil"/>
              <w:left w:val="nil"/>
              <w:bottom w:val="single" w:sz="4" w:space="0" w:color="auto"/>
              <w:right w:val="single" w:sz="4" w:space="0" w:color="auto"/>
            </w:tcBorders>
            <w:vAlign w:val="center"/>
            <w:hideMark/>
          </w:tcPr>
          <w:p w14:paraId="2F05D98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0E76828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737B671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13</w:t>
            </w:r>
          </w:p>
        </w:tc>
        <w:tc>
          <w:tcPr>
            <w:tcW w:w="376" w:type="pct"/>
            <w:tcBorders>
              <w:top w:val="nil"/>
              <w:left w:val="nil"/>
              <w:bottom w:val="single" w:sz="4" w:space="0" w:color="auto"/>
              <w:right w:val="single" w:sz="4" w:space="0" w:color="auto"/>
            </w:tcBorders>
            <w:vAlign w:val="center"/>
            <w:hideMark/>
          </w:tcPr>
          <w:p w14:paraId="602FA21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w:t>
            </w:r>
          </w:p>
        </w:tc>
        <w:tc>
          <w:tcPr>
            <w:tcW w:w="376" w:type="pct"/>
            <w:tcBorders>
              <w:top w:val="nil"/>
              <w:left w:val="nil"/>
              <w:bottom w:val="single" w:sz="4" w:space="0" w:color="auto"/>
              <w:right w:val="single" w:sz="4" w:space="0" w:color="auto"/>
            </w:tcBorders>
            <w:vAlign w:val="center"/>
            <w:hideMark/>
          </w:tcPr>
          <w:p w14:paraId="1E6A558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r>
      <w:tr w:rsidR="00873986" w:rsidRPr="001567C8" w14:paraId="04383E0B"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4C82DF08"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Ministerstvo financií SR**</w:t>
            </w:r>
          </w:p>
        </w:tc>
        <w:tc>
          <w:tcPr>
            <w:tcW w:w="376" w:type="pct"/>
            <w:tcBorders>
              <w:top w:val="nil"/>
              <w:left w:val="nil"/>
              <w:bottom w:val="single" w:sz="4" w:space="0" w:color="auto"/>
              <w:right w:val="single" w:sz="4" w:space="0" w:color="auto"/>
            </w:tcBorders>
            <w:vAlign w:val="center"/>
            <w:hideMark/>
          </w:tcPr>
          <w:p w14:paraId="53B30AC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19</w:t>
            </w:r>
          </w:p>
        </w:tc>
        <w:tc>
          <w:tcPr>
            <w:tcW w:w="376" w:type="pct"/>
            <w:tcBorders>
              <w:top w:val="nil"/>
              <w:left w:val="nil"/>
              <w:bottom w:val="single" w:sz="4" w:space="0" w:color="auto"/>
              <w:right w:val="single" w:sz="4" w:space="0" w:color="auto"/>
            </w:tcBorders>
            <w:vAlign w:val="center"/>
            <w:hideMark/>
          </w:tcPr>
          <w:p w14:paraId="16B22C9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8</w:t>
            </w:r>
          </w:p>
        </w:tc>
        <w:tc>
          <w:tcPr>
            <w:tcW w:w="376" w:type="pct"/>
            <w:tcBorders>
              <w:top w:val="nil"/>
              <w:left w:val="nil"/>
              <w:bottom w:val="single" w:sz="4" w:space="0" w:color="auto"/>
              <w:right w:val="single" w:sz="4" w:space="0" w:color="auto"/>
            </w:tcBorders>
            <w:vAlign w:val="center"/>
            <w:hideMark/>
          </w:tcPr>
          <w:p w14:paraId="4C65A00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71BA14F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0AC27C4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10</w:t>
            </w:r>
          </w:p>
        </w:tc>
        <w:tc>
          <w:tcPr>
            <w:tcW w:w="376" w:type="pct"/>
            <w:tcBorders>
              <w:top w:val="nil"/>
              <w:left w:val="nil"/>
              <w:bottom w:val="single" w:sz="4" w:space="0" w:color="auto"/>
              <w:right w:val="single" w:sz="4" w:space="0" w:color="auto"/>
            </w:tcBorders>
            <w:vAlign w:val="center"/>
            <w:hideMark/>
          </w:tcPr>
          <w:p w14:paraId="62268D1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7BFF179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1FA42078"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7CB0E52A"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Ministerstvo vnútra SR***</w:t>
            </w:r>
          </w:p>
        </w:tc>
        <w:tc>
          <w:tcPr>
            <w:tcW w:w="376" w:type="pct"/>
            <w:tcBorders>
              <w:top w:val="nil"/>
              <w:left w:val="nil"/>
              <w:bottom w:val="single" w:sz="4" w:space="0" w:color="auto"/>
              <w:right w:val="single" w:sz="4" w:space="0" w:color="auto"/>
            </w:tcBorders>
            <w:vAlign w:val="center"/>
            <w:hideMark/>
          </w:tcPr>
          <w:p w14:paraId="29546CC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12</w:t>
            </w:r>
          </w:p>
        </w:tc>
        <w:tc>
          <w:tcPr>
            <w:tcW w:w="376" w:type="pct"/>
            <w:tcBorders>
              <w:top w:val="nil"/>
              <w:left w:val="nil"/>
              <w:bottom w:val="single" w:sz="4" w:space="0" w:color="auto"/>
              <w:right w:val="single" w:sz="4" w:space="0" w:color="auto"/>
            </w:tcBorders>
            <w:vAlign w:val="center"/>
            <w:hideMark/>
          </w:tcPr>
          <w:p w14:paraId="26DEC7B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4</w:t>
            </w:r>
          </w:p>
        </w:tc>
        <w:tc>
          <w:tcPr>
            <w:tcW w:w="376" w:type="pct"/>
            <w:tcBorders>
              <w:top w:val="nil"/>
              <w:left w:val="nil"/>
              <w:bottom w:val="single" w:sz="4" w:space="0" w:color="auto"/>
              <w:right w:val="single" w:sz="4" w:space="0" w:color="auto"/>
            </w:tcBorders>
            <w:vAlign w:val="center"/>
            <w:hideMark/>
          </w:tcPr>
          <w:p w14:paraId="4BA0B01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6</w:t>
            </w:r>
          </w:p>
        </w:tc>
        <w:tc>
          <w:tcPr>
            <w:tcW w:w="376" w:type="pct"/>
            <w:tcBorders>
              <w:top w:val="nil"/>
              <w:left w:val="nil"/>
              <w:bottom w:val="single" w:sz="4" w:space="0" w:color="auto"/>
              <w:right w:val="single" w:sz="4" w:space="0" w:color="auto"/>
            </w:tcBorders>
            <w:vAlign w:val="center"/>
            <w:hideMark/>
          </w:tcPr>
          <w:p w14:paraId="6E91334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536A315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w:t>
            </w:r>
          </w:p>
        </w:tc>
        <w:tc>
          <w:tcPr>
            <w:tcW w:w="376" w:type="pct"/>
            <w:tcBorders>
              <w:top w:val="nil"/>
              <w:left w:val="nil"/>
              <w:bottom w:val="single" w:sz="4" w:space="0" w:color="auto"/>
              <w:right w:val="single" w:sz="4" w:space="0" w:color="auto"/>
            </w:tcBorders>
            <w:vAlign w:val="center"/>
            <w:hideMark/>
          </w:tcPr>
          <w:p w14:paraId="2BF2E58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205CB54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31C93741"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767E58BB"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Generálna prokuratúra SR</w:t>
            </w:r>
          </w:p>
        </w:tc>
        <w:tc>
          <w:tcPr>
            <w:tcW w:w="376" w:type="pct"/>
            <w:tcBorders>
              <w:top w:val="nil"/>
              <w:left w:val="nil"/>
              <w:bottom w:val="single" w:sz="4" w:space="0" w:color="auto"/>
              <w:right w:val="single" w:sz="4" w:space="0" w:color="auto"/>
            </w:tcBorders>
            <w:vAlign w:val="center"/>
            <w:hideMark/>
          </w:tcPr>
          <w:p w14:paraId="681F068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9</w:t>
            </w:r>
          </w:p>
        </w:tc>
        <w:tc>
          <w:tcPr>
            <w:tcW w:w="376" w:type="pct"/>
            <w:tcBorders>
              <w:top w:val="nil"/>
              <w:left w:val="nil"/>
              <w:bottom w:val="single" w:sz="4" w:space="0" w:color="auto"/>
              <w:right w:val="single" w:sz="4" w:space="0" w:color="auto"/>
            </w:tcBorders>
            <w:vAlign w:val="center"/>
            <w:hideMark/>
          </w:tcPr>
          <w:p w14:paraId="094A47F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9</w:t>
            </w:r>
          </w:p>
        </w:tc>
        <w:tc>
          <w:tcPr>
            <w:tcW w:w="376" w:type="pct"/>
            <w:tcBorders>
              <w:top w:val="nil"/>
              <w:left w:val="nil"/>
              <w:bottom w:val="single" w:sz="4" w:space="0" w:color="auto"/>
              <w:right w:val="single" w:sz="4" w:space="0" w:color="auto"/>
            </w:tcBorders>
            <w:vAlign w:val="center"/>
            <w:hideMark/>
          </w:tcPr>
          <w:p w14:paraId="01B820F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0FD60AE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216C67C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56D7234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1672162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2C71572B"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0F5984F8"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Ministerstvo cestovného ruchu a športu SR</w:t>
            </w:r>
          </w:p>
        </w:tc>
        <w:tc>
          <w:tcPr>
            <w:tcW w:w="376" w:type="pct"/>
            <w:tcBorders>
              <w:top w:val="nil"/>
              <w:left w:val="nil"/>
              <w:bottom w:val="single" w:sz="4" w:space="0" w:color="auto"/>
              <w:right w:val="single" w:sz="4" w:space="0" w:color="auto"/>
            </w:tcBorders>
            <w:vAlign w:val="center"/>
            <w:hideMark/>
          </w:tcPr>
          <w:p w14:paraId="784ED51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5</w:t>
            </w:r>
          </w:p>
        </w:tc>
        <w:tc>
          <w:tcPr>
            <w:tcW w:w="376" w:type="pct"/>
            <w:tcBorders>
              <w:top w:val="nil"/>
              <w:left w:val="nil"/>
              <w:bottom w:val="single" w:sz="4" w:space="0" w:color="auto"/>
              <w:right w:val="single" w:sz="4" w:space="0" w:color="auto"/>
            </w:tcBorders>
            <w:vAlign w:val="center"/>
            <w:hideMark/>
          </w:tcPr>
          <w:p w14:paraId="0351B9A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w:t>
            </w:r>
          </w:p>
        </w:tc>
        <w:tc>
          <w:tcPr>
            <w:tcW w:w="376" w:type="pct"/>
            <w:tcBorders>
              <w:top w:val="nil"/>
              <w:left w:val="nil"/>
              <w:bottom w:val="single" w:sz="4" w:space="0" w:color="auto"/>
              <w:right w:val="single" w:sz="4" w:space="0" w:color="auto"/>
            </w:tcBorders>
            <w:vAlign w:val="center"/>
            <w:hideMark/>
          </w:tcPr>
          <w:p w14:paraId="714B537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w:t>
            </w:r>
          </w:p>
        </w:tc>
        <w:tc>
          <w:tcPr>
            <w:tcW w:w="376" w:type="pct"/>
            <w:tcBorders>
              <w:top w:val="nil"/>
              <w:left w:val="nil"/>
              <w:bottom w:val="single" w:sz="4" w:space="0" w:color="auto"/>
              <w:right w:val="single" w:sz="4" w:space="0" w:color="auto"/>
            </w:tcBorders>
            <w:vAlign w:val="center"/>
            <w:hideMark/>
          </w:tcPr>
          <w:p w14:paraId="71CCFCD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600D303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74FF223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7AD0845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7D7E8F1A"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1329DF92"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Ministerstvo zahraničných vecí a európskych záležitostí SR</w:t>
            </w:r>
          </w:p>
        </w:tc>
        <w:tc>
          <w:tcPr>
            <w:tcW w:w="376" w:type="pct"/>
            <w:tcBorders>
              <w:top w:val="nil"/>
              <w:left w:val="nil"/>
              <w:bottom w:val="single" w:sz="4" w:space="0" w:color="auto"/>
              <w:right w:val="single" w:sz="4" w:space="0" w:color="auto"/>
            </w:tcBorders>
            <w:vAlign w:val="center"/>
            <w:hideMark/>
          </w:tcPr>
          <w:p w14:paraId="48729A7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5</w:t>
            </w:r>
          </w:p>
        </w:tc>
        <w:tc>
          <w:tcPr>
            <w:tcW w:w="376" w:type="pct"/>
            <w:tcBorders>
              <w:top w:val="nil"/>
              <w:left w:val="nil"/>
              <w:bottom w:val="single" w:sz="4" w:space="0" w:color="auto"/>
              <w:right w:val="single" w:sz="4" w:space="0" w:color="auto"/>
            </w:tcBorders>
            <w:vAlign w:val="center"/>
            <w:hideMark/>
          </w:tcPr>
          <w:p w14:paraId="6F9B8F9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3</w:t>
            </w:r>
          </w:p>
        </w:tc>
        <w:tc>
          <w:tcPr>
            <w:tcW w:w="376" w:type="pct"/>
            <w:tcBorders>
              <w:top w:val="nil"/>
              <w:left w:val="nil"/>
              <w:bottom w:val="single" w:sz="4" w:space="0" w:color="auto"/>
              <w:right w:val="single" w:sz="4" w:space="0" w:color="auto"/>
            </w:tcBorders>
            <w:vAlign w:val="center"/>
            <w:hideMark/>
          </w:tcPr>
          <w:p w14:paraId="3DE0194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5935891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75D8ECD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1E035B9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01DC5A3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3002799D"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7B44DA72"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Úrad pre normalizáciu, metrológiu a skúšobníctvo SR</w:t>
            </w:r>
          </w:p>
        </w:tc>
        <w:tc>
          <w:tcPr>
            <w:tcW w:w="376" w:type="pct"/>
            <w:tcBorders>
              <w:top w:val="nil"/>
              <w:left w:val="nil"/>
              <w:bottom w:val="single" w:sz="4" w:space="0" w:color="auto"/>
              <w:right w:val="single" w:sz="4" w:space="0" w:color="auto"/>
            </w:tcBorders>
            <w:vAlign w:val="center"/>
            <w:hideMark/>
          </w:tcPr>
          <w:p w14:paraId="1B7D3DE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4</w:t>
            </w:r>
          </w:p>
        </w:tc>
        <w:tc>
          <w:tcPr>
            <w:tcW w:w="376" w:type="pct"/>
            <w:tcBorders>
              <w:top w:val="nil"/>
              <w:left w:val="nil"/>
              <w:bottom w:val="single" w:sz="4" w:space="0" w:color="auto"/>
              <w:right w:val="single" w:sz="4" w:space="0" w:color="auto"/>
            </w:tcBorders>
            <w:vAlign w:val="center"/>
            <w:hideMark/>
          </w:tcPr>
          <w:p w14:paraId="2EBB9AF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w:t>
            </w:r>
          </w:p>
        </w:tc>
        <w:tc>
          <w:tcPr>
            <w:tcW w:w="376" w:type="pct"/>
            <w:tcBorders>
              <w:top w:val="nil"/>
              <w:left w:val="nil"/>
              <w:bottom w:val="single" w:sz="4" w:space="0" w:color="auto"/>
              <w:right w:val="single" w:sz="4" w:space="0" w:color="auto"/>
            </w:tcBorders>
            <w:vAlign w:val="center"/>
            <w:hideMark/>
          </w:tcPr>
          <w:p w14:paraId="6E34880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7052C13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31CB4B0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5F0907C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787B5F4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286FD1DE"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6A0041A4"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Ministerstvo investícií, regionálneho rozvoja a informatizácie SR</w:t>
            </w:r>
          </w:p>
        </w:tc>
        <w:tc>
          <w:tcPr>
            <w:tcW w:w="376" w:type="pct"/>
            <w:tcBorders>
              <w:top w:val="nil"/>
              <w:left w:val="nil"/>
              <w:bottom w:val="single" w:sz="4" w:space="0" w:color="auto"/>
              <w:right w:val="single" w:sz="4" w:space="0" w:color="auto"/>
            </w:tcBorders>
            <w:vAlign w:val="center"/>
            <w:hideMark/>
          </w:tcPr>
          <w:p w14:paraId="26E326F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3</w:t>
            </w:r>
          </w:p>
        </w:tc>
        <w:tc>
          <w:tcPr>
            <w:tcW w:w="376" w:type="pct"/>
            <w:tcBorders>
              <w:top w:val="nil"/>
              <w:left w:val="nil"/>
              <w:bottom w:val="single" w:sz="4" w:space="0" w:color="auto"/>
              <w:right w:val="single" w:sz="4" w:space="0" w:color="auto"/>
            </w:tcBorders>
            <w:vAlign w:val="center"/>
            <w:hideMark/>
          </w:tcPr>
          <w:p w14:paraId="735AAB4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7869523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7B84651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2127247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75AE752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40D0E1B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4E69E3D6"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64D307D0"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Úrad geodézie, kartografie a katastra SR</w:t>
            </w:r>
          </w:p>
        </w:tc>
        <w:tc>
          <w:tcPr>
            <w:tcW w:w="376" w:type="pct"/>
            <w:tcBorders>
              <w:top w:val="nil"/>
              <w:left w:val="nil"/>
              <w:bottom w:val="single" w:sz="4" w:space="0" w:color="auto"/>
              <w:right w:val="single" w:sz="4" w:space="0" w:color="auto"/>
            </w:tcBorders>
            <w:vAlign w:val="center"/>
            <w:hideMark/>
          </w:tcPr>
          <w:p w14:paraId="0EDFB26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3</w:t>
            </w:r>
          </w:p>
        </w:tc>
        <w:tc>
          <w:tcPr>
            <w:tcW w:w="376" w:type="pct"/>
            <w:tcBorders>
              <w:top w:val="nil"/>
              <w:left w:val="nil"/>
              <w:bottom w:val="single" w:sz="4" w:space="0" w:color="auto"/>
              <w:right w:val="single" w:sz="4" w:space="0" w:color="auto"/>
            </w:tcBorders>
            <w:vAlign w:val="center"/>
            <w:hideMark/>
          </w:tcPr>
          <w:p w14:paraId="36CC966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w:t>
            </w:r>
          </w:p>
        </w:tc>
        <w:tc>
          <w:tcPr>
            <w:tcW w:w="376" w:type="pct"/>
            <w:tcBorders>
              <w:top w:val="nil"/>
              <w:left w:val="nil"/>
              <w:bottom w:val="single" w:sz="4" w:space="0" w:color="auto"/>
              <w:right w:val="single" w:sz="4" w:space="0" w:color="auto"/>
            </w:tcBorders>
            <w:vAlign w:val="center"/>
            <w:hideMark/>
          </w:tcPr>
          <w:p w14:paraId="61B1C31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7B96C1A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6190954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02BCEFF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254E784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47FCA4FC"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4F566C9F"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Národný bezpečnostný úrad</w:t>
            </w:r>
          </w:p>
        </w:tc>
        <w:tc>
          <w:tcPr>
            <w:tcW w:w="376" w:type="pct"/>
            <w:tcBorders>
              <w:top w:val="nil"/>
              <w:left w:val="nil"/>
              <w:bottom w:val="single" w:sz="4" w:space="0" w:color="auto"/>
              <w:right w:val="single" w:sz="4" w:space="0" w:color="auto"/>
            </w:tcBorders>
            <w:vAlign w:val="center"/>
            <w:hideMark/>
          </w:tcPr>
          <w:p w14:paraId="4191EE7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w:t>
            </w:r>
          </w:p>
        </w:tc>
        <w:tc>
          <w:tcPr>
            <w:tcW w:w="376" w:type="pct"/>
            <w:tcBorders>
              <w:top w:val="nil"/>
              <w:left w:val="nil"/>
              <w:bottom w:val="single" w:sz="4" w:space="0" w:color="auto"/>
              <w:right w:val="single" w:sz="4" w:space="0" w:color="auto"/>
            </w:tcBorders>
            <w:vAlign w:val="center"/>
            <w:hideMark/>
          </w:tcPr>
          <w:p w14:paraId="1676623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56A28BA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34D578C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7C87AA6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7BA14D7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7626C26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714D11A2"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425240F9"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Správa štátnych hmotných rezerv SR</w:t>
            </w:r>
          </w:p>
        </w:tc>
        <w:tc>
          <w:tcPr>
            <w:tcW w:w="376" w:type="pct"/>
            <w:tcBorders>
              <w:top w:val="nil"/>
              <w:left w:val="nil"/>
              <w:bottom w:val="single" w:sz="4" w:space="0" w:color="auto"/>
              <w:right w:val="single" w:sz="4" w:space="0" w:color="auto"/>
            </w:tcBorders>
            <w:vAlign w:val="center"/>
            <w:hideMark/>
          </w:tcPr>
          <w:p w14:paraId="689359B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w:t>
            </w:r>
          </w:p>
        </w:tc>
        <w:tc>
          <w:tcPr>
            <w:tcW w:w="376" w:type="pct"/>
            <w:tcBorders>
              <w:top w:val="nil"/>
              <w:left w:val="nil"/>
              <w:bottom w:val="single" w:sz="4" w:space="0" w:color="auto"/>
              <w:right w:val="single" w:sz="4" w:space="0" w:color="auto"/>
            </w:tcBorders>
            <w:vAlign w:val="center"/>
            <w:hideMark/>
          </w:tcPr>
          <w:p w14:paraId="77E673D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5EF7B4B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5FDC724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2718BE3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7B456B0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3128478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18058B8D" w14:textId="77777777" w:rsidTr="00873986">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34AA5CE7"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Štatistický úrad SR</w:t>
            </w:r>
          </w:p>
        </w:tc>
        <w:tc>
          <w:tcPr>
            <w:tcW w:w="376" w:type="pct"/>
            <w:tcBorders>
              <w:top w:val="nil"/>
              <w:left w:val="nil"/>
              <w:bottom w:val="single" w:sz="4" w:space="0" w:color="auto"/>
              <w:right w:val="single" w:sz="4" w:space="0" w:color="auto"/>
            </w:tcBorders>
            <w:vAlign w:val="center"/>
            <w:hideMark/>
          </w:tcPr>
          <w:p w14:paraId="06BAD6E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w:t>
            </w:r>
          </w:p>
        </w:tc>
        <w:tc>
          <w:tcPr>
            <w:tcW w:w="376" w:type="pct"/>
            <w:tcBorders>
              <w:top w:val="nil"/>
              <w:left w:val="nil"/>
              <w:bottom w:val="single" w:sz="4" w:space="0" w:color="auto"/>
              <w:right w:val="single" w:sz="4" w:space="0" w:color="auto"/>
            </w:tcBorders>
            <w:noWrap/>
            <w:vAlign w:val="center"/>
            <w:hideMark/>
          </w:tcPr>
          <w:p w14:paraId="48D1F16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3926750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13635B8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65BA9A9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2CA53B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66F9CB9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6642FC6B"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27C74C35"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Úrad pre územné plánovanie a výstavbu SR</w:t>
            </w:r>
          </w:p>
        </w:tc>
        <w:tc>
          <w:tcPr>
            <w:tcW w:w="376" w:type="pct"/>
            <w:tcBorders>
              <w:top w:val="nil"/>
              <w:left w:val="nil"/>
              <w:bottom w:val="single" w:sz="4" w:space="0" w:color="auto"/>
              <w:right w:val="single" w:sz="4" w:space="0" w:color="auto"/>
            </w:tcBorders>
            <w:vAlign w:val="center"/>
            <w:hideMark/>
          </w:tcPr>
          <w:p w14:paraId="23C358A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w:t>
            </w:r>
          </w:p>
        </w:tc>
        <w:tc>
          <w:tcPr>
            <w:tcW w:w="376" w:type="pct"/>
            <w:tcBorders>
              <w:top w:val="nil"/>
              <w:left w:val="nil"/>
              <w:bottom w:val="single" w:sz="4" w:space="0" w:color="auto"/>
              <w:right w:val="single" w:sz="4" w:space="0" w:color="auto"/>
            </w:tcBorders>
            <w:vAlign w:val="center"/>
            <w:hideMark/>
          </w:tcPr>
          <w:p w14:paraId="182C0E5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w:t>
            </w:r>
          </w:p>
        </w:tc>
        <w:tc>
          <w:tcPr>
            <w:tcW w:w="376" w:type="pct"/>
            <w:tcBorders>
              <w:top w:val="nil"/>
              <w:left w:val="nil"/>
              <w:bottom w:val="single" w:sz="4" w:space="0" w:color="auto"/>
              <w:right w:val="single" w:sz="4" w:space="0" w:color="auto"/>
            </w:tcBorders>
            <w:vAlign w:val="center"/>
            <w:hideMark/>
          </w:tcPr>
          <w:p w14:paraId="6D2F61D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4DC887E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2113C32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0E32752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40C525A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088CF119"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32DA72E8"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Kancelária Najvyššieho správneho súdu SR</w:t>
            </w:r>
          </w:p>
        </w:tc>
        <w:tc>
          <w:tcPr>
            <w:tcW w:w="376" w:type="pct"/>
            <w:tcBorders>
              <w:top w:val="nil"/>
              <w:left w:val="nil"/>
              <w:bottom w:val="single" w:sz="4" w:space="0" w:color="auto"/>
              <w:right w:val="single" w:sz="4" w:space="0" w:color="auto"/>
            </w:tcBorders>
            <w:vAlign w:val="center"/>
            <w:hideMark/>
          </w:tcPr>
          <w:p w14:paraId="0177068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4E4301A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7BA3208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3C23136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28AC8A7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7E4909F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530F2F0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1CD0D4F1"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220A0AB9"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Kancelária Najvyššieho súdu SR</w:t>
            </w:r>
          </w:p>
        </w:tc>
        <w:tc>
          <w:tcPr>
            <w:tcW w:w="376" w:type="pct"/>
            <w:tcBorders>
              <w:top w:val="nil"/>
              <w:left w:val="nil"/>
              <w:bottom w:val="single" w:sz="4" w:space="0" w:color="auto"/>
              <w:right w:val="single" w:sz="4" w:space="0" w:color="auto"/>
            </w:tcBorders>
            <w:vAlign w:val="center"/>
            <w:hideMark/>
          </w:tcPr>
          <w:p w14:paraId="764A2F5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170768D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124E9FC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6D53952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3A8E553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0168A4B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2683794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3A67F5E7"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1285E45A"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Kancelária Národnej rady SR</w:t>
            </w:r>
          </w:p>
        </w:tc>
        <w:tc>
          <w:tcPr>
            <w:tcW w:w="376" w:type="pct"/>
            <w:tcBorders>
              <w:top w:val="nil"/>
              <w:left w:val="nil"/>
              <w:bottom w:val="single" w:sz="4" w:space="0" w:color="auto"/>
              <w:right w:val="single" w:sz="4" w:space="0" w:color="auto"/>
            </w:tcBorders>
            <w:vAlign w:val="center"/>
            <w:hideMark/>
          </w:tcPr>
          <w:p w14:paraId="359614C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59A7910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0C72EE2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3027A57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7C028DE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090ADD6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00DD072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5864A8B9"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41516221"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Kancelária Prezidenta SR</w:t>
            </w:r>
          </w:p>
        </w:tc>
        <w:tc>
          <w:tcPr>
            <w:tcW w:w="376" w:type="pct"/>
            <w:tcBorders>
              <w:top w:val="nil"/>
              <w:left w:val="nil"/>
              <w:bottom w:val="single" w:sz="4" w:space="0" w:color="auto"/>
              <w:right w:val="single" w:sz="4" w:space="0" w:color="auto"/>
            </w:tcBorders>
            <w:vAlign w:val="center"/>
            <w:hideMark/>
          </w:tcPr>
          <w:p w14:paraId="6A2E6EA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1258786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6710D36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0B8BD0A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0DD1025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2652C13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4FCBCC2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4945EB94"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28A99AE6"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Kancelária Súdnej rady SR</w:t>
            </w:r>
          </w:p>
        </w:tc>
        <w:tc>
          <w:tcPr>
            <w:tcW w:w="376" w:type="pct"/>
            <w:tcBorders>
              <w:top w:val="nil"/>
              <w:left w:val="nil"/>
              <w:bottom w:val="single" w:sz="4" w:space="0" w:color="auto"/>
              <w:right w:val="single" w:sz="4" w:space="0" w:color="auto"/>
            </w:tcBorders>
            <w:vAlign w:val="center"/>
            <w:hideMark/>
          </w:tcPr>
          <w:p w14:paraId="0DA82D4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07DE518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76EA026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0A6C08C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6D98C96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19724BF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50D9A96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51943C6A" w14:textId="77777777" w:rsidTr="00873986">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1A6B67F5"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Kancelária Ústavného súdu SR</w:t>
            </w:r>
          </w:p>
        </w:tc>
        <w:tc>
          <w:tcPr>
            <w:tcW w:w="376" w:type="pct"/>
            <w:tcBorders>
              <w:top w:val="nil"/>
              <w:left w:val="nil"/>
              <w:bottom w:val="single" w:sz="4" w:space="0" w:color="auto"/>
              <w:right w:val="single" w:sz="4" w:space="0" w:color="auto"/>
            </w:tcBorders>
            <w:vAlign w:val="center"/>
            <w:hideMark/>
          </w:tcPr>
          <w:p w14:paraId="257FD7A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3480FD9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538DF84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087A94E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61AE7AD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DAA802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110395B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0B291A15"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3EDE96A9"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Najvyšší kontrolný úrad SR</w:t>
            </w:r>
          </w:p>
        </w:tc>
        <w:tc>
          <w:tcPr>
            <w:tcW w:w="376" w:type="pct"/>
            <w:tcBorders>
              <w:top w:val="nil"/>
              <w:left w:val="nil"/>
              <w:bottom w:val="single" w:sz="4" w:space="0" w:color="auto"/>
              <w:right w:val="single" w:sz="4" w:space="0" w:color="auto"/>
            </w:tcBorders>
            <w:vAlign w:val="center"/>
            <w:hideMark/>
          </w:tcPr>
          <w:p w14:paraId="7C46974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3B2750D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6E56441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7E7E1DD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474B76A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3514C64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79068BA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11AE673F"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42DA4DF4"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Protimonopolný úrad SR</w:t>
            </w:r>
          </w:p>
        </w:tc>
        <w:tc>
          <w:tcPr>
            <w:tcW w:w="376" w:type="pct"/>
            <w:tcBorders>
              <w:top w:val="nil"/>
              <w:left w:val="nil"/>
              <w:bottom w:val="single" w:sz="4" w:space="0" w:color="auto"/>
              <w:right w:val="single" w:sz="4" w:space="0" w:color="auto"/>
            </w:tcBorders>
            <w:vAlign w:val="center"/>
            <w:hideMark/>
          </w:tcPr>
          <w:p w14:paraId="4BED579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6B452BE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57B2B2D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7D8374E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3728FF3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3AD2A7A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3E77B6D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0332A470"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6ABB8924"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Slovenská informačná služba</w:t>
            </w:r>
          </w:p>
        </w:tc>
        <w:tc>
          <w:tcPr>
            <w:tcW w:w="376" w:type="pct"/>
            <w:tcBorders>
              <w:top w:val="nil"/>
              <w:left w:val="nil"/>
              <w:bottom w:val="single" w:sz="4" w:space="0" w:color="auto"/>
              <w:right w:val="single" w:sz="4" w:space="0" w:color="auto"/>
            </w:tcBorders>
            <w:vAlign w:val="center"/>
            <w:hideMark/>
          </w:tcPr>
          <w:p w14:paraId="37891F3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227E70F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67C0AF9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661CF0F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7F5648D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2C364B8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39FB929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0D56A41C"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48DB1568"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Úrad jadrového dozoru SR</w:t>
            </w:r>
          </w:p>
        </w:tc>
        <w:tc>
          <w:tcPr>
            <w:tcW w:w="376" w:type="pct"/>
            <w:tcBorders>
              <w:top w:val="nil"/>
              <w:left w:val="nil"/>
              <w:bottom w:val="single" w:sz="4" w:space="0" w:color="auto"/>
              <w:right w:val="single" w:sz="4" w:space="0" w:color="auto"/>
            </w:tcBorders>
            <w:vAlign w:val="center"/>
            <w:hideMark/>
          </w:tcPr>
          <w:p w14:paraId="17D123E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4D5A4B3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1C03C2E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5759474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170F3D9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3EBA8D7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15D0FBC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4115FAD9"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4FE271DB"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Úrad pre reguláciu sieťových odvetví</w:t>
            </w:r>
          </w:p>
        </w:tc>
        <w:tc>
          <w:tcPr>
            <w:tcW w:w="376" w:type="pct"/>
            <w:tcBorders>
              <w:top w:val="nil"/>
              <w:left w:val="nil"/>
              <w:bottom w:val="single" w:sz="4" w:space="0" w:color="auto"/>
              <w:right w:val="single" w:sz="4" w:space="0" w:color="auto"/>
            </w:tcBorders>
            <w:vAlign w:val="center"/>
            <w:hideMark/>
          </w:tcPr>
          <w:p w14:paraId="3D36B46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76B4999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0974B6C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5D93EAD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0EA54D6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7697B96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35B0220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61C8F79F"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0345394B"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Úrad pre verejné obstarávanie</w:t>
            </w:r>
          </w:p>
        </w:tc>
        <w:tc>
          <w:tcPr>
            <w:tcW w:w="376" w:type="pct"/>
            <w:tcBorders>
              <w:top w:val="nil"/>
              <w:left w:val="nil"/>
              <w:bottom w:val="single" w:sz="4" w:space="0" w:color="auto"/>
              <w:right w:val="single" w:sz="4" w:space="0" w:color="auto"/>
            </w:tcBorders>
            <w:vAlign w:val="center"/>
            <w:hideMark/>
          </w:tcPr>
          <w:p w14:paraId="11B3994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320C515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1D99AD4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2B9976D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39715EE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4D53090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058F33F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13A284E0" w14:textId="77777777" w:rsidTr="0085799C">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75D082BF"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Úrad priemyselného vlastníctva SR</w:t>
            </w:r>
          </w:p>
        </w:tc>
        <w:tc>
          <w:tcPr>
            <w:tcW w:w="376" w:type="pct"/>
            <w:tcBorders>
              <w:top w:val="nil"/>
              <w:left w:val="nil"/>
              <w:bottom w:val="single" w:sz="4" w:space="0" w:color="auto"/>
              <w:right w:val="single" w:sz="4" w:space="0" w:color="auto"/>
            </w:tcBorders>
            <w:vAlign w:val="center"/>
            <w:hideMark/>
          </w:tcPr>
          <w:p w14:paraId="5B34E07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1694BBB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vAlign w:val="center"/>
            <w:hideMark/>
          </w:tcPr>
          <w:p w14:paraId="62F1CD3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715BB01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657F6A2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64172C8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6815491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3028F004" w14:textId="77777777" w:rsidTr="00873986">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5CD046B6"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Úrad vlády SR</w:t>
            </w:r>
          </w:p>
        </w:tc>
        <w:tc>
          <w:tcPr>
            <w:tcW w:w="376" w:type="pct"/>
            <w:tcBorders>
              <w:top w:val="nil"/>
              <w:left w:val="nil"/>
              <w:bottom w:val="single" w:sz="4" w:space="0" w:color="auto"/>
              <w:right w:val="single" w:sz="4" w:space="0" w:color="auto"/>
            </w:tcBorders>
            <w:vAlign w:val="center"/>
            <w:hideMark/>
          </w:tcPr>
          <w:p w14:paraId="3D359CF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4CD2A7CF" w14:textId="77777777" w:rsidR="00873986" w:rsidRPr="00A7107D" w:rsidRDefault="00873986" w:rsidP="00873986">
            <w:pPr>
              <w:spacing w:after="0" w:line="240" w:lineRule="auto"/>
              <w:jc w:val="center"/>
              <w:rPr>
                <w:rFonts w:ascii="Times New Roman" w:hAnsi="Times New Roman"/>
                <w:color w:val="000000"/>
                <w:sz w:val="18"/>
                <w:szCs w:val="18"/>
                <w:lang w:eastAsia="sk-SK"/>
              </w:rPr>
            </w:pPr>
            <w:r w:rsidRPr="00A7107D">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487C9D5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vAlign w:val="center"/>
            <w:hideMark/>
          </w:tcPr>
          <w:p w14:paraId="6FAE11F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03F3088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1D9A923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DE6F3E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6883B239" w14:textId="77777777" w:rsidTr="00873986">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2D8C9B47"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Agentúra pre núdzové zásoby ropy a ropných výrobkov</w:t>
            </w:r>
          </w:p>
        </w:tc>
        <w:tc>
          <w:tcPr>
            <w:tcW w:w="376" w:type="pct"/>
            <w:tcBorders>
              <w:top w:val="nil"/>
              <w:left w:val="nil"/>
              <w:bottom w:val="single" w:sz="4" w:space="0" w:color="auto"/>
              <w:right w:val="single" w:sz="4" w:space="0" w:color="auto"/>
            </w:tcBorders>
            <w:vAlign w:val="center"/>
            <w:hideMark/>
          </w:tcPr>
          <w:p w14:paraId="062DB3C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2255DF7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36A7E5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377EC77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15B63E7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0B869A0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5D070C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47741F65" w14:textId="77777777" w:rsidTr="00873986">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1F59216E"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Agentúra štátom podporovaného nájomného bývania</w:t>
            </w:r>
          </w:p>
        </w:tc>
        <w:tc>
          <w:tcPr>
            <w:tcW w:w="376" w:type="pct"/>
            <w:tcBorders>
              <w:top w:val="nil"/>
              <w:left w:val="nil"/>
              <w:bottom w:val="single" w:sz="4" w:space="0" w:color="auto"/>
              <w:right w:val="single" w:sz="4" w:space="0" w:color="auto"/>
            </w:tcBorders>
            <w:vAlign w:val="center"/>
            <w:hideMark/>
          </w:tcPr>
          <w:p w14:paraId="396441F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5642913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2CAD76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AB783F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D4F190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E805AD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D29CB9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4F5B4E04" w14:textId="77777777" w:rsidTr="00873986">
        <w:trPr>
          <w:trHeight w:val="227"/>
          <w:jc w:val="center"/>
        </w:trPr>
        <w:tc>
          <w:tcPr>
            <w:tcW w:w="2365" w:type="pct"/>
            <w:tcBorders>
              <w:top w:val="nil"/>
              <w:left w:val="single" w:sz="4" w:space="0" w:color="auto"/>
              <w:bottom w:val="single" w:sz="4" w:space="0" w:color="auto"/>
              <w:right w:val="single" w:sz="4" w:space="0" w:color="auto"/>
            </w:tcBorders>
            <w:vAlign w:val="center"/>
            <w:hideMark/>
          </w:tcPr>
          <w:p w14:paraId="4CE540BB"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Aliancia sektorových rád</w:t>
            </w:r>
          </w:p>
        </w:tc>
        <w:tc>
          <w:tcPr>
            <w:tcW w:w="376" w:type="pct"/>
            <w:tcBorders>
              <w:top w:val="nil"/>
              <w:left w:val="nil"/>
              <w:bottom w:val="single" w:sz="4" w:space="0" w:color="auto"/>
              <w:right w:val="single" w:sz="4" w:space="0" w:color="auto"/>
            </w:tcBorders>
            <w:vAlign w:val="center"/>
            <w:hideMark/>
          </w:tcPr>
          <w:p w14:paraId="11F1140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689974E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6226BC8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031A5AA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513D46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04C8BF0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454415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39A13064"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7CCCDE1E"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Audiovizuálny fond</w:t>
            </w:r>
          </w:p>
        </w:tc>
        <w:tc>
          <w:tcPr>
            <w:tcW w:w="376" w:type="pct"/>
            <w:tcBorders>
              <w:top w:val="nil"/>
              <w:left w:val="nil"/>
              <w:bottom w:val="single" w:sz="4" w:space="0" w:color="auto"/>
              <w:right w:val="single" w:sz="4" w:space="0" w:color="auto"/>
            </w:tcBorders>
            <w:vAlign w:val="center"/>
            <w:hideMark/>
          </w:tcPr>
          <w:p w14:paraId="5A722FF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69A6F55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51FDA6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20BB28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5CC0B6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3FDF4B8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4609E2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1A54FE97"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77CA3288"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 xml:space="preserve">DANUBIANA - Centrum moderného umenia, </w:t>
            </w:r>
            <w:proofErr w:type="spellStart"/>
            <w:r w:rsidRPr="00873986">
              <w:rPr>
                <w:rFonts w:ascii="Times New Roman" w:hAnsi="Times New Roman"/>
                <w:color w:val="000000"/>
                <w:sz w:val="18"/>
                <w:szCs w:val="18"/>
                <w:lang w:eastAsia="sk-SK"/>
              </w:rPr>
              <w:t>n.o</w:t>
            </w:r>
            <w:proofErr w:type="spellEnd"/>
            <w:r w:rsidRPr="00873986">
              <w:rPr>
                <w:rFonts w:ascii="Times New Roman" w:hAnsi="Times New Roman"/>
                <w:color w:val="000000"/>
                <w:sz w:val="18"/>
                <w:szCs w:val="18"/>
                <w:lang w:eastAsia="sk-SK"/>
              </w:rPr>
              <w:t>.</w:t>
            </w:r>
          </w:p>
        </w:tc>
        <w:tc>
          <w:tcPr>
            <w:tcW w:w="376" w:type="pct"/>
            <w:tcBorders>
              <w:top w:val="nil"/>
              <w:left w:val="nil"/>
              <w:bottom w:val="single" w:sz="4" w:space="0" w:color="auto"/>
              <w:right w:val="single" w:sz="4" w:space="0" w:color="auto"/>
            </w:tcBorders>
            <w:vAlign w:val="center"/>
            <w:hideMark/>
          </w:tcPr>
          <w:p w14:paraId="2301932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0E78044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D491D5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68F67A2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2B8055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8B129F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3FA43A1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586A74DF"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49B79ADB"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DataCentrum elektronizácie územnej samosprávy Slovenska</w:t>
            </w:r>
          </w:p>
        </w:tc>
        <w:tc>
          <w:tcPr>
            <w:tcW w:w="376" w:type="pct"/>
            <w:tcBorders>
              <w:top w:val="nil"/>
              <w:left w:val="nil"/>
              <w:bottom w:val="single" w:sz="4" w:space="0" w:color="auto"/>
              <w:right w:val="single" w:sz="4" w:space="0" w:color="auto"/>
            </w:tcBorders>
            <w:vAlign w:val="center"/>
            <w:hideMark/>
          </w:tcPr>
          <w:p w14:paraId="23BC9FA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16455FD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E7AD8A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9D764A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673E163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3E62B5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01A9F9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204D972D"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07126E40"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 xml:space="preserve">Fond na podporu umenia </w:t>
            </w:r>
          </w:p>
        </w:tc>
        <w:tc>
          <w:tcPr>
            <w:tcW w:w="376" w:type="pct"/>
            <w:tcBorders>
              <w:top w:val="nil"/>
              <w:left w:val="nil"/>
              <w:bottom w:val="single" w:sz="4" w:space="0" w:color="auto"/>
              <w:right w:val="single" w:sz="4" w:space="0" w:color="auto"/>
            </w:tcBorders>
            <w:vAlign w:val="center"/>
            <w:hideMark/>
          </w:tcPr>
          <w:p w14:paraId="691C3B8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7B259A2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6C98267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408313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6955F02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0EB508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E7D19A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0413D900"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5BAD50B8"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Fond na podporu vzdelávania</w:t>
            </w:r>
          </w:p>
        </w:tc>
        <w:tc>
          <w:tcPr>
            <w:tcW w:w="376" w:type="pct"/>
            <w:tcBorders>
              <w:top w:val="nil"/>
              <w:left w:val="nil"/>
              <w:bottom w:val="single" w:sz="4" w:space="0" w:color="auto"/>
              <w:right w:val="single" w:sz="4" w:space="0" w:color="auto"/>
            </w:tcBorders>
            <w:vAlign w:val="center"/>
            <w:hideMark/>
          </w:tcPr>
          <w:p w14:paraId="22FE859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195827D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65FDDE4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744AB2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00669F7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C0100E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D8BB7B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37E2CFF2"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08788F99"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Fond na podporu športu</w:t>
            </w:r>
          </w:p>
        </w:tc>
        <w:tc>
          <w:tcPr>
            <w:tcW w:w="376" w:type="pct"/>
            <w:tcBorders>
              <w:top w:val="nil"/>
              <w:left w:val="nil"/>
              <w:bottom w:val="single" w:sz="4" w:space="0" w:color="auto"/>
              <w:right w:val="single" w:sz="4" w:space="0" w:color="auto"/>
            </w:tcBorders>
            <w:vAlign w:val="center"/>
            <w:hideMark/>
          </w:tcPr>
          <w:p w14:paraId="142995B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1A61124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1906F94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3B94BC5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40ABA1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3A90CAD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FC2311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76396DC3"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1350496A"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Fond na podporu kultúry národnostných menšín</w:t>
            </w:r>
          </w:p>
        </w:tc>
        <w:tc>
          <w:tcPr>
            <w:tcW w:w="376" w:type="pct"/>
            <w:tcBorders>
              <w:top w:val="nil"/>
              <w:left w:val="nil"/>
              <w:bottom w:val="single" w:sz="4" w:space="0" w:color="auto"/>
              <w:right w:val="single" w:sz="4" w:space="0" w:color="auto"/>
            </w:tcBorders>
            <w:vAlign w:val="center"/>
            <w:hideMark/>
          </w:tcPr>
          <w:p w14:paraId="0A1D1A7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198CE82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DB1E38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3C71711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670CD6D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29B2BF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5F229C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373ABBCE"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1434D411"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Fond ochrany vkladov</w:t>
            </w:r>
          </w:p>
        </w:tc>
        <w:tc>
          <w:tcPr>
            <w:tcW w:w="376" w:type="pct"/>
            <w:tcBorders>
              <w:top w:val="nil"/>
              <w:left w:val="nil"/>
              <w:bottom w:val="single" w:sz="4" w:space="0" w:color="auto"/>
              <w:right w:val="single" w:sz="4" w:space="0" w:color="auto"/>
            </w:tcBorders>
            <w:vAlign w:val="center"/>
            <w:hideMark/>
          </w:tcPr>
          <w:p w14:paraId="49B85E5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4107814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7F8371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68658E0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1B073A6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F58454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8678A8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175B5875"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6343A86C"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Fond výtvarných umení</w:t>
            </w:r>
          </w:p>
        </w:tc>
        <w:tc>
          <w:tcPr>
            <w:tcW w:w="376" w:type="pct"/>
            <w:tcBorders>
              <w:top w:val="nil"/>
              <w:left w:val="nil"/>
              <w:bottom w:val="single" w:sz="4" w:space="0" w:color="auto"/>
              <w:right w:val="single" w:sz="4" w:space="0" w:color="auto"/>
            </w:tcBorders>
            <w:vAlign w:val="center"/>
            <w:hideMark/>
          </w:tcPr>
          <w:p w14:paraId="35A1283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02910F9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1210CC0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96F37A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AB5F03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0CDF1F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17C90F4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128DCA39"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265D2F30"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Garančný fond investícií</w:t>
            </w:r>
          </w:p>
        </w:tc>
        <w:tc>
          <w:tcPr>
            <w:tcW w:w="376" w:type="pct"/>
            <w:tcBorders>
              <w:top w:val="nil"/>
              <w:left w:val="nil"/>
              <w:bottom w:val="single" w:sz="4" w:space="0" w:color="auto"/>
              <w:right w:val="single" w:sz="4" w:space="0" w:color="auto"/>
            </w:tcBorders>
            <w:vAlign w:val="center"/>
            <w:hideMark/>
          </w:tcPr>
          <w:p w14:paraId="5FE7FE2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620D32F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F684A8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EFFE40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9DAAE5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656001D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F34AAE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2590ACFF"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64939FCE"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Hudobný fond</w:t>
            </w:r>
          </w:p>
        </w:tc>
        <w:tc>
          <w:tcPr>
            <w:tcW w:w="376" w:type="pct"/>
            <w:tcBorders>
              <w:top w:val="nil"/>
              <w:left w:val="nil"/>
              <w:bottom w:val="single" w:sz="4" w:space="0" w:color="auto"/>
              <w:right w:val="single" w:sz="4" w:space="0" w:color="auto"/>
            </w:tcBorders>
            <w:vAlign w:val="center"/>
            <w:hideMark/>
          </w:tcPr>
          <w:p w14:paraId="0E669D6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11B0F35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C73838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0688C93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89C75F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35671C1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FAC71A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440B1807"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3A497540"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Kancelária Rady pre rozpočtovú zodpovednosť</w:t>
            </w:r>
          </w:p>
        </w:tc>
        <w:tc>
          <w:tcPr>
            <w:tcW w:w="376" w:type="pct"/>
            <w:tcBorders>
              <w:top w:val="nil"/>
              <w:left w:val="nil"/>
              <w:bottom w:val="single" w:sz="4" w:space="0" w:color="auto"/>
              <w:right w:val="single" w:sz="4" w:space="0" w:color="auto"/>
            </w:tcBorders>
            <w:vAlign w:val="center"/>
            <w:hideMark/>
          </w:tcPr>
          <w:p w14:paraId="2F23DE1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0E0BB09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1812B1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036047E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1FB3950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769102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49D5D2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2C2674C9"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78A5983C"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Kancelária verejného ochrancu práv</w:t>
            </w:r>
          </w:p>
        </w:tc>
        <w:tc>
          <w:tcPr>
            <w:tcW w:w="376" w:type="pct"/>
            <w:tcBorders>
              <w:top w:val="nil"/>
              <w:left w:val="nil"/>
              <w:bottom w:val="single" w:sz="4" w:space="0" w:color="auto"/>
              <w:right w:val="single" w:sz="4" w:space="0" w:color="auto"/>
            </w:tcBorders>
            <w:vAlign w:val="center"/>
            <w:hideMark/>
          </w:tcPr>
          <w:p w14:paraId="03CE31E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185C56C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97A32E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FFF0E7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06DA1F6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8F3932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336105C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4E8EB107" w14:textId="77777777" w:rsidTr="002B5E5D">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5A5B1B49"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Literárny fond</w:t>
            </w:r>
          </w:p>
        </w:tc>
        <w:tc>
          <w:tcPr>
            <w:tcW w:w="376" w:type="pct"/>
            <w:tcBorders>
              <w:top w:val="nil"/>
              <w:left w:val="nil"/>
              <w:bottom w:val="single" w:sz="4" w:space="0" w:color="auto"/>
              <w:right w:val="single" w:sz="4" w:space="0" w:color="auto"/>
            </w:tcBorders>
            <w:vAlign w:val="center"/>
            <w:hideMark/>
          </w:tcPr>
          <w:p w14:paraId="7432984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5409F1E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1C9217A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BA1B78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60BBFA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3BC3D67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6308401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5CBA2E83" w14:textId="77777777" w:rsidTr="002B5E5D">
        <w:trPr>
          <w:trHeight w:val="227"/>
          <w:jc w:val="center"/>
        </w:trPr>
        <w:tc>
          <w:tcPr>
            <w:tcW w:w="2365" w:type="pct"/>
            <w:tcBorders>
              <w:top w:val="single" w:sz="4" w:space="0" w:color="auto"/>
              <w:left w:val="single" w:sz="4" w:space="0" w:color="auto"/>
              <w:bottom w:val="single" w:sz="4" w:space="0" w:color="auto"/>
              <w:right w:val="single" w:sz="4" w:space="0" w:color="auto"/>
            </w:tcBorders>
            <w:noWrap/>
            <w:vAlign w:val="center"/>
            <w:hideMark/>
          </w:tcPr>
          <w:p w14:paraId="532A461D"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lastRenderedPageBreak/>
              <w:t>Matica slovenská</w:t>
            </w:r>
          </w:p>
        </w:tc>
        <w:tc>
          <w:tcPr>
            <w:tcW w:w="376" w:type="pct"/>
            <w:tcBorders>
              <w:top w:val="single" w:sz="4" w:space="0" w:color="auto"/>
              <w:left w:val="nil"/>
              <w:bottom w:val="single" w:sz="4" w:space="0" w:color="auto"/>
              <w:right w:val="single" w:sz="4" w:space="0" w:color="auto"/>
            </w:tcBorders>
            <w:vAlign w:val="center"/>
            <w:hideMark/>
          </w:tcPr>
          <w:p w14:paraId="17D0A7F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single" w:sz="4" w:space="0" w:color="auto"/>
              <w:left w:val="nil"/>
              <w:bottom w:val="single" w:sz="4" w:space="0" w:color="auto"/>
              <w:right w:val="single" w:sz="4" w:space="0" w:color="auto"/>
            </w:tcBorders>
            <w:noWrap/>
            <w:vAlign w:val="center"/>
            <w:hideMark/>
          </w:tcPr>
          <w:p w14:paraId="3AC7A77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single" w:sz="4" w:space="0" w:color="auto"/>
              <w:left w:val="nil"/>
              <w:bottom w:val="single" w:sz="4" w:space="0" w:color="auto"/>
              <w:right w:val="single" w:sz="4" w:space="0" w:color="auto"/>
            </w:tcBorders>
            <w:noWrap/>
            <w:vAlign w:val="center"/>
            <w:hideMark/>
          </w:tcPr>
          <w:p w14:paraId="18711F3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single" w:sz="4" w:space="0" w:color="auto"/>
              <w:left w:val="nil"/>
              <w:bottom w:val="single" w:sz="4" w:space="0" w:color="auto"/>
              <w:right w:val="single" w:sz="4" w:space="0" w:color="auto"/>
            </w:tcBorders>
            <w:noWrap/>
            <w:vAlign w:val="center"/>
            <w:hideMark/>
          </w:tcPr>
          <w:p w14:paraId="46C701F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single" w:sz="4" w:space="0" w:color="auto"/>
              <w:left w:val="nil"/>
              <w:bottom w:val="single" w:sz="4" w:space="0" w:color="auto"/>
              <w:right w:val="single" w:sz="4" w:space="0" w:color="auto"/>
            </w:tcBorders>
            <w:noWrap/>
            <w:vAlign w:val="center"/>
            <w:hideMark/>
          </w:tcPr>
          <w:p w14:paraId="5BA2D55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single" w:sz="4" w:space="0" w:color="auto"/>
              <w:left w:val="nil"/>
              <w:bottom w:val="single" w:sz="4" w:space="0" w:color="auto"/>
              <w:right w:val="single" w:sz="4" w:space="0" w:color="auto"/>
            </w:tcBorders>
            <w:noWrap/>
            <w:vAlign w:val="center"/>
            <w:hideMark/>
          </w:tcPr>
          <w:p w14:paraId="10DF536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single" w:sz="4" w:space="0" w:color="auto"/>
              <w:left w:val="nil"/>
              <w:bottom w:val="single" w:sz="4" w:space="0" w:color="auto"/>
              <w:right w:val="single" w:sz="4" w:space="0" w:color="auto"/>
            </w:tcBorders>
            <w:noWrap/>
            <w:vAlign w:val="center"/>
            <w:hideMark/>
          </w:tcPr>
          <w:p w14:paraId="6290813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2641042D"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6D974A61"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Národný inštitút pre hodnotu a technológie v zdravotníctve</w:t>
            </w:r>
          </w:p>
        </w:tc>
        <w:tc>
          <w:tcPr>
            <w:tcW w:w="376" w:type="pct"/>
            <w:tcBorders>
              <w:top w:val="nil"/>
              <w:left w:val="nil"/>
              <w:bottom w:val="single" w:sz="4" w:space="0" w:color="auto"/>
              <w:right w:val="single" w:sz="4" w:space="0" w:color="auto"/>
            </w:tcBorders>
            <w:vAlign w:val="center"/>
            <w:hideMark/>
          </w:tcPr>
          <w:p w14:paraId="600D4F9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79B24FE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8B0562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FE57B6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11BC97A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0B11DA9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6FB002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7F8C60B2"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2749F470"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Národné centrum pre kvantové technológie</w:t>
            </w:r>
          </w:p>
        </w:tc>
        <w:tc>
          <w:tcPr>
            <w:tcW w:w="376" w:type="pct"/>
            <w:tcBorders>
              <w:top w:val="nil"/>
              <w:left w:val="nil"/>
              <w:bottom w:val="single" w:sz="4" w:space="0" w:color="auto"/>
              <w:right w:val="single" w:sz="4" w:space="0" w:color="auto"/>
            </w:tcBorders>
            <w:vAlign w:val="center"/>
            <w:hideMark/>
          </w:tcPr>
          <w:p w14:paraId="5B33281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54966F3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A35A84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6784E1E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6FDBA41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83347F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25CDCB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4A4717CF"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47669568"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Slovenská televízia a rozhlas</w:t>
            </w:r>
          </w:p>
        </w:tc>
        <w:tc>
          <w:tcPr>
            <w:tcW w:w="376" w:type="pct"/>
            <w:tcBorders>
              <w:top w:val="nil"/>
              <w:left w:val="nil"/>
              <w:bottom w:val="single" w:sz="4" w:space="0" w:color="auto"/>
              <w:right w:val="single" w:sz="4" w:space="0" w:color="auto"/>
            </w:tcBorders>
            <w:vAlign w:val="center"/>
            <w:hideMark/>
          </w:tcPr>
          <w:p w14:paraId="457EA3A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2659149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2778CF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F66DA3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7CE093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644FE8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3FE4DEE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5E35AE5E"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24693146"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Rada pre riešenie krízových situácií</w:t>
            </w:r>
          </w:p>
        </w:tc>
        <w:tc>
          <w:tcPr>
            <w:tcW w:w="376" w:type="pct"/>
            <w:tcBorders>
              <w:top w:val="nil"/>
              <w:left w:val="nil"/>
              <w:bottom w:val="single" w:sz="4" w:space="0" w:color="auto"/>
              <w:right w:val="single" w:sz="4" w:space="0" w:color="auto"/>
            </w:tcBorders>
            <w:vAlign w:val="center"/>
            <w:hideMark/>
          </w:tcPr>
          <w:p w14:paraId="7294126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35941B8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0DF0861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F5448B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3F75743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17F8012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050FE3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19637749"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4C6F27EF"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Rada pre mediálne služby</w:t>
            </w:r>
          </w:p>
        </w:tc>
        <w:tc>
          <w:tcPr>
            <w:tcW w:w="376" w:type="pct"/>
            <w:tcBorders>
              <w:top w:val="nil"/>
              <w:left w:val="nil"/>
              <w:bottom w:val="single" w:sz="4" w:space="0" w:color="auto"/>
              <w:right w:val="single" w:sz="4" w:space="0" w:color="auto"/>
            </w:tcBorders>
            <w:vAlign w:val="center"/>
            <w:hideMark/>
          </w:tcPr>
          <w:p w14:paraId="5F5BE93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640EEAA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B4DC6D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61D0FCD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980B7C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A17D1F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0EDEEE2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57E3F401"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17E3DD93"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Sociálna poisťovňa</w:t>
            </w:r>
          </w:p>
        </w:tc>
        <w:tc>
          <w:tcPr>
            <w:tcW w:w="376" w:type="pct"/>
            <w:tcBorders>
              <w:top w:val="nil"/>
              <w:left w:val="nil"/>
              <w:bottom w:val="single" w:sz="4" w:space="0" w:color="auto"/>
              <w:right w:val="single" w:sz="4" w:space="0" w:color="auto"/>
            </w:tcBorders>
            <w:vAlign w:val="center"/>
            <w:hideMark/>
          </w:tcPr>
          <w:p w14:paraId="1BB810C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7F680A2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55ADAB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1985F9F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3D293B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007A261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6914A3F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031D88EA"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5F14C086"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Slovenský pozemkový fond</w:t>
            </w:r>
          </w:p>
        </w:tc>
        <w:tc>
          <w:tcPr>
            <w:tcW w:w="376" w:type="pct"/>
            <w:tcBorders>
              <w:top w:val="nil"/>
              <w:left w:val="nil"/>
              <w:bottom w:val="single" w:sz="4" w:space="0" w:color="auto"/>
              <w:right w:val="single" w:sz="4" w:space="0" w:color="auto"/>
            </w:tcBorders>
            <w:vAlign w:val="center"/>
            <w:hideMark/>
          </w:tcPr>
          <w:p w14:paraId="3A2ABFA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1508386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7677D4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83D4AA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264F3D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35EBEB9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36B9707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5B18AD02"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1F1A2525"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Slovenské národné stredisko pre ľudské práva</w:t>
            </w:r>
          </w:p>
        </w:tc>
        <w:tc>
          <w:tcPr>
            <w:tcW w:w="376" w:type="pct"/>
            <w:tcBorders>
              <w:top w:val="nil"/>
              <w:left w:val="nil"/>
              <w:bottom w:val="single" w:sz="4" w:space="0" w:color="auto"/>
              <w:right w:val="single" w:sz="4" w:space="0" w:color="auto"/>
            </w:tcBorders>
            <w:vAlign w:val="center"/>
            <w:hideMark/>
          </w:tcPr>
          <w:p w14:paraId="490FAF6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79C893F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1EE0BE7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EF70E4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6EBA51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929416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EBE719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25AA753D"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5CB208EE"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Slovenská akreditačná agentúra pre vysoké školstvo</w:t>
            </w:r>
          </w:p>
        </w:tc>
        <w:tc>
          <w:tcPr>
            <w:tcW w:w="376" w:type="pct"/>
            <w:tcBorders>
              <w:top w:val="nil"/>
              <w:left w:val="nil"/>
              <w:bottom w:val="single" w:sz="4" w:space="0" w:color="auto"/>
              <w:right w:val="single" w:sz="4" w:space="0" w:color="auto"/>
            </w:tcBorders>
            <w:vAlign w:val="center"/>
            <w:hideMark/>
          </w:tcPr>
          <w:p w14:paraId="350D7F2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61D4F70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216AAC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AA2743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550B58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451A0C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0A92329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6C94922D"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17605E1C"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 xml:space="preserve">Slovak Business </w:t>
            </w:r>
            <w:proofErr w:type="spellStart"/>
            <w:r w:rsidRPr="00873986">
              <w:rPr>
                <w:rFonts w:ascii="Times New Roman" w:hAnsi="Times New Roman"/>
                <w:color w:val="000000"/>
                <w:sz w:val="18"/>
                <w:szCs w:val="18"/>
                <w:lang w:eastAsia="sk-SK"/>
              </w:rPr>
              <w:t>Agency</w:t>
            </w:r>
            <w:proofErr w:type="spellEnd"/>
          </w:p>
        </w:tc>
        <w:tc>
          <w:tcPr>
            <w:tcW w:w="376" w:type="pct"/>
            <w:tcBorders>
              <w:top w:val="nil"/>
              <w:left w:val="nil"/>
              <w:bottom w:val="single" w:sz="4" w:space="0" w:color="auto"/>
              <w:right w:val="single" w:sz="4" w:space="0" w:color="auto"/>
            </w:tcBorders>
            <w:vAlign w:val="center"/>
            <w:hideMark/>
          </w:tcPr>
          <w:p w14:paraId="67070D7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149BADE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336A2D9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0B63AAB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0998CC1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5D9EB7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42A0F2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540FC3FD"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1AB8B2F9"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Tlačová agentúra Slovenskej republiky</w:t>
            </w:r>
          </w:p>
        </w:tc>
        <w:tc>
          <w:tcPr>
            <w:tcW w:w="376" w:type="pct"/>
            <w:tcBorders>
              <w:top w:val="nil"/>
              <w:left w:val="nil"/>
              <w:bottom w:val="single" w:sz="4" w:space="0" w:color="auto"/>
              <w:right w:val="single" w:sz="4" w:space="0" w:color="auto"/>
            </w:tcBorders>
            <w:vAlign w:val="center"/>
            <w:hideMark/>
          </w:tcPr>
          <w:p w14:paraId="3AB6C03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0FF8DBF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91A7DD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685ACAB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E20BDD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920447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5EE5A6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76004D6E"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7BDEAA55"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Úrad pre dohľad nad výkonom auditu</w:t>
            </w:r>
          </w:p>
        </w:tc>
        <w:tc>
          <w:tcPr>
            <w:tcW w:w="376" w:type="pct"/>
            <w:tcBorders>
              <w:top w:val="nil"/>
              <w:left w:val="nil"/>
              <w:bottom w:val="single" w:sz="4" w:space="0" w:color="auto"/>
              <w:right w:val="single" w:sz="4" w:space="0" w:color="auto"/>
            </w:tcBorders>
            <w:vAlign w:val="center"/>
            <w:hideMark/>
          </w:tcPr>
          <w:p w14:paraId="28396E8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3E51D70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64B32B4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88FB5F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C4535B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1629F3D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627D24F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0EF2F790"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04A76129"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Úrad pre dohľad nad zdravotnou starostlivosťou</w:t>
            </w:r>
          </w:p>
        </w:tc>
        <w:tc>
          <w:tcPr>
            <w:tcW w:w="376" w:type="pct"/>
            <w:tcBorders>
              <w:top w:val="nil"/>
              <w:left w:val="nil"/>
              <w:bottom w:val="single" w:sz="4" w:space="0" w:color="auto"/>
              <w:right w:val="single" w:sz="4" w:space="0" w:color="auto"/>
            </w:tcBorders>
            <w:vAlign w:val="center"/>
            <w:hideMark/>
          </w:tcPr>
          <w:p w14:paraId="2447207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57B51C0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A01AF4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0DAE3C7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0527CD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78D301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6E7B658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22022B9F"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1A100B2F"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Úrad komisára pre deti</w:t>
            </w:r>
          </w:p>
        </w:tc>
        <w:tc>
          <w:tcPr>
            <w:tcW w:w="376" w:type="pct"/>
            <w:tcBorders>
              <w:top w:val="nil"/>
              <w:left w:val="nil"/>
              <w:bottom w:val="single" w:sz="4" w:space="0" w:color="auto"/>
              <w:right w:val="single" w:sz="4" w:space="0" w:color="auto"/>
            </w:tcBorders>
            <w:vAlign w:val="center"/>
            <w:hideMark/>
          </w:tcPr>
          <w:p w14:paraId="7489C29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63FA333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108C305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6D26F4C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0A8A916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00F9CF8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0A9C1C9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4B193CF9"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4850326A"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Úrad komisára pre osoby so zdravotným postihnutím</w:t>
            </w:r>
          </w:p>
        </w:tc>
        <w:tc>
          <w:tcPr>
            <w:tcW w:w="376" w:type="pct"/>
            <w:tcBorders>
              <w:top w:val="nil"/>
              <w:left w:val="nil"/>
              <w:bottom w:val="single" w:sz="4" w:space="0" w:color="auto"/>
              <w:right w:val="single" w:sz="4" w:space="0" w:color="auto"/>
            </w:tcBorders>
            <w:vAlign w:val="center"/>
            <w:hideMark/>
          </w:tcPr>
          <w:p w14:paraId="47AADED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0132D30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15D6FBA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381FBE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CA9D36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A1EF53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10B356E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2461B60B"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2244F5A0"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Úrad na ochranu oznamovateľov</w:t>
            </w:r>
          </w:p>
        </w:tc>
        <w:tc>
          <w:tcPr>
            <w:tcW w:w="376" w:type="pct"/>
            <w:tcBorders>
              <w:top w:val="nil"/>
              <w:left w:val="nil"/>
              <w:bottom w:val="single" w:sz="4" w:space="0" w:color="auto"/>
              <w:right w:val="single" w:sz="4" w:space="0" w:color="auto"/>
            </w:tcBorders>
            <w:vAlign w:val="center"/>
            <w:hideMark/>
          </w:tcPr>
          <w:p w14:paraId="4A8FB47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060A518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4E6994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D92646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64236F3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3E6E144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00CC15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470E23B9"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53918781"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Úrad na ochranu osobných údajov Slovenskej republiky</w:t>
            </w:r>
          </w:p>
        </w:tc>
        <w:tc>
          <w:tcPr>
            <w:tcW w:w="376" w:type="pct"/>
            <w:tcBorders>
              <w:top w:val="nil"/>
              <w:left w:val="nil"/>
              <w:bottom w:val="single" w:sz="4" w:space="0" w:color="auto"/>
              <w:right w:val="single" w:sz="4" w:space="0" w:color="auto"/>
            </w:tcBorders>
            <w:vAlign w:val="center"/>
            <w:hideMark/>
          </w:tcPr>
          <w:p w14:paraId="110852F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0763347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03E1245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6F3C907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017E5A0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674FA41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557DEE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699E798D"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047D3CDD"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Ústav pamäti národa</w:t>
            </w:r>
          </w:p>
        </w:tc>
        <w:tc>
          <w:tcPr>
            <w:tcW w:w="376" w:type="pct"/>
            <w:tcBorders>
              <w:top w:val="nil"/>
              <w:left w:val="nil"/>
              <w:bottom w:val="single" w:sz="4" w:space="0" w:color="auto"/>
              <w:right w:val="single" w:sz="4" w:space="0" w:color="auto"/>
            </w:tcBorders>
            <w:vAlign w:val="center"/>
            <w:hideMark/>
          </w:tcPr>
          <w:p w14:paraId="539496C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0669BF8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1E5EA2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0C54858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194529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230E83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394A11E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7E866DEC"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7FAA08DC"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Verejné vysoké školy</w:t>
            </w:r>
          </w:p>
        </w:tc>
        <w:tc>
          <w:tcPr>
            <w:tcW w:w="376" w:type="pct"/>
            <w:tcBorders>
              <w:top w:val="nil"/>
              <w:left w:val="nil"/>
              <w:bottom w:val="single" w:sz="4" w:space="0" w:color="auto"/>
              <w:right w:val="single" w:sz="4" w:space="0" w:color="auto"/>
            </w:tcBorders>
            <w:vAlign w:val="center"/>
            <w:hideMark/>
          </w:tcPr>
          <w:p w14:paraId="3922DCA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20</w:t>
            </w:r>
          </w:p>
        </w:tc>
        <w:tc>
          <w:tcPr>
            <w:tcW w:w="376" w:type="pct"/>
            <w:tcBorders>
              <w:top w:val="nil"/>
              <w:left w:val="nil"/>
              <w:bottom w:val="single" w:sz="4" w:space="0" w:color="auto"/>
              <w:right w:val="single" w:sz="4" w:space="0" w:color="auto"/>
            </w:tcBorders>
            <w:noWrap/>
            <w:vAlign w:val="center"/>
            <w:hideMark/>
          </w:tcPr>
          <w:p w14:paraId="0978C35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8E9FEE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3E49CC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345FC62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940A42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1FE7111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5446F2DF"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0633F225"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Neziskové organizácie súhrnného celku</w:t>
            </w:r>
          </w:p>
        </w:tc>
        <w:tc>
          <w:tcPr>
            <w:tcW w:w="376" w:type="pct"/>
            <w:tcBorders>
              <w:top w:val="nil"/>
              <w:left w:val="nil"/>
              <w:bottom w:val="single" w:sz="4" w:space="0" w:color="auto"/>
              <w:right w:val="single" w:sz="4" w:space="0" w:color="auto"/>
            </w:tcBorders>
            <w:vAlign w:val="center"/>
            <w:hideMark/>
          </w:tcPr>
          <w:p w14:paraId="11DD2F3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500</w:t>
            </w:r>
          </w:p>
        </w:tc>
        <w:tc>
          <w:tcPr>
            <w:tcW w:w="376" w:type="pct"/>
            <w:tcBorders>
              <w:top w:val="nil"/>
              <w:left w:val="nil"/>
              <w:bottom w:val="single" w:sz="4" w:space="0" w:color="auto"/>
              <w:right w:val="single" w:sz="4" w:space="0" w:color="auto"/>
            </w:tcBorders>
            <w:noWrap/>
            <w:vAlign w:val="center"/>
            <w:hideMark/>
          </w:tcPr>
          <w:p w14:paraId="6D69062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11EEB3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A31F14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902CE7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BB8A87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623BE4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0740A45D"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40E02975"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Bratislavský samosprávny kraj</w:t>
            </w:r>
          </w:p>
        </w:tc>
        <w:tc>
          <w:tcPr>
            <w:tcW w:w="376" w:type="pct"/>
            <w:tcBorders>
              <w:top w:val="nil"/>
              <w:left w:val="nil"/>
              <w:bottom w:val="single" w:sz="4" w:space="0" w:color="auto"/>
              <w:right w:val="single" w:sz="4" w:space="0" w:color="auto"/>
            </w:tcBorders>
            <w:vAlign w:val="center"/>
            <w:hideMark/>
          </w:tcPr>
          <w:p w14:paraId="72A33C2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85</w:t>
            </w:r>
          </w:p>
        </w:tc>
        <w:tc>
          <w:tcPr>
            <w:tcW w:w="376" w:type="pct"/>
            <w:tcBorders>
              <w:top w:val="nil"/>
              <w:left w:val="nil"/>
              <w:bottom w:val="single" w:sz="4" w:space="0" w:color="auto"/>
              <w:right w:val="single" w:sz="4" w:space="0" w:color="auto"/>
            </w:tcBorders>
            <w:noWrap/>
            <w:vAlign w:val="center"/>
            <w:hideMark/>
          </w:tcPr>
          <w:p w14:paraId="7B487FE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58</w:t>
            </w:r>
          </w:p>
        </w:tc>
        <w:tc>
          <w:tcPr>
            <w:tcW w:w="376" w:type="pct"/>
            <w:tcBorders>
              <w:top w:val="nil"/>
              <w:left w:val="nil"/>
              <w:bottom w:val="single" w:sz="4" w:space="0" w:color="auto"/>
              <w:right w:val="single" w:sz="4" w:space="0" w:color="auto"/>
            </w:tcBorders>
            <w:noWrap/>
            <w:vAlign w:val="center"/>
            <w:hideMark/>
          </w:tcPr>
          <w:p w14:paraId="275FE75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23</w:t>
            </w:r>
          </w:p>
        </w:tc>
        <w:tc>
          <w:tcPr>
            <w:tcW w:w="376" w:type="pct"/>
            <w:tcBorders>
              <w:top w:val="nil"/>
              <w:left w:val="nil"/>
              <w:bottom w:val="single" w:sz="4" w:space="0" w:color="auto"/>
              <w:right w:val="single" w:sz="4" w:space="0" w:color="auto"/>
            </w:tcBorders>
            <w:noWrap/>
            <w:vAlign w:val="center"/>
            <w:hideMark/>
          </w:tcPr>
          <w:p w14:paraId="253A920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301E55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3</w:t>
            </w:r>
          </w:p>
        </w:tc>
        <w:tc>
          <w:tcPr>
            <w:tcW w:w="376" w:type="pct"/>
            <w:tcBorders>
              <w:top w:val="nil"/>
              <w:left w:val="nil"/>
              <w:bottom w:val="single" w:sz="4" w:space="0" w:color="auto"/>
              <w:right w:val="single" w:sz="4" w:space="0" w:color="auto"/>
            </w:tcBorders>
            <w:noWrap/>
            <w:vAlign w:val="center"/>
            <w:hideMark/>
          </w:tcPr>
          <w:p w14:paraId="0AC76A8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1F4DD06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3D3A1C27"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55EE25F4"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Trnavský samosprávny kraj</w:t>
            </w:r>
          </w:p>
        </w:tc>
        <w:tc>
          <w:tcPr>
            <w:tcW w:w="376" w:type="pct"/>
            <w:tcBorders>
              <w:top w:val="nil"/>
              <w:left w:val="nil"/>
              <w:bottom w:val="single" w:sz="4" w:space="0" w:color="auto"/>
              <w:right w:val="single" w:sz="4" w:space="0" w:color="auto"/>
            </w:tcBorders>
            <w:vAlign w:val="center"/>
            <w:hideMark/>
          </w:tcPr>
          <w:p w14:paraId="2C32D4E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92</w:t>
            </w:r>
          </w:p>
        </w:tc>
        <w:tc>
          <w:tcPr>
            <w:tcW w:w="376" w:type="pct"/>
            <w:tcBorders>
              <w:top w:val="nil"/>
              <w:left w:val="nil"/>
              <w:bottom w:val="single" w:sz="4" w:space="0" w:color="auto"/>
              <w:right w:val="single" w:sz="4" w:space="0" w:color="auto"/>
            </w:tcBorders>
            <w:noWrap/>
            <w:vAlign w:val="center"/>
            <w:hideMark/>
          </w:tcPr>
          <w:p w14:paraId="351DDAB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53</w:t>
            </w:r>
          </w:p>
        </w:tc>
        <w:tc>
          <w:tcPr>
            <w:tcW w:w="376" w:type="pct"/>
            <w:tcBorders>
              <w:top w:val="nil"/>
              <w:left w:val="nil"/>
              <w:bottom w:val="single" w:sz="4" w:space="0" w:color="auto"/>
              <w:right w:val="single" w:sz="4" w:space="0" w:color="auto"/>
            </w:tcBorders>
            <w:noWrap/>
            <w:vAlign w:val="center"/>
            <w:hideMark/>
          </w:tcPr>
          <w:p w14:paraId="555D491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35</w:t>
            </w:r>
          </w:p>
        </w:tc>
        <w:tc>
          <w:tcPr>
            <w:tcW w:w="376" w:type="pct"/>
            <w:tcBorders>
              <w:top w:val="nil"/>
              <w:left w:val="nil"/>
              <w:bottom w:val="single" w:sz="4" w:space="0" w:color="auto"/>
              <w:right w:val="single" w:sz="4" w:space="0" w:color="auto"/>
            </w:tcBorders>
            <w:noWrap/>
            <w:vAlign w:val="center"/>
            <w:hideMark/>
          </w:tcPr>
          <w:p w14:paraId="76C90B2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19BDF2A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3</w:t>
            </w:r>
          </w:p>
        </w:tc>
        <w:tc>
          <w:tcPr>
            <w:tcW w:w="376" w:type="pct"/>
            <w:tcBorders>
              <w:top w:val="nil"/>
              <w:left w:val="nil"/>
              <w:bottom w:val="single" w:sz="4" w:space="0" w:color="auto"/>
              <w:right w:val="single" w:sz="4" w:space="0" w:color="auto"/>
            </w:tcBorders>
            <w:noWrap/>
            <w:vAlign w:val="center"/>
            <w:hideMark/>
          </w:tcPr>
          <w:p w14:paraId="27127A3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0AE6398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133CBA0E"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7956E6C5"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Trenčiansky samosprávny kraj</w:t>
            </w:r>
          </w:p>
        </w:tc>
        <w:tc>
          <w:tcPr>
            <w:tcW w:w="376" w:type="pct"/>
            <w:tcBorders>
              <w:top w:val="nil"/>
              <w:left w:val="nil"/>
              <w:bottom w:val="single" w:sz="4" w:space="0" w:color="auto"/>
              <w:right w:val="single" w:sz="4" w:space="0" w:color="auto"/>
            </w:tcBorders>
            <w:vAlign w:val="center"/>
            <w:hideMark/>
          </w:tcPr>
          <w:p w14:paraId="15E0154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81</w:t>
            </w:r>
          </w:p>
        </w:tc>
        <w:tc>
          <w:tcPr>
            <w:tcW w:w="376" w:type="pct"/>
            <w:tcBorders>
              <w:top w:val="nil"/>
              <w:left w:val="nil"/>
              <w:bottom w:val="single" w:sz="4" w:space="0" w:color="auto"/>
              <w:right w:val="single" w:sz="4" w:space="0" w:color="auto"/>
            </w:tcBorders>
            <w:noWrap/>
            <w:vAlign w:val="center"/>
            <w:hideMark/>
          </w:tcPr>
          <w:p w14:paraId="509CBBB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44</w:t>
            </w:r>
          </w:p>
        </w:tc>
        <w:tc>
          <w:tcPr>
            <w:tcW w:w="376" w:type="pct"/>
            <w:tcBorders>
              <w:top w:val="nil"/>
              <w:left w:val="nil"/>
              <w:bottom w:val="single" w:sz="4" w:space="0" w:color="auto"/>
              <w:right w:val="single" w:sz="4" w:space="0" w:color="auto"/>
            </w:tcBorders>
            <w:noWrap/>
            <w:vAlign w:val="center"/>
            <w:hideMark/>
          </w:tcPr>
          <w:p w14:paraId="27DAA93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36</w:t>
            </w:r>
          </w:p>
        </w:tc>
        <w:tc>
          <w:tcPr>
            <w:tcW w:w="376" w:type="pct"/>
            <w:tcBorders>
              <w:top w:val="nil"/>
              <w:left w:val="nil"/>
              <w:bottom w:val="single" w:sz="4" w:space="0" w:color="auto"/>
              <w:right w:val="single" w:sz="4" w:space="0" w:color="auto"/>
            </w:tcBorders>
            <w:noWrap/>
            <w:vAlign w:val="center"/>
            <w:hideMark/>
          </w:tcPr>
          <w:p w14:paraId="0A9B346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7F35D91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FD6FFE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06234C8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500B9981"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1BBA7617"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Nitriansky samosprávny kraj</w:t>
            </w:r>
          </w:p>
        </w:tc>
        <w:tc>
          <w:tcPr>
            <w:tcW w:w="376" w:type="pct"/>
            <w:tcBorders>
              <w:top w:val="nil"/>
              <w:left w:val="nil"/>
              <w:bottom w:val="single" w:sz="4" w:space="0" w:color="auto"/>
              <w:right w:val="single" w:sz="4" w:space="0" w:color="auto"/>
            </w:tcBorders>
            <w:vAlign w:val="center"/>
            <w:hideMark/>
          </w:tcPr>
          <w:p w14:paraId="5B51236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114</w:t>
            </w:r>
          </w:p>
        </w:tc>
        <w:tc>
          <w:tcPr>
            <w:tcW w:w="376" w:type="pct"/>
            <w:tcBorders>
              <w:top w:val="nil"/>
              <w:left w:val="nil"/>
              <w:bottom w:val="single" w:sz="4" w:space="0" w:color="auto"/>
              <w:right w:val="single" w:sz="4" w:space="0" w:color="auto"/>
            </w:tcBorders>
            <w:noWrap/>
            <w:vAlign w:val="center"/>
            <w:hideMark/>
          </w:tcPr>
          <w:p w14:paraId="52C6FD9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82</w:t>
            </w:r>
          </w:p>
        </w:tc>
        <w:tc>
          <w:tcPr>
            <w:tcW w:w="376" w:type="pct"/>
            <w:tcBorders>
              <w:top w:val="nil"/>
              <w:left w:val="nil"/>
              <w:bottom w:val="single" w:sz="4" w:space="0" w:color="auto"/>
              <w:right w:val="single" w:sz="4" w:space="0" w:color="auto"/>
            </w:tcBorders>
            <w:noWrap/>
            <w:vAlign w:val="center"/>
            <w:hideMark/>
          </w:tcPr>
          <w:p w14:paraId="36FBF41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29</w:t>
            </w:r>
          </w:p>
        </w:tc>
        <w:tc>
          <w:tcPr>
            <w:tcW w:w="376" w:type="pct"/>
            <w:tcBorders>
              <w:top w:val="nil"/>
              <w:left w:val="nil"/>
              <w:bottom w:val="single" w:sz="4" w:space="0" w:color="auto"/>
              <w:right w:val="single" w:sz="4" w:space="0" w:color="auto"/>
            </w:tcBorders>
            <w:noWrap/>
            <w:vAlign w:val="center"/>
            <w:hideMark/>
          </w:tcPr>
          <w:p w14:paraId="7ACF9C1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09A550F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w:t>
            </w:r>
          </w:p>
        </w:tc>
        <w:tc>
          <w:tcPr>
            <w:tcW w:w="376" w:type="pct"/>
            <w:tcBorders>
              <w:top w:val="nil"/>
              <w:left w:val="nil"/>
              <w:bottom w:val="single" w:sz="4" w:space="0" w:color="auto"/>
              <w:right w:val="single" w:sz="4" w:space="0" w:color="auto"/>
            </w:tcBorders>
            <w:noWrap/>
            <w:vAlign w:val="center"/>
            <w:hideMark/>
          </w:tcPr>
          <w:p w14:paraId="261EF4C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0CA2791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63F04A1F"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680CCE44"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Žilinský samosprávny kraj</w:t>
            </w:r>
          </w:p>
        </w:tc>
        <w:tc>
          <w:tcPr>
            <w:tcW w:w="376" w:type="pct"/>
            <w:tcBorders>
              <w:top w:val="nil"/>
              <w:left w:val="nil"/>
              <w:bottom w:val="single" w:sz="4" w:space="0" w:color="auto"/>
              <w:right w:val="single" w:sz="4" w:space="0" w:color="auto"/>
            </w:tcBorders>
            <w:vAlign w:val="center"/>
            <w:hideMark/>
          </w:tcPr>
          <w:p w14:paraId="4E51EFD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117</w:t>
            </w:r>
          </w:p>
        </w:tc>
        <w:tc>
          <w:tcPr>
            <w:tcW w:w="376" w:type="pct"/>
            <w:tcBorders>
              <w:top w:val="nil"/>
              <w:left w:val="nil"/>
              <w:bottom w:val="single" w:sz="4" w:space="0" w:color="auto"/>
              <w:right w:val="single" w:sz="4" w:space="0" w:color="auto"/>
            </w:tcBorders>
            <w:noWrap/>
            <w:vAlign w:val="center"/>
            <w:hideMark/>
          </w:tcPr>
          <w:p w14:paraId="386A6BC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65B5DAB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113</w:t>
            </w:r>
          </w:p>
        </w:tc>
        <w:tc>
          <w:tcPr>
            <w:tcW w:w="376" w:type="pct"/>
            <w:tcBorders>
              <w:top w:val="nil"/>
              <w:left w:val="nil"/>
              <w:bottom w:val="single" w:sz="4" w:space="0" w:color="auto"/>
              <w:right w:val="single" w:sz="4" w:space="0" w:color="auto"/>
            </w:tcBorders>
            <w:noWrap/>
            <w:vAlign w:val="center"/>
            <w:hideMark/>
          </w:tcPr>
          <w:p w14:paraId="0C941FAF"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9902C7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3</w:t>
            </w:r>
          </w:p>
        </w:tc>
        <w:tc>
          <w:tcPr>
            <w:tcW w:w="376" w:type="pct"/>
            <w:tcBorders>
              <w:top w:val="nil"/>
              <w:left w:val="nil"/>
              <w:bottom w:val="single" w:sz="4" w:space="0" w:color="auto"/>
              <w:right w:val="single" w:sz="4" w:space="0" w:color="auto"/>
            </w:tcBorders>
            <w:noWrap/>
            <w:vAlign w:val="center"/>
            <w:hideMark/>
          </w:tcPr>
          <w:p w14:paraId="1B063A9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903055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77668D83"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1458629A"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Banskobystrický samosprávny kraj</w:t>
            </w:r>
          </w:p>
        </w:tc>
        <w:tc>
          <w:tcPr>
            <w:tcW w:w="376" w:type="pct"/>
            <w:tcBorders>
              <w:top w:val="nil"/>
              <w:left w:val="nil"/>
              <w:bottom w:val="single" w:sz="4" w:space="0" w:color="auto"/>
              <w:right w:val="single" w:sz="4" w:space="0" w:color="auto"/>
            </w:tcBorders>
            <w:vAlign w:val="center"/>
            <w:hideMark/>
          </w:tcPr>
          <w:p w14:paraId="1DCB718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118</w:t>
            </w:r>
          </w:p>
        </w:tc>
        <w:tc>
          <w:tcPr>
            <w:tcW w:w="376" w:type="pct"/>
            <w:tcBorders>
              <w:top w:val="nil"/>
              <w:left w:val="nil"/>
              <w:bottom w:val="single" w:sz="4" w:space="0" w:color="auto"/>
              <w:right w:val="single" w:sz="4" w:space="0" w:color="auto"/>
            </w:tcBorders>
            <w:noWrap/>
            <w:vAlign w:val="center"/>
            <w:hideMark/>
          </w:tcPr>
          <w:p w14:paraId="20CF421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67</w:t>
            </w:r>
          </w:p>
        </w:tc>
        <w:tc>
          <w:tcPr>
            <w:tcW w:w="376" w:type="pct"/>
            <w:tcBorders>
              <w:top w:val="nil"/>
              <w:left w:val="nil"/>
              <w:bottom w:val="single" w:sz="4" w:space="0" w:color="auto"/>
              <w:right w:val="single" w:sz="4" w:space="0" w:color="auto"/>
            </w:tcBorders>
            <w:noWrap/>
            <w:vAlign w:val="center"/>
            <w:hideMark/>
          </w:tcPr>
          <w:p w14:paraId="4A27B52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44</w:t>
            </w:r>
          </w:p>
        </w:tc>
        <w:tc>
          <w:tcPr>
            <w:tcW w:w="376" w:type="pct"/>
            <w:tcBorders>
              <w:top w:val="nil"/>
              <w:left w:val="nil"/>
              <w:bottom w:val="single" w:sz="4" w:space="0" w:color="auto"/>
              <w:right w:val="single" w:sz="4" w:space="0" w:color="auto"/>
            </w:tcBorders>
            <w:noWrap/>
            <w:vAlign w:val="center"/>
            <w:hideMark/>
          </w:tcPr>
          <w:p w14:paraId="705DDE4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C262C3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6</w:t>
            </w:r>
          </w:p>
        </w:tc>
        <w:tc>
          <w:tcPr>
            <w:tcW w:w="376" w:type="pct"/>
            <w:tcBorders>
              <w:top w:val="nil"/>
              <w:left w:val="nil"/>
              <w:bottom w:val="single" w:sz="4" w:space="0" w:color="auto"/>
              <w:right w:val="single" w:sz="4" w:space="0" w:color="auto"/>
            </w:tcBorders>
            <w:noWrap/>
            <w:vAlign w:val="center"/>
            <w:hideMark/>
          </w:tcPr>
          <w:p w14:paraId="3F7AA706"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F666CB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699C73D7"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344FC849"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Prešovský samosprávny kraj</w:t>
            </w:r>
          </w:p>
        </w:tc>
        <w:tc>
          <w:tcPr>
            <w:tcW w:w="376" w:type="pct"/>
            <w:tcBorders>
              <w:top w:val="nil"/>
              <w:left w:val="nil"/>
              <w:bottom w:val="single" w:sz="4" w:space="0" w:color="auto"/>
              <w:right w:val="single" w:sz="4" w:space="0" w:color="auto"/>
            </w:tcBorders>
            <w:vAlign w:val="center"/>
            <w:hideMark/>
          </w:tcPr>
          <w:p w14:paraId="73C36F5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128</w:t>
            </w:r>
          </w:p>
        </w:tc>
        <w:tc>
          <w:tcPr>
            <w:tcW w:w="376" w:type="pct"/>
            <w:tcBorders>
              <w:top w:val="nil"/>
              <w:left w:val="nil"/>
              <w:bottom w:val="single" w:sz="4" w:space="0" w:color="auto"/>
              <w:right w:val="single" w:sz="4" w:space="0" w:color="auto"/>
            </w:tcBorders>
            <w:noWrap/>
            <w:vAlign w:val="center"/>
            <w:hideMark/>
          </w:tcPr>
          <w:p w14:paraId="2B940A45"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81</w:t>
            </w:r>
          </w:p>
        </w:tc>
        <w:tc>
          <w:tcPr>
            <w:tcW w:w="376" w:type="pct"/>
            <w:tcBorders>
              <w:top w:val="nil"/>
              <w:left w:val="nil"/>
              <w:bottom w:val="single" w:sz="4" w:space="0" w:color="auto"/>
              <w:right w:val="single" w:sz="4" w:space="0" w:color="auto"/>
            </w:tcBorders>
            <w:noWrap/>
            <w:vAlign w:val="center"/>
            <w:hideMark/>
          </w:tcPr>
          <w:p w14:paraId="695AB7A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45</w:t>
            </w:r>
          </w:p>
        </w:tc>
        <w:tc>
          <w:tcPr>
            <w:tcW w:w="376" w:type="pct"/>
            <w:tcBorders>
              <w:top w:val="nil"/>
              <w:left w:val="nil"/>
              <w:bottom w:val="single" w:sz="4" w:space="0" w:color="auto"/>
              <w:right w:val="single" w:sz="4" w:space="0" w:color="auto"/>
            </w:tcBorders>
            <w:noWrap/>
            <w:vAlign w:val="center"/>
            <w:hideMark/>
          </w:tcPr>
          <w:p w14:paraId="58438F07"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32D2DCD4"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w:t>
            </w:r>
          </w:p>
        </w:tc>
        <w:tc>
          <w:tcPr>
            <w:tcW w:w="376" w:type="pct"/>
            <w:tcBorders>
              <w:top w:val="nil"/>
              <w:left w:val="nil"/>
              <w:bottom w:val="single" w:sz="4" w:space="0" w:color="auto"/>
              <w:right w:val="single" w:sz="4" w:space="0" w:color="auto"/>
            </w:tcBorders>
            <w:noWrap/>
            <w:vAlign w:val="center"/>
            <w:hideMark/>
          </w:tcPr>
          <w:p w14:paraId="5E6E9053"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2A39BC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3DD6365E"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3214E8AE"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Košický samosprávny kraj</w:t>
            </w:r>
          </w:p>
        </w:tc>
        <w:tc>
          <w:tcPr>
            <w:tcW w:w="376" w:type="pct"/>
            <w:tcBorders>
              <w:top w:val="nil"/>
              <w:left w:val="nil"/>
              <w:bottom w:val="single" w:sz="4" w:space="0" w:color="auto"/>
              <w:right w:val="single" w:sz="4" w:space="0" w:color="auto"/>
            </w:tcBorders>
            <w:vAlign w:val="center"/>
            <w:hideMark/>
          </w:tcPr>
          <w:p w14:paraId="672F326D"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113</w:t>
            </w:r>
          </w:p>
        </w:tc>
        <w:tc>
          <w:tcPr>
            <w:tcW w:w="376" w:type="pct"/>
            <w:tcBorders>
              <w:top w:val="nil"/>
              <w:left w:val="nil"/>
              <w:bottom w:val="single" w:sz="4" w:space="0" w:color="auto"/>
              <w:right w:val="single" w:sz="4" w:space="0" w:color="auto"/>
            </w:tcBorders>
            <w:noWrap/>
            <w:vAlign w:val="center"/>
            <w:hideMark/>
          </w:tcPr>
          <w:p w14:paraId="18AE69EC"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75</w:t>
            </w:r>
          </w:p>
        </w:tc>
        <w:tc>
          <w:tcPr>
            <w:tcW w:w="376" w:type="pct"/>
            <w:tcBorders>
              <w:top w:val="nil"/>
              <w:left w:val="nil"/>
              <w:bottom w:val="single" w:sz="4" w:space="0" w:color="auto"/>
              <w:right w:val="single" w:sz="4" w:space="0" w:color="auto"/>
            </w:tcBorders>
            <w:noWrap/>
            <w:vAlign w:val="center"/>
            <w:hideMark/>
          </w:tcPr>
          <w:p w14:paraId="762252E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32</w:t>
            </w:r>
          </w:p>
        </w:tc>
        <w:tc>
          <w:tcPr>
            <w:tcW w:w="376" w:type="pct"/>
            <w:tcBorders>
              <w:top w:val="nil"/>
              <w:left w:val="nil"/>
              <w:bottom w:val="single" w:sz="4" w:space="0" w:color="auto"/>
              <w:right w:val="single" w:sz="4" w:space="0" w:color="auto"/>
            </w:tcBorders>
            <w:noWrap/>
            <w:vAlign w:val="center"/>
            <w:hideMark/>
          </w:tcPr>
          <w:p w14:paraId="1DD375C2"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54596778"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5</w:t>
            </w:r>
          </w:p>
        </w:tc>
        <w:tc>
          <w:tcPr>
            <w:tcW w:w="376" w:type="pct"/>
            <w:tcBorders>
              <w:top w:val="nil"/>
              <w:left w:val="nil"/>
              <w:bottom w:val="single" w:sz="4" w:space="0" w:color="auto"/>
              <w:right w:val="single" w:sz="4" w:space="0" w:color="auto"/>
            </w:tcBorders>
            <w:noWrap/>
            <w:vAlign w:val="center"/>
            <w:hideMark/>
          </w:tcPr>
          <w:p w14:paraId="04E3583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20BAEB0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2C05A4E0" w14:textId="77777777" w:rsidTr="00873986">
        <w:trPr>
          <w:trHeight w:val="227"/>
          <w:jc w:val="center"/>
        </w:trPr>
        <w:tc>
          <w:tcPr>
            <w:tcW w:w="2365" w:type="pct"/>
            <w:tcBorders>
              <w:top w:val="nil"/>
              <w:left w:val="single" w:sz="4" w:space="0" w:color="auto"/>
              <w:bottom w:val="single" w:sz="4" w:space="0" w:color="auto"/>
              <w:right w:val="single" w:sz="4" w:space="0" w:color="auto"/>
            </w:tcBorders>
            <w:noWrap/>
            <w:vAlign w:val="center"/>
            <w:hideMark/>
          </w:tcPr>
          <w:p w14:paraId="5DF0860B" w14:textId="77777777" w:rsidR="00873986" w:rsidRPr="00873986" w:rsidRDefault="00873986" w:rsidP="00873986">
            <w:pPr>
              <w:spacing w:after="0" w:line="240" w:lineRule="auto"/>
              <w:rPr>
                <w:rFonts w:ascii="Times New Roman" w:hAnsi="Times New Roman"/>
                <w:color w:val="000000"/>
                <w:sz w:val="18"/>
                <w:szCs w:val="18"/>
                <w:lang w:eastAsia="sk-SK"/>
              </w:rPr>
            </w:pPr>
            <w:r w:rsidRPr="00873986">
              <w:rPr>
                <w:rFonts w:ascii="Times New Roman" w:hAnsi="Times New Roman"/>
                <w:color w:val="000000"/>
                <w:sz w:val="18"/>
                <w:szCs w:val="18"/>
                <w:lang w:eastAsia="sk-SK"/>
              </w:rPr>
              <w:t>Obce SR</w:t>
            </w:r>
          </w:p>
        </w:tc>
        <w:tc>
          <w:tcPr>
            <w:tcW w:w="376" w:type="pct"/>
            <w:tcBorders>
              <w:top w:val="nil"/>
              <w:left w:val="nil"/>
              <w:bottom w:val="single" w:sz="4" w:space="0" w:color="auto"/>
              <w:right w:val="single" w:sz="4" w:space="0" w:color="auto"/>
            </w:tcBorders>
            <w:vAlign w:val="center"/>
            <w:hideMark/>
          </w:tcPr>
          <w:p w14:paraId="6F53424A"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6 103</w:t>
            </w:r>
          </w:p>
        </w:tc>
        <w:tc>
          <w:tcPr>
            <w:tcW w:w="376" w:type="pct"/>
            <w:tcBorders>
              <w:top w:val="nil"/>
              <w:left w:val="nil"/>
              <w:bottom w:val="single" w:sz="4" w:space="0" w:color="auto"/>
              <w:right w:val="single" w:sz="4" w:space="0" w:color="auto"/>
            </w:tcBorders>
            <w:noWrap/>
            <w:vAlign w:val="center"/>
            <w:hideMark/>
          </w:tcPr>
          <w:p w14:paraId="6822F91B"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2 203</w:t>
            </w:r>
          </w:p>
        </w:tc>
        <w:tc>
          <w:tcPr>
            <w:tcW w:w="376" w:type="pct"/>
            <w:tcBorders>
              <w:top w:val="nil"/>
              <w:left w:val="nil"/>
              <w:bottom w:val="single" w:sz="4" w:space="0" w:color="auto"/>
              <w:right w:val="single" w:sz="4" w:space="0" w:color="auto"/>
            </w:tcBorders>
            <w:noWrap/>
            <w:vAlign w:val="center"/>
            <w:hideMark/>
          </w:tcPr>
          <w:p w14:paraId="20BB7420"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252</w:t>
            </w:r>
          </w:p>
        </w:tc>
        <w:tc>
          <w:tcPr>
            <w:tcW w:w="376" w:type="pct"/>
            <w:tcBorders>
              <w:top w:val="nil"/>
              <w:left w:val="nil"/>
              <w:bottom w:val="single" w:sz="4" w:space="0" w:color="auto"/>
              <w:right w:val="single" w:sz="4" w:space="0" w:color="auto"/>
            </w:tcBorders>
            <w:noWrap/>
            <w:vAlign w:val="center"/>
            <w:hideMark/>
          </w:tcPr>
          <w:p w14:paraId="5262B801"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3039EA0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722</w:t>
            </w:r>
          </w:p>
        </w:tc>
        <w:tc>
          <w:tcPr>
            <w:tcW w:w="376" w:type="pct"/>
            <w:tcBorders>
              <w:top w:val="nil"/>
              <w:left w:val="nil"/>
              <w:bottom w:val="single" w:sz="4" w:space="0" w:color="auto"/>
              <w:right w:val="single" w:sz="4" w:space="0" w:color="auto"/>
            </w:tcBorders>
            <w:noWrap/>
            <w:vAlign w:val="center"/>
            <w:hideMark/>
          </w:tcPr>
          <w:p w14:paraId="38D435C9"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c>
          <w:tcPr>
            <w:tcW w:w="376" w:type="pct"/>
            <w:tcBorders>
              <w:top w:val="nil"/>
              <w:left w:val="nil"/>
              <w:bottom w:val="single" w:sz="4" w:space="0" w:color="auto"/>
              <w:right w:val="single" w:sz="4" w:space="0" w:color="auto"/>
            </w:tcBorders>
            <w:noWrap/>
            <w:vAlign w:val="center"/>
            <w:hideMark/>
          </w:tcPr>
          <w:p w14:paraId="402023AE" w14:textId="77777777" w:rsidR="00873986" w:rsidRPr="00873986" w:rsidRDefault="00873986" w:rsidP="00873986">
            <w:pPr>
              <w:spacing w:after="0" w:line="240" w:lineRule="auto"/>
              <w:jc w:val="center"/>
              <w:rPr>
                <w:rFonts w:ascii="Times New Roman" w:hAnsi="Times New Roman"/>
                <w:color w:val="000000"/>
                <w:sz w:val="18"/>
                <w:szCs w:val="18"/>
                <w:lang w:eastAsia="sk-SK"/>
              </w:rPr>
            </w:pPr>
            <w:r w:rsidRPr="00873986">
              <w:rPr>
                <w:rFonts w:ascii="Times New Roman" w:hAnsi="Times New Roman"/>
                <w:color w:val="000000"/>
                <w:sz w:val="18"/>
                <w:szCs w:val="18"/>
                <w:lang w:eastAsia="sk-SK"/>
              </w:rPr>
              <w:t> </w:t>
            </w:r>
          </w:p>
        </w:tc>
      </w:tr>
      <w:tr w:rsidR="00873986" w:rsidRPr="001567C8" w14:paraId="546E3329" w14:textId="77777777" w:rsidTr="0085799C">
        <w:trPr>
          <w:trHeight w:val="227"/>
          <w:jc w:val="center"/>
        </w:trPr>
        <w:tc>
          <w:tcPr>
            <w:tcW w:w="2365" w:type="pct"/>
            <w:tcBorders>
              <w:top w:val="nil"/>
              <w:left w:val="single" w:sz="4" w:space="0" w:color="auto"/>
              <w:bottom w:val="single" w:sz="4" w:space="0" w:color="auto"/>
              <w:right w:val="single" w:sz="4" w:space="0" w:color="auto"/>
            </w:tcBorders>
            <w:shd w:val="clear" w:color="000000" w:fill="BFBFBF"/>
            <w:noWrap/>
            <w:vAlign w:val="center"/>
            <w:hideMark/>
          </w:tcPr>
          <w:p w14:paraId="6F92F6F8" w14:textId="77777777" w:rsidR="00873986" w:rsidRPr="00873986" w:rsidRDefault="00873986" w:rsidP="00873986">
            <w:pPr>
              <w:spacing w:after="0" w:line="240" w:lineRule="auto"/>
              <w:rPr>
                <w:rFonts w:ascii="Times New Roman" w:hAnsi="Times New Roman"/>
                <w:b/>
                <w:bCs/>
                <w:color w:val="000000"/>
                <w:sz w:val="18"/>
                <w:szCs w:val="18"/>
                <w:lang w:eastAsia="sk-SK"/>
              </w:rPr>
            </w:pPr>
            <w:r w:rsidRPr="00873986">
              <w:rPr>
                <w:rFonts w:ascii="Times New Roman" w:hAnsi="Times New Roman"/>
                <w:b/>
                <w:bCs/>
                <w:color w:val="000000"/>
                <w:sz w:val="18"/>
                <w:szCs w:val="18"/>
                <w:lang w:eastAsia="sk-SK"/>
              </w:rPr>
              <w:t>Spolu</w:t>
            </w:r>
          </w:p>
        </w:tc>
        <w:tc>
          <w:tcPr>
            <w:tcW w:w="376" w:type="pct"/>
            <w:tcBorders>
              <w:top w:val="nil"/>
              <w:left w:val="nil"/>
              <w:bottom w:val="single" w:sz="4" w:space="0" w:color="auto"/>
              <w:right w:val="single" w:sz="4" w:space="0" w:color="auto"/>
            </w:tcBorders>
            <w:shd w:val="clear" w:color="000000" w:fill="BFBFBF"/>
            <w:noWrap/>
            <w:vAlign w:val="center"/>
            <w:hideMark/>
          </w:tcPr>
          <w:p w14:paraId="741980E0" w14:textId="77777777" w:rsidR="00873986" w:rsidRPr="00873986" w:rsidRDefault="00873986" w:rsidP="00873986">
            <w:pPr>
              <w:spacing w:after="0" w:line="240" w:lineRule="auto"/>
              <w:jc w:val="center"/>
              <w:rPr>
                <w:rFonts w:ascii="Times New Roman" w:hAnsi="Times New Roman"/>
                <w:b/>
                <w:bCs/>
                <w:color w:val="000000"/>
                <w:sz w:val="18"/>
                <w:szCs w:val="18"/>
                <w:lang w:eastAsia="sk-SK"/>
              </w:rPr>
            </w:pPr>
            <w:r w:rsidRPr="00873986">
              <w:rPr>
                <w:rFonts w:ascii="Times New Roman" w:hAnsi="Times New Roman"/>
                <w:b/>
                <w:bCs/>
                <w:color w:val="000000"/>
                <w:sz w:val="18"/>
                <w:szCs w:val="18"/>
                <w:lang w:eastAsia="sk-SK"/>
              </w:rPr>
              <w:t>8 398</w:t>
            </w:r>
          </w:p>
        </w:tc>
        <w:tc>
          <w:tcPr>
            <w:tcW w:w="376" w:type="pct"/>
            <w:tcBorders>
              <w:top w:val="nil"/>
              <w:left w:val="nil"/>
              <w:bottom w:val="single" w:sz="4" w:space="0" w:color="auto"/>
              <w:right w:val="single" w:sz="4" w:space="0" w:color="auto"/>
            </w:tcBorders>
            <w:shd w:val="clear" w:color="000000" w:fill="BFBFBF"/>
            <w:noWrap/>
            <w:vAlign w:val="center"/>
            <w:hideMark/>
          </w:tcPr>
          <w:p w14:paraId="11720A16" w14:textId="77777777" w:rsidR="00873986" w:rsidRPr="00873986" w:rsidRDefault="00873986" w:rsidP="00873986">
            <w:pPr>
              <w:spacing w:after="0" w:line="240" w:lineRule="auto"/>
              <w:jc w:val="center"/>
              <w:rPr>
                <w:rFonts w:ascii="Times New Roman" w:hAnsi="Times New Roman"/>
                <w:b/>
                <w:bCs/>
                <w:color w:val="000000"/>
                <w:sz w:val="18"/>
                <w:szCs w:val="18"/>
                <w:lang w:eastAsia="sk-SK"/>
              </w:rPr>
            </w:pPr>
            <w:r w:rsidRPr="00873986">
              <w:rPr>
                <w:rFonts w:ascii="Times New Roman" w:hAnsi="Times New Roman"/>
                <w:b/>
                <w:bCs/>
                <w:color w:val="000000"/>
                <w:sz w:val="18"/>
                <w:szCs w:val="18"/>
                <w:lang w:eastAsia="sk-SK"/>
              </w:rPr>
              <w:t>3 313</w:t>
            </w:r>
          </w:p>
        </w:tc>
        <w:tc>
          <w:tcPr>
            <w:tcW w:w="376" w:type="pct"/>
            <w:tcBorders>
              <w:top w:val="nil"/>
              <w:left w:val="nil"/>
              <w:bottom w:val="single" w:sz="4" w:space="0" w:color="auto"/>
              <w:right w:val="single" w:sz="4" w:space="0" w:color="auto"/>
            </w:tcBorders>
            <w:shd w:val="clear" w:color="000000" w:fill="BFBFBF"/>
            <w:noWrap/>
            <w:vAlign w:val="center"/>
            <w:hideMark/>
          </w:tcPr>
          <w:p w14:paraId="5EF9B972" w14:textId="77777777" w:rsidR="00873986" w:rsidRPr="00873986" w:rsidRDefault="00873986" w:rsidP="00873986">
            <w:pPr>
              <w:spacing w:after="0" w:line="240" w:lineRule="auto"/>
              <w:jc w:val="center"/>
              <w:rPr>
                <w:rFonts w:ascii="Times New Roman" w:hAnsi="Times New Roman"/>
                <w:b/>
                <w:bCs/>
                <w:color w:val="000000"/>
                <w:sz w:val="18"/>
                <w:szCs w:val="18"/>
                <w:lang w:eastAsia="sk-SK"/>
              </w:rPr>
            </w:pPr>
            <w:r w:rsidRPr="00873986">
              <w:rPr>
                <w:rFonts w:ascii="Times New Roman" w:hAnsi="Times New Roman"/>
                <w:b/>
                <w:bCs/>
                <w:color w:val="000000"/>
                <w:sz w:val="18"/>
                <w:szCs w:val="18"/>
                <w:lang w:eastAsia="sk-SK"/>
              </w:rPr>
              <w:t>722</w:t>
            </w:r>
          </w:p>
        </w:tc>
        <w:tc>
          <w:tcPr>
            <w:tcW w:w="376" w:type="pct"/>
            <w:tcBorders>
              <w:top w:val="nil"/>
              <w:left w:val="nil"/>
              <w:bottom w:val="single" w:sz="4" w:space="0" w:color="auto"/>
              <w:right w:val="single" w:sz="4" w:space="0" w:color="auto"/>
            </w:tcBorders>
            <w:shd w:val="clear" w:color="000000" w:fill="BFBFBF"/>
            <w:noWrap/>
            <w:vAlign w:val="center"/>
            <w:hideMark/>
          </w:tcPr>
          <w:p w14:paraId="2D4C20E2" w14:textId="77777777" w:rsidR="00873986" w:rsidRPr="00873986" w:rsidRDefault="00873986" w:rsidP="00873986">
            <w:pPr>
              <w:spacing w:after="0" w:line="240" w:lineRule="auto"/>
              <w:jc w:val="center"/>
              <w:rPr>
                <w:rFonts w:ascii="Times New Roman" w:hAnsi="Times New Roman"/>
                <w:b/>
                <w:bCs/>
                <w:color w:val="000000"/>
                <w:sz w:val="18"/>
                <w:szCs w:val="18"/>
                <w:lang w:eastAsia="sk-SK"/>
              </w:rPr>
            </w:pPr>
            <w:r w:rsidRPr="00873986">
              <w:rPr>
                <w:rFonts w:ascii="Times New Roman" w:hAnsi="Times New Roman"/>
                <w:b/>
                <w:bCs/>
                <w:color w:val="000000"/>
                <w:sz w:val="18"/>
                <w:szCs w:val="18"/>
                <w:lang w:eastAsia="sk-SK"/>
              </w:rPr>
              <w:t>47</w:t>
            </w:r>
          </w:p>
        </w:tc>
        <w:tc>
          <w:tcPr>
            <w:tcW w:w="376" w:type="pct"/>
            <w:tcBorders>
              <w:top w:val="nil"/>
              <w:left w:val="nil"/>
              <w:bottom w:val="single" w:sz="4" w:space="0" w:color="auto"/>
              <w:right w:val="single" w:sz="4" w:space="0" w:color="auto"/>
            </w:tcBorders>
            <w:shd w:val="clear" w:color="000000" w:fill="BFBFBF"/>
            <w:noWrap/>
            <w:vAlign w:val="center"/>
            <w:hideMark/>
          </w:tcPr>
          <w:p w14:paraId="5C96491A" w14:textId="77777777" w:rsidR="00873986" w:rsidRPr="00873986" w:rsidRDefault="00873986" w:rsidP="00873986">
            <w:pPr>
              <w:spacing w:after="0" w:line="240" w:lineRule="auto"/>
              <w:jc w:val="center"/>
              <w:rPr>
                <w:rFonts w:ascii="Times New Roman" w:hAnsi="Times New Roman"/>
                <w:b/>
                <w:bCs/>
                <w:color w:val="000000"/>
                <w:sz w:val="18"/>
                <w:szCs w:val="18"/>
                <w:lang w:eastAsia="sk-SK"/>
              </w:rPr>
            </w:pPr>
            <w:r w:rsidRPr="00873986">
              <w:rPr>
                <w:rFonts w:ascii="Times New Roman" w:hAnsi="Times New Roman"/>
                <w:b/>
                <w:bCs/>
                <w:color w:val="000000"/>
                <w:sz w:val="18"/>
                <w:szCs w:val="18"/>
                <w:lang w:eastAsia="sk-SK"/>
              </w:rPr>
              <w:t>808</w:t>
            </w:r>
          </w:p>
        </w:tc>
        <w:tc>
          <w:tcPr>
            <w:tcW w:w="376" w:type="pct"/>
            <w:tcBorders>
              <w:top w:val="nil"/>
              <w:left w:val="nil"/>
              <w:bottom w:val="single" w:sz="4" w:space="0" w:color="auto"/>
              <w:right w:val="single" w:sz="4" w:space="0" w:color="auto"/>
            </w:tcBorders>
            <w:shd w:val="clear" w:color="000000" w:fill="BFBFBF"/>
            <w:noWrap/>
            <w:vAlign w:val="center"/>
            <w:hideMark/>
          </w:tcPr>
          <w:p w14:paraId="0C7F63D5" w14:textId="77777777" w:rsidR="00873986" w:rsidRPr="00873986" w:rsidRDefault="00873986" w:rsidP="00873986">
            <w:pPr>
              <w:spacing w:after="0" w:line="240" w:lineRule="auto"/>
              <w:jc w:val="center"/>
              <w:rPr>
                <w:rFonts w:ascii="Times New Roman" w:hAnsi="Times New Roman"/>
                <w:b/>
                <w:bCs/>
                <w:color w:val="000000"/>
                <w:sz w:val="18"/>
                <w:szCs w:val="18"/>
                <w:lang w:eastAsia="sk-SK"/>
              </w:rPr>
            </w:pPr>
            <w:r w:rsidRPr="00873986">
              <w:rPr>
                <w:rFonts w:ascii="Times New Roman" w:hAnsi="Times New Roman"/>
                <w:b/>
                <w:bCs/>
                <w:color w:val="000000"/>
                <w:sz w:val="18"/>
                <w:szCs w:val="18"/>
                <w:lang w:eastAsia="sk-SK"/>
              </w:rPr>
              <w:t>15</w:t>
            </w:r>
          </w:p>
        </w:tc>
        <w:tc>
          <w:tcPr>
            <w:tcW w:w="376" w:type="pct"/>
            <w:tcBorders>
              <w:top w:val="nil"/>
              <w:left w:val="nil"/>
              <w:bottom w:val="single" w:sz="4" w:space="0" w:color="auto"/>
              <w:right w:val="single" w:sz="4" w:space="0" w:color="auto"/>
            </w:tcBorders>
            <w:shd w:val="clear" w:color="000000" w:fill="BFBFBF"/>
            <w:noWrap/>
            <w:vAlign w:val="center"/>
            <w:hideMark/>
          </w:tcPr>
          <w:p w14:paraId="0E259FC0" w14:textId="77777777" w:rsidR="00873986" w:rsidRPr="00873986" w:rsidRDefault="00873986" w:rsidP="00873986">
            <w:pPr>
              <w:spacing w:after="0" w:line="240" w:lineRule="auto"/>
              <w:jc w:val="center"/>
              <w:rPr>
                <w:rFonts w:ascii="Times New Roman" w:hAnsi="Times New Roman"/>
                <w:b/>
                <w:bCs/>
                <w:color w:val="000000"/>
                <w:sz w:val="18"/>
                <w:szCs w:val="18"/>
                <w:lang w:eastAsia="sk-SK"/>
              </w:rPr>
            </w:pPr>
            <w:r w:rsidRPr="00873986">
              <w:rPr>
                <w:rFonts w:ascii="Times New Roman" w:hAnsi="Times New Roman"/>
                <w:b/>
                <w:bCs/>
                <w:color w:val="000000"/>
                <w:sz w:val="18"/>
                <w:szCs w:val="18"/>
                <w:lang w:eastAsia="sk-SK"/>
              </w:rPr>
              <w:t>3</w:t>
            </w:r>
          </w:p>
        </w:tc>
      </w:tr>
    </w:tbl>
    <w:p w14:paraId="0489554A" w14:textId="77777777" w:rsidR="00E37043" w:rsidRPr="00907622" w:rsidRDefault="00E37043" w:rsidP="00647542">
      <w:pPr>
        <w:spacing w:after="0" w:line="240" w:lineRule="auto"/>
        <w:rPr>
          <w:rFonts w:ascii="Times New Roman" w:hAnsi="Times New Roman"/>
          <w:b/>
          <w:bCs/>
          <w:color w:val="000000"/>
          <w:szCs w:val="22"/>
          <w:lang w:eastAsia="sk-SK"/>
        </w:rPr>
      </w:pPr>
    </w:p>
    <w:p w14:paraId="0EC5B596" w14:textId="27AE0DBE" w:rsidR="00873986" w:rsidRDefault="00CF08FF" w:rsidP="00873986">
      <w:pPr>
        <w:spacing w:after="0" w:line="240" w:lineRule="auto"/>
        <w:jc w:val="both"/>
        <w:rPr>
          <w:rFonts w:ascii="Times New Roman" w:hAnsi="Times New Roman"/>
          <w:sz w:val="16"/>
          <w:szCs w:val="16"/>
          <w:lang w:eastAsia="sk-SK"/>
        </w:rPr>
      </w:pPr>
      <w:r w:rsidRPr="0085799C">
        <w:rPr>
          <w:rFonts w:ascii="Times New Roman" w:hAnsi="Times New Roman"/>
          <w:sz w:val="16"/>
          <w:szCs w:val="16"/>
          <w:lang w:eastAsia="sk-SK"/>
        </w:rPr>
        <w:t xml:space="preserve">Legenda: </w:t>
      </w:r>
      <w:r w:rsidR="002D192D">
        <w:rPr>
          <w:rFonts w:ascii="Times New Roman" w:hAnsi="Times New Roman"/>
          <w:sz w:val="16"/>
          <w:szCs w:val="16"/>
          <w:lang w:eastAsia="sk-SK"/>
        </w:rPr>
        <w:t>Ú</w:t>
      </w:r>
      <w:r w:rsidRPr="0085799C">
        <w:rPr>
          <w:rFonts w:ascii="Times New Roman" w:hAnsi="Times New Roman"/>
          <w:sz w:val="16"/>
          <w:szCs w:val="16"/>
          <w:lang w:eastAsia="sk-SK"/>
        </w:rPr>
        <w:t>J – účtovná jednotka, RO – rozpočtová organizácia, PO – príspevková organizácia, OS – obchodné spoločnosti, š.</w:t>
      </w:r>
      <w:r w:rsidR="002D192D">
        <w:rPr>
          <w:rFonts w:ascii="Times New Roman" w:hAnsi="Times New Roman"/>
          <w:sz w:val="16"/>
          <w:szCs w:val="16"/>
          <w:lang w:eastAsia="sk-SK"/>
        </w:rPr>
        <w:t xml:space="preserve"> </w:t>
      </w:r>
      <w:r w:rsidRPr="0085799C">
        <w:rPr>
          <w:rFonts w:ascii="Times New Roman" w:hAnsi="Times New Roman"/>
          <w:sz w:val="16"/>
          <w:szCs w:val="16"/>
          <w:lang w:eastAsia="sk-SK"/>
        </w:rPr>
        <w:t>p. – štátne podniky, š.</w:t>
      </w:r>
      <w:r w:rsidR="002D192D">
        <w:rPr>
          <w:rFonts w:ascii="Times New Roman" w:hAnsi="Times New Roman"/>
          <w:sz w:val="16"/>
          <w:szCs w:val="16"/>
          <w:lang w:eastAsia="sk-SK"/>
        </w:rPr>
        <w:t xml:space="preserve"> </w:t>
      </w:r>
      <w:r w:rsidRPr="0085799C">
        <w:rPr>
          <w:rFonts w:ascii="Times New Roman" w:hAnsi="Times New Roman"/>
          <w:sz w:val="16"/>
          <w:szCs w:val="16"/>
          <w:lang w:eastAsia="sk-SK"/>
        </w:rPr>
        <w:t>f. – štátne účelové fondy, v.</w:t>
      </w:r>
      <w:r w:rsidR="002D192D">
        <w:rPr>
          <w:rFonts w:ascii="Times New Roman" w:hAnsi="Times New Roman"/>
          <w:sz w:val="16"/>
          <w:szCs w:val="16"/>
          <w:lang w:eastAsia="sk-SK"/>
        </w:rPr>
        <w:t xml:space="preserve"> </w:t>
      </w:r>
      <w:r w:rsidRPr="0085799C">
        <w:rPr>
          <w:rFonts w:ascii="Times New Roman" w:hAnsi="Times New Roman"/>
          <w:sz w:val="16"/>
          <w:szCs w:val="16"/>
          <w:lang w:eastAsia="sk-SK"/>
        </w:rPr>
        <w:t>v.</w:t>
      </w:r>
      <w:r w:rsidR="002D192D">
        <w:rPr>
          <w:rFonts w:ascii="Times New Roman" w:hAnsi="Times New Roman"/>
          <w:sz w:val="16"/>
          <w:szCs w:val="16"/>
          <w:lang w:eastAsia="sk-SK"/>
        </w:rPr>
        <w:t xml:space="preserve"> </w:t>
      </w:r>
      <w:r w:rsidRPr="0085799C">
        <w:rPr>
          <w:rFonts w:ascii="Times New Roman" w:hAnsi="Times New Roman"/>
          <w:sz w:val="16"/>
          <w:szCs w:val="16"/>
          <w:lang w:eastAsia="sk-SK"/>
        </w:rPr>
        <w:t>i – verejn</w:t>
      </w:r>
      <w:r w:rsidR="00056CEA">
        <w:rPr>
          <w:rFonts w:ascii="Times New Roman" w:hAnsi="Times New Roman"/>
          <w:sz w:val="16"/>
          <w:szCs w:val="16"/>
          <w:lang w:eastAsia="sk-SK"/>
        </w:rPr>
        <w:t>é</w:t>
      </w:r>
      <w:r w:rsidRPr="0085799C">
        <w:rPr>
          <w:rFonts w:ascii="Times New Roman" w:hAnsi="Times New Roman"/>
          <w:sz w:val="16"/>
          <w:szCs w:val="16"/>
          <w:lang w:eastAsia="sk-SK"/>
        </w:rPr>
        <w:t xml:space="preserve"> výskumn</w:t>
      </w:r>
      <w:r w:rsidR="00056CEA">
        <w:rPr>
          <w:rFonts w:ascii="Times New Roman" w:hAnsi="Times New Roman"/>
          <w:sz w:val="16"/>
          <w:szCs w:val="16"/>
          <w:lang w:eastAsia="sk-SK"/>
        </w:rPr>
        <w:t>é</w:t>
      </w:r>
      <w:r w:rsidRPr="0085799C">
        <w:rPr>
          <w:rFonts w:ascii="Times New Roman" w:hAnsi="Times New Roman"/>
          <w:sz w:val="16"/>
          <w:szCs w:val="16"/>
          <w:lang w:eastAsia="sk-SK"/>
        </w:rPr>
        <w:t xml:space="preserve"> inštitúci</w:t>
      </w:r>
      <w:r w:rsidR="00056CEA">
        <w:rPr>
          <w:rFonts w:ascii="Times New Roman" w:hAnsi="Times New Roman"/>
          <w:sz w:val="16"/>
          <w:szCs w:val="16"/>
          <w:lang w:eastAsia="sk-SK"/>
        </w:rPr>
        <w:t>e</w:t>
      </w:r>
    </w:p>
    <w:p w14:paraId="4BCB2306" w14:textId="55980DA9" w:rsidR="00873986" w:rsidRPr="0085799C" w:rsidRDefault="00CF08FF" w:rsidP="00873986">
      <w:pPr>
        <w:spacing w:after="0" w:line="240" w:lineRule="auto"/>
        <w:jc w:val="both"/>
        <w:rPr>
          <w:rFonts w:ascii="Times New Roman" w:hAnsi="Times New Roman"/>
        </w:rPr>
      </w:pPr>
      <w:r w:rsidRPr="0085799C">
        <w:rPr>
          <w:rFonts w:ascii="Times New Roman" w:hAnsi="Times New Roman"/>
          <w:sz w:val="16"/>
          <w:szCs w:val="16"/>
          <w:lang w:eastAsia="sk-SK"/>
        </w:rPr>
        <w:t>*V rámci počtu štátnych podnikov za kapitolu Ministerstvo dopravy</w:t>
      </w:r>
      <w:r w:rsidR="00873986">
        <w:rPr>
          <w:rFonts w:ascii="Times New Roman" w:hAnsi="Times New Roman"/>
          <w:sz w:val="16"/>
          <w:szCs w:val="16"/>
          <w:lang w:eastAsia="sk-SK"/>
        </w:rPr>
        <w:t xml:space="preserve"> </w:t>
      </w:r>
      <w:r w:rsidRPr="0085799C">
        <w:rPr>
          <w:rFonts w:ascii="Times New Roman" w:hAnsi="Times New Roman"/>
          <w:sz w:val="16"/>
          <w:szCs w:val="16"/>
          <w:lang w:eastAsia="sk-SK"/>
        </w:rPr>
        <w:t>SR sú uvedené aj Železnice S</w:t>
      </w:r>
      <w:r w:rsidR="007C4AE2">
        <w:rPr>
          <w:rFonts w:ascii="Times New Roman" w:hAnsi="Times New Roman"/>
          <w:sz w:val="16"/>
          <w:szCs w:val="16"/>
          <w:lang w:eastAsia="sk-SK"/>
        </w:rPr>
        <w:t>lovenskej republiky</w:t>
      </w:r>
      <w:r w:rsidRPr="0085799C">
        <w:rPr>
          <w:rFonts w:ascii="Times New Roman" w:hAnsi="Times New Roman"/>
          <w:sz w:val="16"/>
          <w:szCs w:val="16"/>
          <w:lang w:eastAsia="sk-SK"/>
        </w:rPr>
        <w:t>, subjekt založený zákonom.</w:t>
      </w:r>
    </w:p>
    <w:p w14:paraId="1F02B23F" w14:textId="79E395BF" w:rsidR="00CF08FF" w:rsidRPr="0085799C" w:rsidRDefault="00CF08FF" w:rsidP="0085799C">
      <w:pPr>
        <w:spacing w:after="0" w:line="240" w:lineRule="auto"/>
        <w:jc w:val="both"/>
        <w:rPr>
          <w:rFonts w:ascii="Times New Roman" w:hAnsi="Times New Roman"/>
          <w:sz w:val="16"/>
          <w:szCs w:val="16"/>
          <w:lang w:eastAsia="sk-SK"/>
        </w:rPr>
      </w:pPr>
      <w:r w:rsidRPr="0085799C">
        <w:rPr>
          <w:rFonts w:ascii="Times New Roman" w:hAnsi="Times New Roman"/>
          <w:sz w:val="16"/>
          <w:szCs w:val="16"/>
          <w:lang w:eastAsia="sk-SK"/>
        </w:rPr>
        <w:t xml:space="preserve">** V rámci počtu obchodných spoločností za kapitolu Ministerstva financií SR je uvedená aj </w:t>
      </w:r>
      <w:r w:rsidR="00373B8D" w:rsidRPr="00373B8D">
        <w:rPr>
          <w:rFonts w:ascii="Times New Roman" w:hAnsi="Times New Roman"/>
          <w:sz w:val="16"/>
          <w:szCs w:val="16"/>
          <w:lang w:eastAsia="sk-SK"/>
        </w:rPr>
        <w:t>Exportno-importná banka Slovenskej republiky</w:t>
      </w:r>
      <w:r w:rsidRPr="0085799C">
        <w:rPr>
          <w:rFonts w:ascii="Times New Roman" w:hAnsi="Times New Roman"/>
          <w:sz w:val="16"/>
          <w:szCs w:val="16"/>
          <w:lang w:eastAsia="sk-SK"/>
        </w:rPr>
        <w:t>, štátny peňažný ústav.</w:t>
      </w:r>
    </w:p>
    <w:p w14:paraId="54420937" w14:textId="1503F712" w:rsidR="00CF08FF" w:rsidRPr="0085799C" w:rsidRDefault="00CF08FF" w:rsidP="0085799C">
      <w:pPr>
        <w:spacing w:after="0" w:line="240" w:lineRule="auto"/>
        <w:jc w:val="both"/>
        <w:rPr>
          <w:rFonts w:ascii="Times New Roman" w:hAnsi="Times New Roman"/>
          <w:sz w:val="16"/>
          <w:szCs w:val="16"/>
          <w:highlight w:val="yellow"/>
          <w:lang w:eastAsia="sk-SK"/>
        </w:rPr>
      </w:pPr>
      <w:r w:rsidRPr="0085799C">
        <w:rPr>
          <w:rFonts w:ascii="Times New Roman" w:hAnsi="Times New Roman"/>
          <w:sz w:val="16"/>
          <w:szCs w:val="16"/>
          <w:lang w:eastAsia="sk-SK"/>
        </w:rPr>
        <w:t xml:space="preserve">***V rámci obchodných spoločností je vykázaná </w:t>
      </w:r>
      <w:r w:rsidR="001C5264">
        <w:rPr>
          <w:rFonts w:ascii="Times New Roman" w:hAnsi="Times New Roman"/>
          <w:sz w:val="16"/>
          <w:szCs w:val="16"/>
          <w:lang w:eastAsia="sk-SK"/>
        </w:rPr>
        <w:t xml:space="preserve">Univerzitná </w:t>
      </w:r>
      <w:r w:rsidRPr="0085799C">
        <w:rPr>
          <w:rFonts w:ascii="Times New Roman" w:hAnsi="Times New Roman"/>
          <w:sz w:val="16"/>
          <w:szCs w:val="16"/>
          <w:lang w:eastAsia="sk-SK"/>
        </w:rPr>
        <w:t xml:space="preserve">Nemocnica </w:t>
      </w:r>
      <w:r w:rsidR="001C5264">
        <w:rPr>
          <w:rFonts w:ascii="Times New Roman" w:hAnsi="Times New Roman"/>
          <w:sz w:val="16"/>
          <w:szCs w:val="16"/>
          <w:lang w:eastAsia="sk-SK"/>
        </w:rPr>
        <w:t xml:space="preserve">– Nemocnica </w:t>
      </w:r>
      <w:r w:rsidRPr="0085799C">
        <w:rPr>
          <w:rFonts w:ascii="Times New Roman" w:hAnsi="Times New Roman"/>
          <w:sz w:val="16"/>
          <w:szCs w:val="16"/>
          <w:lang w:eastAsia="sk-SK"/>
        </w:rPr>
        <w:t>svätého Michala, a.s. len v jednej kapitole, avšak na prvej úrovni konsolidácie je zahrnutá aj v rámci Ministerstva obrany SR metódou vlastného imania</w:t>
      </w:r>
      <w:r w:rsidR="00873986">
        <w:rPr>
          <w:rFonts w:ascii="Times New Roman" w:hAnsi="Times New Roman"/>
          <w:sz w:val="16"/>
          <w:szCs w:val="16"/>
          <w:lang w:eastAsia="sk-SK"/>
        </w:rPr>
        <w:t>.</w:t>
      </w:r>
    </w:p>
    <w:p w14:paraId="087B7235" w14:textId="77777777" w:rsidR="00950585" w:rsidRPr="0085799C" w:rsidRDefault="00950585" w:rsidP="00F47788">
      <w:pPr>
        <w:rPr>
          <w:rFonts w:ascii="Times New Roman" w:hAnsi="Times New Roman"/>
        </w:rPr>
      </w:pPr>
    </w:p>
    <w:sectPr w:rsidR="00950585" w:rsidRPr="0085799C" w:rsidSect="001F3B99">
      <w:headerReference w:type="first" r:id="rId17"/>
      <w:footerReference w:type="first" r:id="rId18"/>
      <w:pgSz w:w="11906" w:h="16838"/>
      <w:pgMar w:top="1418" w:right="1134" w:bottom="1418"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2591C" w14:textId="77777777" w:rsidR="00A62FB2" w:rsidRDefault="00A62FB2" w:rsidP="00647542">
      <w:pPr>
        <w:spacing w:after="0" w:line="240" w:lineRule="auto"/>
      </w:pPr>
      <w:r>
        <w:separator/>
      </w:r>
    </w:p>
  </w:endnote>
  <w:endnote w:type="continuationSeparator" w:id="0">
    <w:p w14:paraId="6BA6DE02" w14:textId="77777777" w:rsidR="00A62FB2" w:rsidRDefault="00A62FB2" w:rsidP="00647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Dutch801 SWC">
    <w:altName w:val="Times New Roman"/>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AT* Times New Roman">
    <w:altName w:val="Courier New"/>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62BBC" w14:textId="2267523D" w:rsidR="00647542" w:rsidRDefault="00647542">
    <w:pPr>
      <w:pStyle w:val="Pta"/>
    </w:pPr>
    <w:r>
      <w:rPr>
        <w:noProof/>
        <w14:ligatures w14:val="standardContextual"/>
      </w:rPr>
      <mc:AlternateContent>
        <mc:Choice Requires="wps">
          <w:drawing>
            <wp:anchor distT="0" distB="0" distL="0" distR="0" simplePos="0" relativeHeight="251658241" behindDoc="0" locked="0" layoutInCell="1" allowOverlap="1" wp14:anchorId="70CAB21E" wp14:editId="6F4C1BB3">
              <wp:simplePos x="635" y="635"/>
              <wp:positionH relativeFrom="page">
                <wp:align>left</wp:align>
              </wp:positionH>
              <wp:positionV relativeFrom="page">
                <wp:align>bottom</wp:align>
              </wp:positionV>
              <wp:extent cx="633095" cy="368935"/>
              <wp:effectExtent l="0" t="0" r="14605" b="0"/>
              <wp:wrapNone/>
              <wp:docPr id="1690128551"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68935"/>
                      </a:xfrm>
                      <a:prstGeom prst="rect">
                        <a:avLst/>
                      </a:prstGeom>
                      <a:noFill/>
                      <a:ln>
                        <a:noFill/>
                      </a:ln>
                    </wps:spPr>
                    <wps:txbx>
                      <w:txbxContent>
                        <w:p w14:paraId="0A62CCF4" w14:textId="0B5D6823" w:rsidR="00647542" w:rsidRPr="00647542" w:rsidRDefault="00647542" w:rsidP="00647542">
                          <w:pPr>
                            <w:spacing w:after="0"/>
                            <w:rPr>
                              <w:rFonts w:ascii="Calibri" w:eastAsia="Calibri" w:hAnsi="Calibri" w:cs="Calibri"/>
                              <w:noProof/>
                              <w:color w:val="000000"/>
                              <w:sz w:val="20"/>
                              <w:szCs w:val="20"/>
                            </w:rPr>
                          </w:pPr>
                          <w:r w:rsidRPr="00647542">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CAB21E" id="_x0000_t202" coordsize="21600,21600" o:spt="202" path="m,l,21600r21600,l21600,xe">
              <v:stroke joinstyle="miter"/>
              <v:path gradientshapeok="t" o:connecttype="rect"/>
            </v:shapetype>
            <v:shape id="Textové pole 2" o:spid="_x0000_s1026" type="#_x0000_t202" alt="Interné" style="position:absolute;margin-left:0;margin-top:0;width:49.85pt;height:29.0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" filled="f" stroked="f">
              <v:textbox style="mso-fit-shape-to-text:t" inset="20pt,0,0,15pt">
                <w:txbxContent>
                  <w:p w14:paraId="0A62CCF4" w14:textId="0B5D6823" w:rsidR="00647542" w:rsidRPr="00647542" w:rsidRDefault="00647542" w:rsidP="00647542">
                    <w:pPr>
                      <w:spacing w:after="0"/>
                      <w:rPr>
                        <w:rFonts w:ascii="Calibri" w:eastAsia="Calibri" w:hAnsi="Calibri" w:cs="Calibri"/>
                        <w:noProof/>
                        <w:color w:val="000000"/>
                        <w:sz w:val="20"/>
                        <w:szCs w:val="20"/>
                      </w:rPr>
                    </w:pPr>
                    <w:r w:rsidRPr="00647542">
                      <w:rPr>
                        <w:rFonts w:ascii="Calibri" w:eastAsia="Calibri" w:hAnsi="Calibri" w:cs="Calibri"/>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F318" w14:textId="181F93BD" w:rsidR="00647542" w:rsidRPr="00073DC9" w:rsidRDefault="00647542">
    <w:pPr>
      <w:pStyle w:val="Pta"/>
      <w:jc w:val="center"/>
      <w:rPr>
        <w:rFonts w:ascii="Times New Roman" w:hAnsi="Times New Roman"/>
        <w:sz w:val="20"/>
        <w:szCs w:val="20"/>
      </w:rPr>
    </w:pPr>
    <w:r>
      <w:rPr>
        <w:noProof/>
        <w14:ligatures w14:val="standardContextual"/>
      </w:rPr>
      <mc:AlternateContent>
        <mc:Choice Requires="wps">
          <w:drawing>
            <wp:anchor distT="0" distB="0" distL="0" distR="0" simplePos="0" relativeHeight="251658242" behindDoc="0" locked="0" layoutInCell="1" allowOverlap="1" wp14:anchorId="0E736A11" wp14:editId="5CD4A746">
              <wp:simplePos x="1078173" y="9935570"/>
              <wp:positionH relativeFrom="page">
                <wp:align>left</wp:align>
              </wp:positionH>
              <wp:positionV relativeFrom="page">
                <wp:align>bottom</wp:align>
              </wp:positionV>
              <wp:extent cx="633095" cy="368935"/>
              <wp:effectExtent l="0" t="0" r="14605" b="0"/>
              <wp:wrapNone/>
              <wp:docPr id="1439539399" name="Textové pole 3"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68935"/>
                      </a:xfrm>
                      <a:prstGeom prst="rect">
                        <a:avLst/>
                      </a:prstGeom>
                      <a:noFill/>
                      <a:ln>
                        <a:noFill/>
                      </a:ln>
                    </wps:spPr>
                    <wps:txbx>
                      <w:txbxContent>
                        <w:p w14:paraId="58DE1ED6" w14:textId="0BB133AC" w:rsidR="00647542" w:rsidRPr="00647542" w:rsidRDefault="00647542" w:rsidP="00647542">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736A11" id="_x0000_t202" coordsize="21600,21600" o:spt="202" path="m,l,21600r21600,l21600,xe">
              <v:stroke joinstyle="miter"/>
              <v:path gradientshapeok="t" o:connecttype="rect"/>
            </v:shapetype>
            <v:shape id="Textové pole 3" o:spid="_x0000_s1027" type="#_x0000_t202" alt="Interné" style="position:absolute;left:0;text-align:left;margin-left:0;margin-top:0;width:49.85pt;height:29.0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" filled="f" stroked="f">
              <v:textbox style="mso-fit-shape-to-text:t" inset="20pt,0,0,15pt">
                <w:txbxContent>
                  <w:p w14:paraId="58DE1ED6" w14:textId="0BB133AC" w:rsidR="00647542" w:rsidRPr="00647542" w:rsidRDefault="00647542" w:rsidP="00647542">
                    <w:pPr>
                      <w:spacing w:after="0"/>
                      <w:rPr>
                        <w:rFonts w:ascii="Calibri" w:eastAsia="Calibri" w:hAnsi="Calibri" w:cs="Calibri"/>
                        <w:noProof/>
                        <w:color w:val="000000"/>
                        <w:sz w:val="20"/>
                        <w:szCs w:val="20"/>
                      </w:rPr>
                    </w:pPr>
                  </w:p>
                </w:txbxContent>
              </v:textbox>
              <w10:wrap anchorx="page" anchory="page"/>
            </v:shape>
          </w:pict>
        </mc:Fallback>
      </mc:AlternateContent>
    </w:r>
    <w:sdt>
      <w:sdtPr>
        <w:id w:val="2112773845"/>
        <w:docPartObj>
          <w:docPartGallery w:val="Page Numbers (Bottom of Page)"/>
          <w:docPartUnique/>
        </w:docPartObj>
      </w:sdtPr>
      <w:sdtEndPr>
        <w:rPr>
          <w:rFonts w:ascii="Times New Roman" w:hAnsi="Times New Roman"/>
          <w:sz w:val="20"/>
          <w:szCs w:val="20"/>
        </w:rPr>
      </w:sdtEndPr>
      <w:sdtContent>
        <w:r w:rsidRPr="00073DC9">
          <w:rPr>
            <w:rFonts w:ascii="Times New Roman" w:hAnsi="Times New Roman"/>
            <w:sz w:val="20"/>
            <w:szCs w:val="20"/>
          </w:rPr>
          <w:fldChar w:fldCharType="begin"/>
        </w:r>
        <w:r w:rsidRPr="00073DC9">
          <w:rPr>
            <w:rFonts w:ascii="Times New Roman" w:hAnsi="Times New Roman"/>
            <w:sz w:val="20"/>
            <w:szCs w:val="20"/>
          </w:rPr>
          <w:instrText>PAGE   \* MERGEFORMAT</w:instrText>
        </w:r>
        <w:r w:rsidRPr="00073DC9">
          <w:rPr>
            <w:rFonts w:ascii="Times New Roman" w:hAnsi="Times New Roman"/>
            <w:sz w:val="20"/>
            <w:szCs w:val="20"/>
          </w:rPr>
          <w:fldChar w:fldCharType="separate"/>
        </w:r>
        <w:r>
          <w:rPr>
            <w:rFonts w:ascii="Times New Roman" w:hAnsi="Times New Roman"/>
            <w:noProof/>
            <w:sz w:val="20"/>
            <w:szCs w:val="20"/>
          </w:rPr>
          <w:t>64</w:t>
        </w:r>
        <w:r w:rsidRPr="00073DC9">
          <w:rPr>
            <w:rFonts w:ascii="Times New Roman" w:hAnsi="Times New Roman"/>
            <w:sz w:val="20"/>
            <w:szCs w:val="20"/>
          </w:rPr>
          <w:fldChar w:fldCharType="end"/>
        </w:r>
      </w:sdtContent>
    </w:sdt>
  </w:p>
  <w:p w14:paraId="683795F7" w14:textId="77777777" w:rsidR="00647542" w:rsidRDefault="0064754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5715" w14:textId="2F42F64F" w:rsidR="00647542" w:rsidRDefault="00647542">
    <w:pPr>
      <w:pStyle w:val="Pta"/>
    </w:pPr>
    <w:r>
      <w:rPr>
        <w:noProof/>
        <w14:ligatures w14:val="standardContextual"/>
      </w:rPr>
      <mc:AlternateContent>
        <mc:Choice Requires="wps">
          <w:drawing>
            <wp:anchor distT="0" distB="0" distL="0" distR="0" simplePos="0" relativeHeight="251658240" behindDoc="0" locked="0" layoutInCell="1" allowOverlap="1" wp14:anchorId="36EFEE2C" wp14:editId="487C50AE">
              <wp:simplePos x="635" y="635"/>
              <wp:positionH relativeFrom="page">
                <wp:align>left</wp:align>
              </wp:positionH>
              <wp:positionV relativeFrom="page">
                <wp:align>bottom</wp:align>
              </wp:positionV>
              <wp:extent cx="633095" cy="368935"/>
              <wp:effectExtent l="0" t="0" r="14605" b="0"/>
              <wp:wrapNone/>
              <wp:docPr id="187724463" name="Textové pole 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68935"/>
                      </a:xfrm>
                      <a:prstGeom prst="rect">
                        <a:avLst/>
                      </a:prstGeom>
                      <a:noFill/>
                      <a:ln>
                        <a:noFill/>
                      </a:ln>
                    </wps:spPr>
                    <wps:txbx>
                      <w:txbxContent>
                        <w:p w14:paraId="272F2876" w14:textId="17A763ED" w:rsidR="00647542" w:rsidRPr="00647542" w:rsidRDefault="00647542" w:rsidP="00647542">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EFEE2C" id="_x0000_t202" coordsize="21600,21600" o:spt="202" path="m,l,21600r21600,l21600,xe">
              <v:stroke joinstyle="miter"/>
              <v:path gradientshapeok="t" o:connecttype="rect"/>
            </v:shapetype>
            <v:shape id="Textové pole 1" o:spid="_x0000_s1028" type="#_x0000_t202" alt="Interné" style="position:absolute;margin-left:0;margin-top:0;width:49.8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" filled="f" stroked="f">
              <v:textbox style="mso-fit-shape-to-text:t" inset="20pt,0,0,15pt">
                <w:txbxContent>
                  <w:p w14:paraId="272F2876" w14:textId="17A763ED" w:rsidR="00647542" w:rsidRPr="00647542" w:rsidRDefault="00647542" w:rsidP="00647542">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4DD8" w14:textId="3CB5C5DB" w:rsidR="0080307A" w:rsidRPr="00073DC9" w:rsidRDefault="0080307A">
    <w:pPr>
      <w:pStyle w:val="Pta"/>
      <w:jc w:val="center"/>
      <w:rPr>
        <w:rFonts w:ascii="Times New Roman" w:hAnsi="Times New Roman"/>
        <w:sz w:val="20"/>
        <w:szCs w:val="20"/>
      </w:rPr>
    </w:pPr>
  </w:p>
  <w:sdt>
    <w:sdtPr>
      <w:id w:val="377291566"/>
      <w:docPartObj>
        <w:docPartGallery w:val="Page Numbers (Bottom of Page)"/>
        <w:docPartUnique/>
      </w:docPartObj>
    </w:sdtPr>
    <w:sdtEndPr>
      <w:rPr>
        <w:rFonts w:ascii="Times New Roman" w:hAnsi="Times New Roman"/>
        <w:sz w:val="20"/>
        <w:szCs w:val="20"/>
      </w:rPr>
    </w:sdtEndPr>
    <w:sdtContent>
      <w:p w14:paraId="3722027A" w14:textId="77777777" w:rsidR="0080307A" w:rsidRPr="00073DC9" w:rsidRDefault="005F4AFB">
        <w:pPr>
          <w:pStyle w:val="Pta"/>
          <w:jc w:val="center"/>
          <w:rPr>
            <w:rFonts w:ascii="Times New Roman" w:hAnsi="Times New Roman"/>
            <w:sz w:val="20"/>
            <w:szCs w:val="20"/>
          </w:rPr>
        </w:pPr>
        <w:r w:rsidRPr="00073DC9">
          <w:rPr>
            <w:rFonts w:ascii="Times New Roman" w:hAnsi="Times New Roman"/>
            <w:sz w:val="20"/>
            <w:szCs w:val="20"/>
          </w:rPr>
          <w:t>2</w:t>
        </w:r>
      </w:p>
    </w:sdtContent>
  </w:sdt>
  <w:p w14:paraId="2EC5E633" w14:textId="77777777" w:rsidR="0080307A" w:rsidRPr="003E5CFD" w:rsidRDefault="0080307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EB82A" w14:textId="77777777" w:rsidR="00A62FB2" w:rsidRDefault="00A62FB2" w:rsidP="00647542">
      <w:pPr>
        <w:spacing w:after="0" w:line="240" w:lineRule="auto"/>
      </w:pPr>
      <w:r>
        <w:separator/>
      </w:r>
    </w:p>
  </w:footnote>
  <w:footnote w:type="continuationSeparator" w:id="0">
    <w:p w14:paraId="64528557" w14:textId="77777777" w:rsidR="00A62FB2" w:rsidRDefault="00A62FB2" w:rsidP="00647542">
      <w:pPr>
        <w:spacing w:after="0" w:line="240" w:lineRule="auto"/>
      </w:pPr>
      <w:r>
        <w:continuationSeparator/>
      </w:r>
    </w:p>
  </w:footnote>
  <w:footnote w:id="1">
    <w:p w14:paraId="6616FDDE" w14:textId="002ACEA7" w:rsidR="00647542" w:rsidRPr="0042148D" w:rsidRDefault="00647542" w:rsidP="00647542">
      <w:pPr>
        <w:pStyle w:val="Textpoznmkypodiarou"/>
        <w:spacing w:after="0" w:line="240" w:lineRule="auto"/>
        <w:jc w:val="both"/>
        <w:rPr>
          <w:sz w:val="18"/>
          <w:szCs w:val="18"/>
        </w:rPr>
      </w:pPr>
      <w:r w:rsidRPr="0042148D">
        <w:rPr>
          <w:rStyle w:val="Odkaznapoznmkupodiarou"/>
          <w:rFonts w:ascii="Times New Roman" w:hAnsi="Times New Roman"/>
          <w:sz w:val="18"/>
          <w:szCs w:val="18"/>
        </w:rPr>
        <w:footnoteRef/>
      </w:r>
      <w:r w:rsidRPr="0042148D">
        <w:rPr>
          <w:rFonts w:ascii="Times New Roman" w:hAnsi="Times New Roman"/>
          <w:sz w:val="18"/>
          <w:szCs w:val="18"/>
        </w:rPr>
        <w:t xml:space="preserve"> Napríklad zákon č. 581/2004 Z. z. o</w:t>
      </w:r>
      <w:r w:rsidR="006F065A">
        <w:rPr>
          <w:rFonts w:ascii="Times New Roman" w:hAnsi="Times New Roman"/>
          <w:sz w:val="18"/>
          <w:szCs w:val="18"/>
        </w:rPr>
        <w:t xml:space="preserve"> </w:t>
      </w:r>
      <w:r w:rsidRPr="0042148D">
        <w:rPr>
          <w:rFonts w:ascii="Times New Roman" w:hAnsi="Times New Roman"/>
          <w:sz w:val="18"/>
          <w:szCs w:val="18"/>
        </w:rPr>
        <w:t>zdravotných poisťovniach, dohľade nad zdravotnou starostlivosťou a</w:t>
      </w:r>
      <w:r w:rsidR="006F065A">
        <w:rPr>
          <w:rFonts w:ascii="Times New Roman" w:hAnsi="Times New Roman"/>
          <w:sz w:val="18"/>
          <w:szCs w:val="18"/>
        </w:rPr>
        <w:t xml:space="preserve"> </w:t>
      </w:r>
      <w:r w:rsidRPr="0042148D">
        <w:rPr>
          <w:rFonts w:ascii="Times New Roman" w:hAnsi="Times New Roman"/>
          <w:sz w:val="18"/>
          <w:szCs w:val="18"/>
        </w:rPr>
        <w:t>o</w:t>
      </w:r>
      <w:r w:rsidR="006F065A">
        <w:rPr>
          <w:rFonts w:ascii="Times New Roman" w:hAnsi="Times New Roman"/>
          <w:sz w:val="18"/>
          <w:szCs w:val="18"/>
        </w:rPr>
        <w:t xml:space="preserve"> </w:t>
      </w:r>
      <w:r w:rsidRPr="0042148D">
        <w:rPr>
          <w:rFonts w:ascii="Times New Roman" w:hAnsi="Times New Roman"/>
          <w:sz w:val="18"/>
          <w:szCs w:val="18"/>
        </w:rPr>
        <w:t>zmene a</w:t>
      </w:r>
      <w:r w:rsidR="006F065A">
        <w:rPr>
          <w:rFonts w:ascii="Times New Roman" w:hAnsi="Times New Roman"/>
          <w:sz w:val="18"/>
          <w:szCs w:val="18"/>
        </w:rPr>
        <w:t xml:space="preserve"> </w:t>
      </w:r>
      <w:r w:rsidRPr="0042148D">
        <w:rPr>
          <w:rFonts w:ascii="Times New Roman" w:hAnsi="Times New Roman"/>
          <w:sz w:val="18"/>
          <w:szCs w:val="18"/>
        </w:rPr>
        <w:t>doplnení niektorých zákonov, zákon č. 131/2002 Z. z. o</w:t>
      </w:r>
      <w:r w:rsidR="006F065A">
        <w:rPr>
          <w:rFonts w:ascii="Times New Roman" w:hAnsi="Times New Roman"/>
          <w:sz w:val="18"/>
          <w:szCs w:val="18"/>
        </w:rPr>
        <w:t xml:space="preserve"> </w:t>
      </w:r>
      <w:r w:rsidRPr="0042148D">
        <w:rPr>
          <w:rFonts w:ascii="Times New Roman" w:hAnsi="Times New Roman"/>
          <w:sz w:val="18"/>
          <w:szCs w:val="18"/>
        </w:rPr>
        <w:t>vysokých školách a</w:t>
      </w:r>
      <w:r w:rsidR="006F065A">
        <w:rPr>
          <w:rFonts w:ascii="Times New Roman" w:hAnsi="Times New Roman"/>
          <w:sz w:val="18"/>
          <w:szCs w:val="18"/>
        </w:rPr>
        <w:t xml:space="preserve"> </w:t>
      </w:r>
      <w:r w:rsidRPr="0042148D">
        <w:rPr>
          <w:rFonts w:ascii="Times New Roman" w:hAnsi="Times New Roman"/>
          <w:sz w:val="18"/>
          <w:szCs w:val="18"/>
        </w:rPr>
        <w:t>o</w:t>
      </w:r>
      <w:r w:rsidR="006F065A">
        <w:rPr>
          <w:rFonts w:ascii="Times New Roman" w:hAnsi="Times New Roman"/>
          <w:sz w:val="18"/>
          <w:szCs w:val="18"/>
        </w:rPr>
        <w:t xml:space="preserve"> </w:t>
      </w:r>
      <w:r w:rsidRPr="0042148D">
        <w:rPr>
          <w:rFonts w:ascii="Times New Roman" w:hAnsi="Times New Roman"/>
          <w:sz w:val="18"/>
          <w:szCs w:val="18"/>
        </w:rPr>
        <w:t>zmene a</w:t>
      </w:r>
      <w:r w:rsidR="006F065A">
        <w:rPr>
          <w:rFonts w:ascii="Times New Roman" w:hAnsi="Times New Roman"/>
          <w:sz w:val="18"/>
          <w:szCs w:val="18"/>
        </w:rPr>
        <w:t xml:space="preserve"> </w:t>
      </w:r>
      <w:r w:rsidRPr="0042148D">
        <w:rPr>
          <w:rFonts w:ascii="Times New Roman" w:hAnsi="Times New Roman"/>
          <w:sz w:val="18"/>
          <w:szCs w:val="18"/>
        </w:rPr>
        <w:t>doplnení niektorých zákonov.</w:t>
      </w:r>
    </w:p>
  </w:footnote>
  <w:footnote w:id="2">
    <w:p w14:paraId="1B16161A" w14:textId="77777777" w:rsidR="00647542" w:rsidRPr="0085799C" w:rsidRDefault="00647542" w:rsidP="0085799C">
      <w:pPr>
        <w:pStyle w:val="Textpoznmkypodiarou"/>
        <w:jc w:val="both"/>
        <w:rPr>
          <w:rFonts w:ascii="Times New Roman" w:hAnsi="Times New Roman"/>
          <w:sz w:val="16"/>
          <w:szCs w:val="16"/>
        </w:rPr>
      </w:pPr>
      <w:r w:rsidRPr="0085799C">
        <w:rPr>
          <w:rStyle w:val="Odkaznapoznmkupodiarou"/>
          <w:rFonts w:ascii="Times New Roman" w:hAnsi="Times New Roman"/>
          <w:sz w:val="16"/>
          <w:szCs w:val="16"/>
        </w:rPr>
        <w:footnoteRef/>
      </w:r>
      <w:r w:rsidRPr="0085799C">
        <w:rPr>
          <w:rFonts w:ascii="Times New Roman" w:hAnsi="Times New Roman"/>
          <w:sz w:val="16"/>
          <w:szCs w:val="16"/>
        </w:rPr>
        <w:t xml:space="preserve"> </w:t>
      </w:r>
      <w:hyperlink r:id="rId1" w:history="1">
        <w:r w:rsidRPr="0085799C">
          <w:rPr>
            <w:rStyle w:val="Hypertextovprepojenie"/>
            <w:rFonts w:ascii="Times New Roman" w:hAnsi="Times New Roman"/>
            <w:sz w:val="16"/>
            <w:szCs w:val="16"/>
          </w:rPr>
          <w:t>https://www.mfsr.sk/sk/financie/statne-vykaznictvo/klucove-dokumenty-uctovne-zavierky/suhrnna-vyrocna-sprava-sr/</w:t>
        </w:r>
      </w:hyperlink>
      <w:r w:rsidRPr="0085799C">
        <w:rPr>
          <w:rFonts w:ascii="Times New Roman" w:hAnsi="Times New Roman"/>
          <w:sz w:val="16"/>
          <w:szCs w:val="16"/>
        </w:rPr>
        <w:t xml:space="preserve"> </w:t>
      </w:r>
    </w:p>
  </w:footnote>
  <w:footnote w:id="3">
    <w:p w14:paraId="395A9EDD" w14:textId="05469252" w:rsidR="00647542" w:rsidRPr="0085799C" w:rsidRDefault="00647542" w:rsidP="00647542">
      <w:pPr>
        <w:pStyle w:val="Textpoznmkypodiarou"/>
        <w:spacing w:line="240" w:lineRule="auto"/>
        <w:jc w:val="both"/>
        <w:rPr>
          <w:rFonts w:ascii="Times New Roman" w:hAnsi="Times New Roman"/>
          <w:sz w:val="16"/>
          <w:szCs w:val="16"/>
        </w:rPr>
      </w:pPr>
      <w:r w:rsidRPr="0085799C">
        <w:rPr>
          <w:rStyle w:val="Odkaznapoznmkupodiarou"/>
          <w:rFonts w:ascii="Times New Roman" w:hAnsi="Times New Roman"/>
          <w:sz w:val="16"/>
          <w:szCs w:val="16"/>
        </w:rPr>
        <w:footnoteRef/>
      </w:r>
      <w:r w:rsidRPr="0085799C">
        <w:rPr>
          <w:rFonts w:ascii="Times New Roman" w:hAnsi="Times New Roman"/>
          <w:sz w:val="16"/>
          <w:szCs w:val="16"/>
        </w:rPr>
        <w:t xml:space="preserve"> Vyhodnotenie stratégia riadenia štátneho dlhu, riadenie rizík štátneho dlhu je popísané v Súhrnnej výročnej správe SR za rok 202</w:t>
      </w:r>
      <w:r w:rsidR="001924DF" w:rsidRPr="0085799C">
        <w:rPr>
          <w:rFonts w:ascii="Times New Roman" w:hAnsi="Times New Roman"/>
          <w:sz w:val="16"/>
          <w:szCs w:val="16"/>
        </w:rPr>
        <w:t>4</w:t>
      </w:r>
      <w:r w:rsidRPr="0085799C">
        <w:rPr>
          <w:rFonts w:ascii="Times New Roman" w:hAnsi="Times New Roman"/>
          <w:sz w:val="16"/>
          <w:szCs w:val="16"/>
        </w:rPr>
        <w:t>, v kapitole 2.3.</w:t>
      </w:r>
    </w:p>
  </w:footnote>
  <w:footnote w:id="4">
    <w:p w14:paraId="648D5FB2" w14:textId="77777777" w:rsidR="00647542" w:rsidRPr="0085799C" w:rsidRDefault="00647542" w:rsidP="0085799C">
      <w:pPr>
        <w:pStyle w:val="Textpoznmkypodiarou"/>
        <w:jc w:val="both"/>
        <w:rPr>
          <w:rFonts w:ascii="Times New Roman" w:hAnsi="Times New Roman"/>
          <w:sz w:val="16"/>
          <w:szCs w:val="16"/>
        </w:rPr>
      </w:pPr>
      <w:r w:rsidRPr="0085799C">
        <w:rPr>
          <w:rStyle w:val="Odkaznapoznmkupodiarou"/>
          <w:rFonts w:ascii="Times New Roman" w:hAnsi="Times New Roman"/>
          <w:sz w:val="16"/>
          <w:szCs w:val="16"/>
        </w:rPr>
        <w:footnoteRef/>
      </w:r>
      <w:r w:rsidRPr="0085799C">
        <w:rPr>
          <w:rFonts w:ascii="Times New Roman" w:hAnsi="Times New Roman"/>
          <w:sz w:val="16"/>
          <w:szCs w:val="16"/>
        </w:rPr>
        <w:t xml:space="preserve"> https://www.sloves.sk/kolektivne_zmluvy.php</w:t>
      </w:r>
    </w:p>
  </w:footnote>
  <w:footnote w:id="5">
    <w:p w14:paraId="00E25047" w14:textId="77777777" w:rsidR="007E562E" w:rsidRPr="0085799C" w:rsidRDefault="007E562E" w:rsidP="0085799C">
      <w:pPr>
        <w:pStyle w:val="Textpoznmkypodiarou"/>
        <w:jc w:val="both"/>
        <w:rPr>
          <w:rFonts w:ascii="Times New Roman" w:hAnsi="Times New Roman"/>
          <w:sz w:val="16"/>
          <w:szCs w:val="16"/>
        </w:rPr>
      </w:pPr>
      <w:r w:rsidRPr="0085799C">
        <w:rPr>
          <w:rStyle w:val="Odkaznapoznmkupodiarou"/>
          <w:rFonts w:ascii="Times New Roman" w:hAnsi="Times New Roman"/>
          <w:sz w:val="16"/>
          <w:szCs w:val="16"/>
        </w:rPr>
        <w:footnoteRef/>
      </w:r>
      <w:r w:rsidRPr="0085799C">
        <w:rPr>
          <w:rFonts w:ascii="Times New Roman" w:hAnsi="Times New Roman"/>
          <w:sz w:val="16"/>
          <w:szCs w:val="16"/>
        </w:rPr>
        <w:t xml:space="preserve"> https://www.planobnovy.sk/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6A76" w14:textId="77777777" w:rsidR="00647542" w:rsidRDefault="00647542">
    <w:pPr>
      <w:pStyle w:val="Hlavika"/>
      <w:ind w:firstLine="7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1E24" w14:textId="77777777" w:rsidR="0080307A" w:rsidRPr="007A0F1E" w:rsidRDefault="0080307A" w:rsidP="007A0F1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6C6F22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1181655"/>
    <w:multiLevelType w:val="hybridMultilevel"/>
    <w:tmpl w:val="664AC630"/>
    <w:lvl w:ilvl="0" w:tplc="041B0001">
      <w:start w:val="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E7507D"/>
    <w:multiLevelType w:val="hybridMultilevel"/>
    <w:tmpl w:val="47AE61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5426A91"/>
    <w:multiLevelType w:val="hybridMultilevel"/>
    <w:tmpl w:val="69927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D227B2"/>
    <w:multiLevelType w:val="hybridMultilevel"/>
    <w:tmpl w:val="D048DF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095D02"/>
    <w:multiLevelType w:val="hybridMultilevel"/>
    <w:tmpl w:val="219A57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44314B"/>
    <w:multiLevelType w:val="hybridMultilevel"/>
    <w:tmpl w:val="05E6B0E2"/>
    <w:lvl w:ilvl="0" w:tplc="8A4CF6B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C7A5A10"/>
    <w:multiLevelType w:val="hybridMultilevel"/>
    <w:tmpl w:val="92FC59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F0647F"/>
    <w:multiLevelType w:val="hybridMultilevel"/>
    <w:tmpl w:val="761C8A18"/>
    <w:lvl w:ilvl="0" w:tplc="0FA8E6F2">
      <w:start w:val="12"/>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02517DE"/>
    <w:multiLevelType w:val="hybridMultilevel"/>
    <w:tmpl w:val="CF42B266"/>
    <w:lvl w:ilvl="0" w:tplc="8B5855E6">
      <w:start w:val="1"/>
      <w:numFmt w:val="upperLetter"/>
      <w:lvlText w:val="%1."/>
      <w:lvlJc w:val="left"/>
      <w:pPr>
        <w:ind w:left="6881" w:hanging="360"/>
      </w:pPr>
      <w:rPr>
        <w:rFonts w:cs="Times New Roman" w:hint="default"/>
        <w:color w:val="auto"/>
      </w:rPr>
    </w:lvl>
    <w:lvl w:ilvl="1" w:tplc="041B0019">
      <w:start w:val="1"/>
      <w:numFmt w:val="lowerLetter"/>
      <w:lvlText w:val="%2."/>
      <w:lvlJc w:val="left"/>
      <w:pPr>
        <w:ind w:left="7601" w:hanging="360"/>
      </w:pPr>
      <w:rPr>
        <w:rFonts w:cs="Times New Roman"/>
      </w:rPr>
    </w:lvl>
    <w:lvl w:ilvl="2" w:tplc="041B001B" w:tentative="1">
      <w:start w:val="1"/>
      <w:numFmt w:val="lowerRoman"/>
      <w:lvlText w:val="%3."/>
      <w:lvlJc w:val="right"/>
      <w:pPr>
        <w:ind w:left="8321" w:hanging="180"/>
      </w:pPr>
      <w:rPr>
        <w:rFonts w:cs="Times New Roman"/>
      </w:rPr>
    </w:lvl>
    <w:lvl w:ilvl="3" w:tplc="041B000F" w:tentative="1">
      <w:start w:val="1"/>
      <w:numFmt w:val="decimal"/>
      <w:lvlText w:val="%4."/>
      <w:lvlJc w:val="left"/>
      <w:pPr>
        <w:ind w:left="9041" w:hanging="360"/>
      </w:pPr>
      <w:rPr>
        <w:rFonts w:cs="Times New Roman"/>
      </w:rPr>
    </w:lvl>
    <w:lvl w:ilvl="4" w:tplc="041B0019" w:tentative="1">
      <w:start w:val="1"/>
      <w:numFmt w:val="lowerLetter"/>
      <w:lvlText w:val="%5."/>
      <w:lvlJc w:val="left"/>
      <w:pPr>
        <w:ind w:left="9761" w:hanging="360"/>
      </w:pPr>
      <w:rPr>
        <w:rFonts w:cs="Times New Roman"/>
      </w:rPr>
    </w:lvl>
    <w:lvl w:ilvl="5" w:tplc="041B001B" w:tentative="1">
      <w:start w:val="1"/>
      <w:numFmt w:val="lowerRoman"/>
      <w:lvlText w:val="%6."/>
      <w:lvlJc w:val="right"/>
      <w:pPr>
        <w:ind w:left="10481" w:hanging="180"/>
      </w:pPr>
      <w:rPr>
        <w:rFonts w:cs="Times New Roman"/>
      </w:rPr>
    </w:lvl>
    <w:lvl w:ilvl="6" w:tplc="041B000F" w:tentative="1">
      <w:start w:val="1"/>
      <w:numFmt w:val="decimal"/>
      <w:lvlText w:val="%7."/>
      <w:lvlJc w:val="left"/>
      <w:pPr>
        <w:ind w:left="11201" w:hanging="360"/>
      </w:pPr>
      <w:rPr>
        <w:rFonts w:cs="Times New Roman"/>
      </w:rPr>
    </w:lvl>
    <w:lvl w:ilvl="7" w:tplc="041B0019" w:tentative="1">
      <w:start w:val="1"/>
      <w:numFmt w:val="lowerLetter"/>
      <w:lvlText w:val="%8."/>
      <w:lvlJc w:val="left"/>
      <w:pPr>
        <w:ind w:left="11921" w:hanging="360"/>
      </w:pPr>
      <w:rPr>
        <w:rFonts w:cs="Times New Roman"/>
      </w:rPr>
    </w:lvl>
    <w:lvl w:ilvl="8" w:tplc="041B001B" w:tentative="1">
      <w:start w:val="1"/>
      <w:numFmt w:val="lowerRoman"/>
      <w:lvlText w:val="%9."/>
      <w:lvlJc w:val="right"/>
      <w:pPr>
        <w:ind w:left="12641" w:hanging="180"/>
      </w:pPr>
      <w:rPr>
        <w:rFonts w:cs="Times New Roman"/>
      </w:rPr>
    </w:lvl>
  </w:abstractNum>
  <w:abstractNum w:abstractNumId="10" w15:restartNumberingAfterBreak="0">
    <w:nsid w:val="158D02D2"/>
    <w:multiLevelType w:val="hybridMultilevel"/>
    <w:tmpl w:val="35569DC6"/>
    <w:lvl w:ilvl="0" w:tplc="28FEECBA">
      <w:start w:val="5"/>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174B414A"/>
    <w:multiLevelType w:val="hybridMultilevel"/>
    <w:tmpl w:val="A860E468"/>
    <w:lvl w:ilvl="0" w:tplc="5FA0D02C">
      <w:start w:val="1"/>
      <w:numFmt w:val="upperRoman"/>
      <w:lvlText w:val="%1."/>
      <w:lvlJc w:val="left"/>
      <w:pPr>
        <w:ind w:left="720" w:hanging="72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2" w15:restartNumberingAfterBreak="0">
    <w:nsid w:val="184F4749"/>
    <w:multiLevelType w:val="hybridMultilevel"/>
    <w:tmpl w:val="633EC3D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3" w15:restartNumberingAfterBreak="0">
    <w:nsid w:val="1E3C092A"/>
    <w:multiLevelType w:val="hybridMultilevel"/>
    <w:tmpl w:val="F4D06CD6"/>
    <w:lvl w:ilvl="0" w:tplc="D20CA7C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920B38"/>
    <w:multiLevelType w:val="hybridMultilevel"/>
    <w:tmpl w:val="1E96BE98"/>
    <w:lvl w:ilvl="0" w:tplc="041B0005">
      <w:start w:val="1"/>
      <w:numFmt w:val="bullet"/>
      <w:lvlText w:val=""/>
      <w:lvlJc w:val="left"/>
      <w:pPr>
        <w:ind w:left="720" w:hanging="360"/>
      </w:pPr>
      <w:rPr>
        <w:rFonts w:ascii="Wingdings" w:hAnsi="Wingding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1475E54"/>
    <w:multiLevelType w:val="hybridMultilevel"/>
    <w:tmpl w:val="C74ADA0A"/>
    <w:lvl w:ilvl="0" w:tplc="BE62524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3CD34F7"/>
    <w:multiLevelType w:val="hybridMultilevel"/>
    <w:tmpl w:val="331E8A8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7" w15:restartNumberingAfterBreak="0">
    <w:nsid w:val="276B63C5"/>
    <w:multiLevelType w:val="hybridMultilevel"/>
    <w:tmpl w:val="911A2CCC"/>
    <w:lvl w:ilvl="0" w:tplc="DC0C4EBA">
      <w:start w:val="20"/>
      <w:numFmt w:val="bullet"/>
      <w:lvlText w:val=""/>
      <w:lvlJc w:val="left"/>
      <w:pPr>
        <w:ind w:left="1080" w:hanging="360"/>
      </w:pPr>
      <w:rPr>
        <w:rFonts w:ascii="Symbol" w:eastAsia="Times New Roman"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29782299"/>
    <w:multiLevelType w:val="hybridMultilevel"/>
    <w:tmpl w:val="E6F03E00"/>
    <w:lvl w:ilvl="0" w:tplc="041B0001">
      <w:start w:val="7"/>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D363C92"/>
    <w:multiLevelType w:val="hybridMultilevel"/>
    <w:tmpl w:val="D76E42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FC848EB"/>
    <w:multiLevelType w:val="hybridMultilevel"/>
    <w:tmpl w:val="2E7CD4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0480085"/>
    <w:multiLevelType w:val="hybridMultilevel"/>
    <w:tmpl w:val="8138D66A"/>
    <w:lvl w:ilvl="0" w:tplc="6E3A18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31152D1E"/>
    <w:multiLevelType w:val="hybridMultilevel"/>
    <w:tmpl w:val="9DD8D7E4"/>
    <w:lvl w:ilvl="0" w:tplc="041B0001">
      <w:start w:val="20"/>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1E256B1"/>
    <w:multiLevelType w:val="hybridMultilevel"/>
    <w:tmpl w:val="CA268D82"/>
    <w:lvl w:ilvl="0" w:tplc="B3A2EB44">
      <w:start w:val="33"/>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4" w15:restartNumberingAfterBreak="0">
    <w:nsid w:val="32D25E2F"/>
    <w:multiLevelType w:val="hybridMultilevel"/>
    <w:tmpl w:val="FF7287C4"/>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5" w15:restartNumberingAfterBreak="0">
    <w:nsid w:val="33F86263"/>
    <w:multiLevelType w:val="hybridMultilevel"/>
    <w:tmpl w:val="6E460862"/>
    <w:lvl w:ilvl="0" w:tplc="0CC68B80">
      <w:start w:val="134"/>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75F70A0"/>
    <w:multiLevelType w:val="hybridMultilevel"/>
    <w:tmpl w:val="38F44880"/>
    <w:lvl w:ilvl="0" w:tplc="981879FC">
      <w:start w:val="8"/>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A83045C"/>
    <w:multiLevelType w:val="hybridMultilevel"/>
    <w:tmpl w:val="DBAE1C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AB567E1"/>
    <w:multiLevelType w:val="hybridMultilevel"/>
    <w:tmpl w:val="4370832E"/>
    <w:lvl w:ilvl="0" w:tplc="041B0017">
      <w:start w:val="1"/>
      <w:numFmt w:val="lowerLetter"/>
      <w:pStyle w:val="abc"/>
      <w:lvlText w:val="%1)"/>
      <w:lvlJc w:val="left"/>
      <w:pPr>
        <w:tabs>
          <w:tab w:val="num" w:pos="465"/>
        </w:tabs>
        <w:ind w:left="465" w:hanging="465"/>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3CCF0EFD"/>
    <w:multiLevelType w:val="hybridMultilevel"/>
    <w:tmpl w:val="760AC0AC"/>
    <w:lvl w:ilvl="0" w:tplc="041B0001">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E3402ED"/>
    <w:multiLevelType w:val="hybridMultilevel"/>
    <w:tmpl w:val="11BEFE50"/>
    <w:lvl w:ilvl="0" w:tplc="ED707616">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124500A"/>
    <w:multiLevelType w:val="hybridMultilevel"/>
    <w:tmpl w:val="A9B623F4"/>
    <w:lvl w:ilvl="0" w:tplc="B5563F6E">
      <w:start w:val="2"/>
      <w:numFmt w:val="upperRoman"/>
      <w:lvlText w:val="%1."/>
      <w:lvlJc w:val="left"/>
      <w:pPr>
        <w:ind w:left="1287" w:hanging="72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32" w15:restartNumberingAfterBreak="0">
    <w:nsid w:val="445A69FD"/>
    <w:multiLevelType w:val="hybridMultilevel"/>
    <w:tmpl w:val="6FE07ACE"/>
    <w:lvl w:ilvl="0" w:tplc="0C9057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5DF4460"/>
    <w:multiLevelType w:val="hybridMultilevel"/>
    <w:tmpl w:val="A00A420C"/>
    <w:lvl w:ilvl="0" w:tplc="041B0001">
      <w:start w:val="5"/>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77460CF"/>
    <w:multiLevelType w:val="hybridMultilevel"/>
    <w:tmpl w:val="B602F248"/>
    <w:lvl w:ilvl="0" w:tplc="041B0015">
      <w:start w:val="3"/>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8F81D64"/>
    <w:multiLevelType w:val="hybridMultilevel"/>
    <w:tmpl w:val="86E0B772"/>
    <w:lvl w:ilvl="0" w:tplc="0D2E0D2A">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14F087A"/>
    <w:multiLevelType w:val="multilevel"/>
    <w:tmpl w:val="A84A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CC06EB"/>
    <w:multiLevelType w:val="hybridMultilevel"/>
    <w:tmpl w:val="518267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F9C1DFC"/>
    <w:multiLevelType w:val="hybridMultilevel"/>
    <w:tmpl w:val="8450934A"/>
    <w:lvl w:ilvl="0" w:tplc="44B8B4AA">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950FDF"/>
    <w:multiLevelType w:val="hybridMultilevel"/>
    <w:tmpl w:val="EA08B1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9A3631B"/>
    <w:multiLevelType w:val="hybridMultilevel"/>
    <w:tmpl w:val="4DCE61D2"/>
    <w:lvl w:ilvl="0" w:tplc="041B0015">
      <w:start w:val="3"/>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2D04F5"/>
    <w:multiLevelType w:val="hybridMultilevel"/>
    <w:tmpl w:val="E916A7B6"/>
    <w:lvl w:ilvl="0" w:tplc="041B0001">
      <w:start w:val="7"/>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E2D038F"/>
    <w:multiLevelType w:val="hybridMultilevel"/>
    <w:tmpl w:val="66AC3312"/>
    <w:lvl w:ilvl="0" w:tplc="7F7674E0">
      <w:start w:val="2"/>
      <w:numFmt w:val="bullet"/>
      <w:lvlText w:val="-"/>
      <w:lvlJc w:val="left"/>
      <w:pPr>
        <w:ind w:left="720" w:hanging="360"/>
      </w:pPr>
      <w:rPr>
        <w:rFonts w:ascii="Times New Roman" w:eastAsia="Times New Roman" w:hAnsi="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6E72523B"/>
    <w:multiLevelType w:val="hybridMultilevel"/>
    <w:tmpl w:val="A55AE8E6"/>
    <w:lvl w:ilvl="0" w:tplc="6D6C670E">
      <w:start w:val="1"/>
      <w:numFmt w:val="decimal"/>
      <w:lvlText w:val="%1"/>
      <w:lvlJc w:val="left"/>
      <w:pPr>
        <w:ind w:left="9573" w:hanging="360"/>
      </w:pPr>
      <w:rPr>
        <w:rFonts w:hint="default"/>
        <w:i/>
        <w:color w:val="auto"/>
        <w:sz w:val="22"/>
        <w:szCs w:val="22"/>
      </w:rPr>
    </w:lvl>
    <w:lvl w:ilvl="1" w:tplc="041B0019" w:tentative="1">
      <w:start w:val="1"/>
      <w:numFmt w:val="lowerLetter"/>
      <w:lvlText w:val="%2."/>
      <w:lvlJc w:val="left"/>
      <w:pPr>
        <w:ind w:left="-402" w:hanging="360"/>
      </w:pPr>
    </w:lvl>
    <w:lvl w:ilvl="2" w:tplc="041B001B" w:tentative="1">
      <w:start w:val="1"/>
      <w:numFmt w:val="lowerRoman"/>
      <w:lvlText w:val="%3."/>
      <w:lvlJc w:val="right"/>
      <w:pPr>
        <w:ind w:left="318" w:hanging="180"/>
      </w:pPr>
    </w:lvl>
    <w:lvl w:ilvl="3" w:tplc="041B000F" w:tentative="1">
      <w:start w:val="1"/>
      <w:numFmt w:val="decimal"/>
      <w:lvlText w:val="%4."/>
      <w:lvlJc w:val="left"/>
      <w:pPr>
        <w:ind w:left="1038" w:hanging="360"/>
      </w:pPr>
    </w:lvl>
    <w:lvl w:ilvl="4" w:tplc="041B0019" w:tentative="1">
      <w:start w:val="1"/>
      <w:numFmt w:val="lowerLetter"/>
      <w:lvlText w:val="%5."/>
      <w:lvlJc w:val="left"/>
      <w:pPr>
        <w:ind w:left="1758" w:hanging="360"/>
      </w:pPr>
    </w:lvl>
    <w:lvl w:ilvl="5" w:tplc="041B001B" w:tentative="1">
      <w:start w:val="1"/>
      <w:numFmt w:val="lowerRoman"/>
      <w:lvlText w:val="%6."/>
      <w:lvlJc w:val="right"/>
      <w:pPr>
        <w:ind w:left="2478" w:hanging="180"/>
      </w:pPr>
    </w:lvl>
    <w:lvl w:ilvl="6" w:tplc="041B000F" w:tentative="1">
      <w:start w:val="1"/>
      <w:numFmt w:val="decimal"/>
      <w:lvlText w:val="%7."/>
      <w:lvlJc w:val="left"/>
      <w:pPr>
        <w:ind w:left="3198" w:hanging="360"/>
      </w:pPr>
    </w:lvl>
    <w:lvl w:ilvl="7" w:tplc="041B0019" w:tentative="1">
      <w:start w:val="1"/>
      <w:numFmt w:val="lowerLetter"/>
      <w:lvlText w:val="%8."/>
      <w:lvlJc w:val="left"/>
      <w:pPr>
        <w:ind w:left="3918" w:hanging="360"/>
      </w:pPr>
    </w:lvl>
    <w:lvl w:ilvl="8" w:tplc="041B001B" w:tentative="1">
      <w:start w:val="1"/>
      <w:numFmt w:val="lowerRoman"/>
      <w:lvlText w:val="%9."/>
      <w:lvlJc w:val="right"/>
      <w:pPr>
        <w:ind w:left="4638" w:hanging="180"/>
      </w:pPr>
    </w:lvl>
  </w:abstractNum>
  <w:abstractNum w:abstractNumId="44" w15:restartNumberingAfterBreak="0">
    <w:nsid w:val="704F46D4"/>
    <w:multiLevelType w:val="hybridMultilevel"/>
    <w:tmpl w:val="15E8B9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1B15C85"/>
    <w:multiLevelType w:val="hybridMultilevel"/>
    <w:tmpl w:val="6780274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6" w15:restartNumberingAfterBreak="0">
    <w:nsid w:val="741D5430"/>
    <w:multiLevelType w:val="hybridMultilevel"/>
    <w:tmpl w:val="C6A898A2"/>
    <w:lvl w:ilvl="0" w:tplc="041B0001">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539518A"/>
    <w:multiLevelType w:val="hybridMultilevel"/>
    <w:tmpl w:val="199A9F66"/>
    <w:lvl w:ilvl="0" w:tplc="747E5EF0">
      <w:start w:val="1"/>
      <w:numFmt w:val="decimal"/>
      <w:lvlText w:val="%1"/>
      <w:lvlJc w:val="left"/>
      <w:pPr>
        <w:ind w:left="502"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63E762A"/>
    <w:multiLevelType w:val="hybridMultilevel"/>
    <w:tmpl w:val="AEB85EE2"/>
    <w:lvl w:ilvl="0" w:tplc="6D40A8DC">
      <w:start w:val="1"/>
      <w:numFmt w:val="upperRoman"/>
      <w:lvlText w:val="%1."/>
      <w:lvlJc w:val="left"/>
      <w:pPr>
        <w:ind w:left="1003" w:hanging="720"/>
      </w:pPr>
      <w:rPr>
        <w:rFonts w:cs="Times New Roman" w:hint="default"/>
        <w:b/>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78257C33"/>
    <w:multiLevelType w:val="hybridMultilevel"/>
    <w:tmpl w:val="03182FE6"/>
    <w:lvl w:ilvl="0" w:tplc="DA629602">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78C606A6"/>
    <w:multiLevelType w:val="hybridMultilevel"/>
    <w:tmpl w:val="9FD2DC7C"/>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D01146"/>
    <w:multiLevelType w:val="hybridMultilevel"/>
    <w:tmpl w:val="AD94B3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A544B48"/>
    <w:multiLevelType w:val="hybridMultilevel"/>
    <w:tmpl w:val="BB6805EE"/>
    <w:lvl w:ilvl="0" w:tplc="2ED296A6">
      <w:start w:val="7"/>
      <w:numFmt w:val="bullet"/>
      <w:pStyle w:val="AUODRAKA"/>
      <w:lvlText w:val=""/>
      <w:lvlJc w:val="left"/>
      <w:pPr>
        <w:tabs>
          <w:tab w:val="num" w:pos="284"/>
        </w:tabs>
        <w:ind w:left="284" w:hanging="284"/>
      </w:pPr>
      <w:rPr>
        <w:rFonts w:ascii="Symbol" w:hAnsi="Symbol" w:hint="default"/>
        <w:b/>
        <w:i w:val="0"/>
        <w:color w:val="auto"/>
        <w:sz w:val="24"/>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CA340F2"/>
    <w:multiLevelType w:val="hybridMultilevel"/>
    <w:tmpl w:val="C6122906"/>
    <w:lvl w:ilvl="0" w:tplc="48CC50C0">
      <w:start w:val="1"/>
      <w:numFmt w:val="upperRoman"/>
      <w:lvlText w:val="%1."/>
      <w:lvlJc w:val="left"/>
      <w:pPr>
        <w:ind w:left="1080" w:hanging="72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43163010">
    <w:abstractNumId w:val="0"/>
  </w:num>
  <w:num w:numId="2" w16cid:durableId="656418489">
    <w:abstractNumId w:val="21"/>
  </w:num>
  <w:num w:numId="3" w16cid:durableId="1038353402">
    <w:abstractNumId w:val="28"/>
  </w:num>
  <w:num w:numId="4" w16cid:durableId="1107888832">
    <w:abstractNumId w:val="49"/>
  </w:num>
  <w:num w:numId="5" w16cid:durableId="2134517414">
    <w:abstractNumId w:val="14"/>
  </w:num>
  <w:num w:numId="6" w16cid:durableId="1381831316">
    <w:abstractNumId w:val="52"/>
  </w:num>
  <w:num w:numId="7" w16cid:durableId="10842914">
    <w:abstractNumId w:val="9"/>
  </w:num>
  <w:num w:numId="8" w16cid:durableId="581598521">
    <w:abstractNumId w:val="31"/>
  </w:num>
  <w:num w:numId="9" w16cid:durableId="1686518702">
    <w:abstractNumId w:val="42"/>
  </w:num>
  <w:num w:numId="10" w16cid:durableId="1534687570">
    <w:abstractNumId w:val="48"/>
  </w:num>
  <w:num w:numId="11" w16cid:durableId="1931885265">
    <w:abstractNumId w:val="11"/>
  </w:num>
  <w:num w:numId="12" w16cid:durableId="1357924677">
    <w:abstractNumId w:val="50"/>
  </w:num>
  <w:num w:numId="13" w16cid:durableId="383717555">
    <w:abstractNumId w:val="12"/>
  </w:num>
  <w:num w:numId="14" w16cid:durableId="495070456">
    <w:abstractNumId w:val="27"/>
  </w:num>
  <w:num w:numId="15" w16cid:durableId="2040007250">
    <w:abstractNumId w:val="2"/>
  </w:num>
  <w:num w:numId="16" w16cid:durableId="1053851273">
    <w:abstractNumId w:val="16"/>
  </w:num>
  <w:num w:numId="17" w16cid:durableId="1938246129">
    <w:abstractNumId w:val="26"/>
  </w:num>
  <w:num w:numId="18" w16cid:durableId="433601138">
    <w:abstractNumId w:val="6"/>
  </w:num>
  <w:num w:numId="19" w16cid:durableId="1387490185">
    <w:abstractNumId w:val="19"/>
  </w:num>
  <w:num w:numId="20" w16cid:durableId="1992324827">
    <w:abstractNumId w:val="24"/>
  </w:num>
  <w:num w:numId="21" w16cid:durableId="1101025377">
    <w:abstractNumId w:val="45"/>
  </w:num>
  <w:num w:numId="22" w16cid:durableId="1590772447">
    <w:abstractNumId w:val="22"/>
  </w:num>
  <w:num w:numId="23" w16cid:durableId="1147940628">
    <w:abstractNumId w:val="17"/>
  </w:num>
  <w:num w:numId="24" w16cid:durableId="1742169906">
    <w:abstractNumId w:val="41"/>
  </w:num>
  <w:num w:numId="25" w16cid:durableId="530340612">
    <w:abstractNumId w:val="18"/>
  </w:num>
  <w:num w:numId="26" w16cid:durableId="1418400861">
    <w:abstractNumId w:val="29"/>
  </w:num>
  <w:num w:numId="27" w16cid:durableId="1257326901">
    <w:abstractNumId w:val="46"/>
  </w:num>
  <w:num w:numId="28" w16cid:durableId="1162543880">
    <w:abstractNumId w:val="33"/>
  </w:num>
  <w:num w:numId="29" w16cid:durableId="234702311">
    <w:abstractNumId w:val="13"/>
  </w:num>
  <w:num w:numId="30" w16cid:durableId="589894761">
    <w:abstractNumId w:val="43"/>
  </w:num>
  <w:num w:numId="31" w16cid:durableId="584804928">
    <w:abstractNumId w:val="36"/>
  </w:num>
  <w:num w:numId="32" w16cid:durableId="45221372">
    <w:abstractNumId w:val="35"/>
  </w:num>
  <w:num w:numId="33" w16cid:durableId="487943638">
    <w:abstractNumId w:val="44"/>
  </w:num>
  <w:num w:numId="34" w16cid:durableId="2087259492">
    <w:abstractNumId w:val="15"/>
  </w:num>
  <w:num w:numId="35" w16cid:durableId="1790662475">
    <w:abstractNumId w:val="38"/>
  </w:num>
  <w:num w:numId="36" w16cid:durableId="1738506120">
    <w:abstractNumId w:val="25"/>
  </w:num>
  <w:num w:numId="37" w16cid:durableId="863247793">
    <w:abstractNumId w:val="32"/>
  </w:num>
  <w:num w:numId="38" w16cid:durableId="1614247066">
    <w:abstractNumId w:val="1"/>
  </w:num>
  <w:num w:numId="39" w16cid:durableId="130290686">
    <w:abstractNumId w:val="47"/>
  </w:num>
  <w:num w:numId="40" w16cid:durableId="2007246362">
    <w:abstractNumId w:val="23"/>
  </w:num>
  <w:num w:numId="41" w16cid:durableId="279722954">
    <w:abstractNumId w:val="4"/>
  </w:num>
  <w:num w:numId="42" w16cid:durableId="209191858">
    <w:abstractNumId w:val="10"/>
  </w:num>
  <w:num w:numId="43" w16cid:durableId="1924796813">
    <w:abstractNumId w:val="8"/>
  </w:num>
  <w:num w:numId="44" w16cid:durableId="1866946228">
    <w:abstractNumId w:val="5"/>
  </w:num>
  <w:num w:numId="45" w16cid:durableId="925335473">
    <w:abstractNumId w:val="39"/>
  </w:num>
  <w:num w:numId="46" w16cid:durableId="530188545">
    <w:abstractNumId w:val="37"/>
  </w:num>
  <w:num w:numId="47" w16cid:durableId="278924803">
    <w:abstractNumId w:val="3"/>
  </w:num>
  <w:num w:numId="48" w16cid:durableId="1757818649">
    <w:abstractNumId w:val="20"/>
  </w:num>
  <w:num w:numId="49" w16cid:durableId="214705376">
    <w:abstractNumId w:val="51"/>
  </w:num>
  <w:num w:numId="50" w16cid:durableId="57672905">
    <w:abstractNumId w:val="7"/>
  </w:num>
  <w:num w:numId="51" w16cid:durableId="406077099">
    <w:abstractNumId w:val="34"/>
  </w:num>
  <w:num w:numId="52" w16cid:durableId="1713797559">
    <w:abstractNumId w:val="40"/>
  </w:num>
  <w:num w:numId="53" w16cid:durableId="1067797898">
    <w:abstractNumId w:val="53"/>
  </w:num>
  <w:num w:numId="54" w16cid:durableId="1172380885">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DA"/>
    <w:rsid w:val="00000557"/>
    <w:rsid w:val="0000069A"/>
    <w:rsid w:val="000008A7"/>
    <w:rsid w:val="00000B96"/>
    <w:rsid w:val="0000119D"/>
    <w:rsid w:val="00001597"/>
    <w:rsid w:val="00001694"/>
    <w:rsid w:val="00001DCB"/>
    <w:rsid w:val="00001F37"/>
    <w:rsid w:val="00002234"/>
    <w:rsid w:val="000022CF"/>
    <w:rsid w:val="00002472"/>
    <w:rsid w:val="00002577"/>
    <w:rsid w:val="00002C0D"/>
    <w:rsid w:val="00002CEA"/>
    <w:rsid w:val="00002E49"/>
    <w:rsid w:val="000032A9"/>
    <w:rsid w:val="0000351F"/>
    <w:rsid w:val="00003AD2"/>
    <w:rsid w:val="00003AD9"/>
    <w:rsid w:val="00003BB3"/>
    <w:rsid w:val="00004A1B"/>
    <w:rsid w:val="00004E81"/>
    <w:rsid w:val="000051EC"/>
    <w:rsid w:val="00005B38"/>
    <w:rsid w:val="000064CA"/>
    <w:rsid w:val="00006714"/>
    <w:rsid w:val="00006745"/>
    <w:rsid w:val="00006875"/>
    <w:rsid w:val="00006A1D"/>
    <w:rsid w:val="00007292"/>
    <w:rsid w:val="0000754A"/>
    <w:rsid w:val="00007766"/>
    <w:rsid w:val="00007837"/>
    <w:rsid w:val="000079DC"/>
    <w:rsid w:val="00007AC4"/>
    <w:rsid w:val="00007FE2"/>
    <w:rsid w:val="000100A8"/>
    <w:rsid w:val="000101BD"/>
    <w:rsid w:val="000101E2"/>
    <w:rsid w:val="0001027A"/>
    <w:rsid w:val="000106CA"/>
    <w:rsid w:val="0001099F"/>
    <w:rsid w:val="00010B02"/>
    <w:rsid w:val="00010C0E"/>
    <w:rsid w:val="00010FFE"/>
    <w:rsid w:val="00011246"/>
    <w:rsid w:val="00011D8F"/>
    <w:rsid w:val="00012470"/>
    <w:rsid w:val="0001251D"/>
    <w:rsid w:val="00012CC8"/>
    <w:rsid w:val="00013269"/>
    <w:rsid w:val="000139D3"/>
    <w:rsid w:val="00013BC2"/>
    <w:rsid w:val="000140F0"/>
    <w:rsid w:val="00014A82"/>
    <w:rsid w:val="00015294"/>
    <w:rsid w:val="00015707"/>
    <w:rsid w:val="00015721"/>
    <w:rsid w:val="000158DD"/>
    <w:rsid w:val="00015C2C"/>
    <w:rsid w:val="00015DB2"/>
    <w:rsid w:val="000168B0"/>
    <w:rsid w:val="00017019"/>
    <w:rsid w:val="000175FF"/>
    <w:rsid w:val="00017BB2"/>
    <w:rsid w:val="00017CA2"/>
    <w:rsid w:val="000203E0"/>
    <w:rsid w:val="000204FA"/>
    <w:rsid w:val="00020A46"/>
    <w:rsid w:val="00020DD3"/>
    <w:rsid w:val="00020ED3"/>
    <w:rsid w:val="00020F1F"/>
    <w:rsid w:val="000214D2"/>
    <w:rsid w:val="00021864"/>
    <w:rsid w:val="00021924"/>
    <w:rsid w:val="00021C4E"/>
    <w:rsid w:val="00021D66"/>
    <w:rsid w:val="00022428"/>
    <w:rsid w:val="000225EA"/>
    <w:rsid w:val="00022CF1"/>
    <w:rsid w:val="0002301D"/>
    <w:rsid w:val="000231C6"/>
    <w:rsid w:val="00023307"/>
    <w:rsid w:val="00023330"/>
    <w:rsid w:val="0002414D"/>
    <w:rsid w:val="00024342"/>
    <w:rsid w:val="000243B3"/>
    <w:rsid w:val="00024902"/>
    <w:rsid w:val="00024CE8"/>
    <w:rsid w:val="00024EE1"/>
    <w:rsid w:val="00024EF5"/>
    <w:rsid w:val="000254CE"/>
    <w:rsid w:val="0002577C"/>
    <w:rsid w:val="00025A79"/>
    <w:rsid w:val="00026810"/>
    <w:rsid w:val="0002686E"/>
    <w:rsid w:val="00026CCC"/>
    <w:rsid w:val="00027578"/>
    <w:rsid w:val="00027757"/>
    <w:rsid w:val="000279FB"/>
    <w:rsid w:val="000300EB"/>
    <w:rsid w:val="00030216"/>
    <w:rsid w:val="0003087B"/>
    <w:rsid w:val="00031922"/>
    <w:rsid w:val="00031C00"/>
    <w:rsid w:val="00031C0D"/>
    <w:rsid w:val="00031C26"/>
    <w:rsid w:val="000321C9"/>
    <w:rsid w:val="0003259C"/>
    <w:rsid w:val="00032C49"/>
    <w:rsid w:val="00033140"/>
    <w:rsid w:val="00033D9B"/>
    <w:rsid w:val="00033F27"/>
    <w:rsid w:val="00034317"/>
    <w:rsid w:val="000346F5"/>
    <w:rsid w:val="00034798"/>
    <w:rsid w:val="000347CD"/>
    <w:rsid w:val="00034A4B"/>
    <w:rsid w:val="00035329"/>
    <w:rsid w:val="000353C6"/>
    <w:rsid w:val="00035748"/>
    <w:rsid w:val="000357B5"/>
    <w:rsid w:val="00035975"/>
    <w:rsid w:val="0003665A"/>
    <w:rsid w:val="00036712"/>
    <w:rsid w:val="000406F2"/>
    <w:rsid w:val="00040AB8"/>
    <w:rsid w:val="00040ADE"/>
    <w:rsid w:val="000410F6"/>
    <w:rsid w:val="00041296"/>
    <w:rsid w:val="000413FD"/>
    <w:rsid w:val="00041935"/>
    <w:rsid w:val="0004197E"/>
    <w:rsid w:val="00041A4E"/>
    <w:rsid w:val="00042073"/>
    <w:rsid w:val="0004257B"/>
    <w:rsid w:val="0004263B"/>
    <w:rsid w:val="000426FC"/>
    <w:rsid w:val="000427CF"/>
    <w:rsid w:val="0004347F"/>
    <w:rsid w:val="000435EE"/>
    <w:rsid w:val="000437E3"/>
    <w:rsid w:val="00043A99"/>
    <w:rsid w:val="00043AA5"/>
    <w:rsid w:val="00043AE2"/>
    <w:rsid w:val="00043CB0"/>
    <w:rsid w:val="000443AC"/>
    <w:rsid w:val="00044597"/>
    <w:rsid w:val="00044E16"/>
    <w:rsid w:val="00044F4B"/>
    <w:rsid w:val="000451AF"/>
    <w:rsid w:val="000452E5"/>
    <w:rsid w:val="00045844"/>
    <w:rsid w:val="0004595D"/>
    <w:rsid w:val="00045B12"/>
    <w:rsid w:val="00045E73"/>
    <w:rsid w:val="00045EAC"/>
    <w:rsid w:val="00046B13"/>
    <w:rsid w:val="00047550"/>
    <w:rsid w:val="0004774D"/>
    <w:rsid w:val="0004783E"/>
    <w:rsid w:val="00047A7F"/>
    <w:rsid w:val="00047B0B"/>
    <w:rsid w:val="00047C3F"/>
    <w:rsid w:val="00047E5C"/>
    <w:rsid w:val="0005037C"/>
    <w:rsid w:val="0005055D"/>
    <w:rsid w:val="0005068A"/>
    <w:rsid w:val="00050BE2"/>
    <w:rsid w:val="000515E5"/>
    <w:rsid w:val="000516A6"/>
    <w:rsid w:val="0005253F"/>
    <w:rsid w:val="00052F11"/>
    <w:rsid w:val="000532F3"/>
    <w:rsid w:val="00053419"/>
    <w:rsid w:val="0005370D"/>
    <w:rsid w:val="000539A4"/>
    <w:rsid w:val="000542D4"/>
    <w:rsid w:val="0005432B"/>
    <w:rsid w:val="00054369"/>
    <w:rsid w:val="000544E6"/>
    <w:rsid w:val="00054958"/>
    <w:rsid w:val="00054AD6"/>
    <w:rsid w:val="00054B7B"/>
    <w:rsid w:val="0005501D"/>
    <w:rsid w:val="00055CDC"/>
    <w:rsid w:val="00055D58"/>
    <w:rsid w:val="00056820"/>
    <w:rsid w:val="00056A18"/>
    <w:rsid w:val="00056AE3"/>
    <w:rsid w:val="00056CEA"/>
    <w:rsid w:val="000572DF"/>
    <w:rsid w:val="00057FBF"/>
    <w:rsid w:val="000604DD"/>
    <w:rsid w:val="00060A99"/>
    <w:rsid w:val="00060F3F"/>
    <w:rsid w:val="00061460"/>
    <w:rsid w:val="0006192C"/>
    <w:rsid w:val="00061A0D"/>
    <w:rsid w:val="00061DDE"/>
    <w:rsid w:val="00061E83"/>
    <w:rsid w:val="0006214E"/>
    <w:rsid w:val="0006217A"/>
    <w:rsid w:val="000621B0"/>
    <w:rsid w:val="000622DA"/>
    <w:rsid w:val="000628AE"/>
    <w:rsid w:val="00062A68"/>
    <w:rsid w:val="00062A9C"/>
    <w:rsid w:val="00062B11"/>
    <w:rsid w:val="00062B8C"/>
    <w:rsid w:val="00062DC1"/>
    <w:rsid w:val="00063033"/>
    <w:rsid w:val="00063C0A"/>
    <w:rsid w:val="00063E01"/>
    <w:rsid w:val="0006416E"/>
    <w:rsid w:val="00064581"/>
    <w:rsid w:val="00064B18"/>
    <w:rsid w:val="00064E3A"/>
    <w:rsid w:val="00065220"/>
    <w:rsid w:val="00065567"/>
    <w:rsid w:val="000655BA"/>
    <w:rsid w:val="0006597C"/>
    <w:rsid w:val="00065B82"/>
    <w:rsid w:val="0006602B"/>
    <w:rsid w:val="000668AF"/>
    <w:rsid w:val="00066C9E"/>
    <w:rsid w:val="00066CB4"/>
    <w:rsid w:val="00066EBC"/>
    <w:rsid w:val="000676E2"/>
    <w:rsid w:val="000679C6"/>
    <w:rsid w:val="00067C56"/>
    <w:rsid w:val="00067E26"/>
    <w:rsid w:val="00067EB4"/>
    <w:rsid w:val="00067EC7"/>
    <w:rsid w:val="0007027D"/>
    <w:rsid w:val="000707A5"/>
    <w:rsid w:val="0007096C"/>
    <w:rsid w:val="0007195F"/>
    <w:rsid w:val="0007199F"/>
    <w:rsid w:val="00071DB5"/>
    <w:rsid w:val="00071E26"/>
    <w:rsid w:val="00072168"/>
    <w:rsid w:val="0007222F"/>
    <w:rsid w:val="00072382"/>
    <w:rsid w:val="00072AB5"/>
    <w:rsid w:val="000735B2"/>
    <w:rsid w:val="00073712"/>
    <w:rsid w:val="000745B1"/>
    <w:rsid w:val="000749ED"/>
    <w:rsid w:val="00075260"/>
    <w:rsid w:val="00075279"/>
    <w:rsid w:val="00075513"/>
    <w:rsid w:val="00075628"/>
    <w:rsid w:val="000756DD"/>
    <w:rsid w:val="00075989"/>
    <w:rsid w:val="00075B6E"/>
    <w:rsid w:val="000767EC"/>
    <w:rsid w:val="00076992"/>
    <w:rsid w:val="00076C32"/>
    <w:rsid w:val="00076CFD"/>
    <w:rsid w:val="000779E6"/>
    <w:rsid w:val="00077DD2"/>
    <w:rsid w:val="00077EA7"/>
    <w:rsid w:val="00080264"/>
    <w:rsid w:val="000803A8"/>
    <w:rsid w:val="00080570"/>
    <w:rsid w:val="00080A26"/>
    <w:rsid w:val="00080BFC"/>
    <w:rsid w:val="00080F23"/>
    <w:rsid w:val="00080F94"/>
    <w:rsid w:val="00081BA3"/>
    <w:rsid w:val="00081CFB"/>
    <w:rsid w:val="0008215F"/>
    <w:rsid w:val="00082F16"/>
    <w:rsid w:val="00083590"/>
    <w:rsid w:val="00083813"/>
    <w:rsid w:val="000840B5"/>
    <w:rsid w:val="000844B4"/>
    <w:rsid w:val="0008461B"/>
    <w:rsid w:val="000849B3"/>
    <w:rsid w:val="000856FC"/>
    <w:rsid w:val="00085E7E"/>
    <w:rsid w:val="0008622B"/>
    <w:rsid w:val="00086547"/>
    <w:rsid w:val="000866C8"/>
    <w:rsid w:val="000868E1"/>
    <w:rsid w:val="00086DE8"/>
    <w:rsid w:val="00086EAB"/>
    <w:rsid w:val="0008720A"/>
    <w:rsid w:val="000872D1"/>
    <w:rsid w:val="00087840"/>
    <w:rsid w:val="000878C2"/>
    <w:rsid w:val="00087D47"/>
    <w:rsid w:val="0009097E"/>
    <w:rsid w:val="00090EA4"/>
    <w:rsid w:val="0009103B"/>
    <w:rsid w:val="0009141E"/>
    <w:rsid w:val="00091432"/>
    <w:rsid w:val="00091E4E"/>
    <w:rsid w:val="00092034"/>
    <w:rsid w:val="000921BE"/>
    <w:rsid w:val="000923B6"/>
    <w:rsid w:val="00092445"/>
    <w:rsid w:val="000924AE"/>
    <w:rsid w:val="0009292D"/>
    <w:rsid w:val="00092E6F"/>
    <w:rsid w:val="00093511"/>
    <w:rsid w:val="00093787"/>
    <w:rsid w:val="0009379D"/>
    <w:rsid w:val="00093F30"/>
    <w:rsid w:val="00093FA1"/>
    <w:rsid w:val="00093FB5"/>
    <w:rsid w:val="00094A6A"/>
    <w:rsid w:val="00094B55"/>
    <w:rsid w:val="00094CAD"/>
    <w:rsid w:val="00095312"/>
    <w:rsid w:val="0009566B"/>
    <w:rsid w:val="00095A55"/>
    <w:rsid w:val="00095E29"/>
    <w:rsid w:val="00096184"/>
    <w:rsid w:val="00096620"/>
    <w:rsid w:val="00096913"/>
    <w:rsid w:val="00096CE2"/>
    <w:rsid w:val="000A037B"/>
    <w:rsid w:val="000A065C"/>
    <w:rsid w:val="000A08F4"/>
    <w:rsid w:val="000A0BB7"/>
    <w:rsid w:val="000A1295"/>
    <w:rsid w:val="000A13D9"/>
    <w:rsid w:val="000A1427"/>
    <w:rsid w:val="000A1440"/>
    <w:rsid w:val="000A1483"/>
    <w:rsid w:val="000A166D"/>
    <w:rsid w:val="000A19B7"/>
    <w:rsid w:val="000A1DFF"/>
    <w:rsid w:val="000A20F0"/>
    <w:rsid w:val="000A214F"/>
    <w:rsid w:val="000A2552"/>
    <w:rsid w:val="000A2ADA"/>
    <w:rsid w:val="000A345C"/>
    <w:rsid w:val="000A3EAF"/>
    <w:rsid w:val="000A3F57"/>
    <w:rsid w:val="000A3FD5"/>
    <w:rsid w:val="000A411A"/>
    <w:rsid w:val="000A4DCF"/>
    <w:rsid w:val="000A5011"/>
    <w:rsid w:val="000A54CE"/>
    <w:rsid w:val="000A60C3"/>
    <w:rsid w:val="000A62F6"/>
    <w:rsid w:val="000A65BA"/>
    <w:rsid w:val="000A6710"/>
    <w:rsid w:val="000A6C5F"/>
    <w:rsid w:val="000A6C95"/>
    <w:rsid w:val="000A6EE8"/>
    <w:rsid w:val="000A6F7F"/>
    <w:rsid w:val="000A700F"/>
    <w:rsid w:val="000A742A"/>
    <w:rsid w:val="000A76D4"/>
    <w:rsid w:val="000A7894"/>
    <w:rsid w:val="000A7979"/>
    <w:rsid w:val="000A7A9F"/>
    <w:rsid w:val="000B04DF"/>
    <w:rsid w:val="000B0B19"/>
    <w:rsid w:val="000B1972"/>
    <w:rsid w:val="000B1977"/>
    <w:rsid w:val="000B1A4C"/>
    <w:rsid w:val="000B1C71"/>
    <w:rsid w:val="000B1E7C"/>
    <w:rsid w:val="000B2052"/>
    <w:rsid w:val="000B2489"/>
    <w:rsid w:val="000B2633"/>
    <w:rsid w:val="000B26E6"/>
    <w:rsid w:val="000B292B"/>
    <w:rsid w:val="000B293B"/>
    <w:rsid w:val="000B2A2B"/>
    <w:rsid w:val="000B2BD2"/>
    <w:rsid w:val="000B328A"/>
    <w:rsid w:val="000B32C5"/>
    <w:rsid w:val="000B35AC"/>
    <w:rsid w:val="000B384E"/>
    <w:rsid w:val="000B3E00"/>
    <w:rsid w:val="000B3EEB"/>
    <w:rsid w:val="000B43D3"/>
    <w:rsid w:val="000B4814"/>
    <w:rsid w:val="000B4CC7"/>
    <w:rsid w:val="000B4E9A"/>
    <w:rsid w:val="000B5590"/>
    <w:rsid w:val="000B5CE0"/>
    <w:rsid w:val="000B5EBA"/>
    <w:rsid w:val="000B5F02"/>
    <w:rsid w:val="000B5F49"/>
    <w:rsid w:val="000B6248"/>
    <w:rsid w:val="000B62EA"/>
    <w:rsid w:val="000B7271"/>
    <w:rsid w:val="000B7877"/>
    <w:rsid w:val="000B7940"/>
    <w:rsid w:val="000B7C91"/>
    <w:rsid w:val="000B7CC9"/>
    <w:rsid w:val="000C097D"/>
    <w:rsid w:val="000C0D69"/>
    <w:rsid w:val="000C0E71"/>
    <w:rsid w:val="000C0F69"/>
    <w:rsid w:val="000C111A"/>
    <w:rsid w:val="000C189C"/>
    <w:rsid w:val="000C1C59"/>
    <w:rsid w:val="000C1E73"/>
    <w:rsid w:val="000C1FD4"/>
    <w:rsid w:val="000C2026"/>
    <w:rsid w:val="000C205C"/>
    <w:rsid w:val="000C222F"/>
    <w:rsid w:val="000C2488"/>
    <w:rsid w:val="000C253E"/>
    <w:rsid w:val="000C29BD"/>
    <w:rsid w:val="000C2F52"/>
    <w:rsid w:val="000C3BE3"/>
    <w:rsid w:val="000C3F4F"/>
    <w:rsid w:val="000C3FE4"/>
    <w:rsid w:val="000C44AB"/>
    <w:rsid w:val="000C4605"/>
    <w:rsid w:val="000C464A"/>
    <w:rsid w:val="000C4E0A"/>
    <w:rsid w:val="000C4EF8"/>
    <w:rsid w:val="000C50BF"/>
    <w:rsid w:val="000C567B"/>
    <w:rsid w:val="000C5A85"/>
    <w:rsid w:val="000C5A95"/>
    <w:rsid w:val="000C5DF5"/>
    <w:rsid w:val="000C61FE"/>
    <w:rsid w:val="000C6312"/>
    <w:rsid w:val="000C6820"/>
    <w:rsid w:val="000C6AA9"/>
    <w:rsid w:val="000C6C25"/>
    <w:rsid w:val="000C708E"/>
    <w:rsid w:val="000C76F5"/>
    <w:rsid w:val="000C7DA7"/>
    <w:rsid w:val="000D007F"/>
    <w:rsid w:val="000D024B"/>
    <w:rsid w:val="000D02FA"/>
    <w:rsid w:val="000D0894"/>
    <w:rsid w:val="000D1DA9"/>
    <w:rsid w:val="000D215A"/>
    <w:rsid w:val="000D25B2"/>
    <w:rsid w:val="000D2966"/>
    <w:rsid w:val="000D2F8F"/>
    <w:rsid w:val="000D315E"/>
    <w:rsid w:val="000D36F2"/>
    <w:rsid w:val="000D38A0"/>
    <w:rsid w:val="000D3F2C"/>
    <w:rsid w:val="000D3F7E"/>
    <w:rsid w:val="000D3F82"/>
    <w:rsid w:val="000D41C1"/>
    <w:rsid w:val="000D42D0"/>
    <w:rsid w:val="000D44DE"/>
    <w:rsid w:val="000D4753"/>
    <w:rsid w:val="000D4C57"/>
    <w:rsid w:val="000D4CAA"/>
    <w:rsid w:val="000D5498"/>
    <w:rsid w:val="000D68A0"/>
    <w:rsid w:val="000D6952"/>
    <w:rsid w:val="000D703E"/>
    <w:rsid w:val="000D744A"/>
    <w:rsid w:val="000D788A"/>
    <w:rsid w:val="000D7DE0"/>
    <w:rsid w:val="000D7F75"/>
    <w:rsid w:val="000E04AC"/>
    <w:rsid w:val="000E0CCA"/>
    <w:rsid w:val="000E1611"/>
    <w:rsid w:val="000E180C"/>
    <w:rsid w:val="000E26ED"/>
    <w:rsid w:val="000E3145"/>
    <w:rsid w:val="000E322B"/>
    <w:rsid w:val="000E415F"/>
    <w:rsid w:val="000E441E"/>
    <w:rsid w:val="000E4EAC"/>
    <w:rsid w:val="000E58AB"/>
    <w:rsid w:val="000E5D15"/>
    <w:rsid w:val="000E6490"/>
    <w:rsid w:val="000E68D5"/>
    <w:rsid w:val="000E6BA3"/>
    <w:rsid w:val="000E7467"/>
    <w:rsid w:val="000E7D30"/>
    <w:rsid w:val="000E7DBD"/>
    <w:rsid w:val="000F003E"/>
    <w:rsid w:val="000F03BD"/>
    <w:rsid w:val="000F0B22"/>
    <w:rsid w:val="000F11A6"/>
    <w:rsid w:val="000F13C7"/>
    <w:rsid w:val="000F2057"/>
    <w:rsid w:val="000F2382"/>
    <w:rsid w:val="000F27FF"/>
    <w:rsid w:val="000F35BD"/>
    <w:rsid w:val="000F3E4A"/>
    <w:rsid w:val="000F4228"/>
    <w:rsid w:val="000F422C"/>
    <w:rsid w:val="000F4EA9"/>
    <w:rsid w:val="000F5AD2"/>
    <w:rsid w:val="000F5D3E"/>
    <w:rsid w:val="000F5DBD"/>
    <w:rsid w:val="000F5E4D"/>
    <w:rsid w:val="000F6344"/>
    <w:rsid w:val="000F6738"/>
    <w:rsid w:val="000F6781"/>
    <w:rsid w:val="000F68DF"/>
    <w:rsid w:val="000F6AC7"/>
    <w:rsid w:val="000F6ADF"/>
    <w:rsid w:val="0010013F"/>
    <w:rsid w:val="0010035F"/>
    <w:rsid w:val="0010058C"/>
    <w:rsid w:val="0010060F"/>
    <w:rsid w:val="0010078E"/>
    <w:rsid w:val="00100A8D"/>
    <w:rsid w:val="00101153"/>
    <w:rsid w:val="00101547"/>
    <w:rsid w:val="001020F2"/>
    <w:rsid w:val="00102232"/>
    <w:rsid w:val="00102437"/>
    <w:rsid w:val="00102A33"/>
    <w:rsid w:val="00103630"/>
    <w:rsid w:val="001036DD"/>
    <w:rsid w:val="00103B1E"/>
    <w:rsid w:val="00103E81"/>
    <w:rsid w:val="0010485D"/>
    <w:rsid w:val="001049AF"/>
    <w:rsid w:val="00104A72"/>
    <w:rsid w:val="00104B9B"/>
    <w:rsid w:val="00104C2D"/>
    <w:rsid w:val="00104CFD"/>
    <w:rsid w:val="001058DE"/>
    <w:rsid w:val="00105D32"/>
    <w:rsid w:val="00105D54"/>
    <w:rsid w:val="001061E1"/>
    <w:rsid w:val="00106CAE"/>
    <w:rsid w:val="00106DA0"/>
    <w:rsid w:val="00106E68"/>
    <w:rsid w:val="0010772C"/>
    <w:rsid w:val="00107800"/>
    <w:rsid w:val="0010783E"/>
    <w:rsid w:val="00107A4D"/>
    <w:rsid w:val="001101AE"/>
    <w:rsid w:val="00110285"/>
    <w:rsid w:val="00110593"/>
    <w:rsid w:val="00110956"/>
    <w:rsid w:val="00110E41"/>
    <w:rsid w:val="0011137D"/>
    <w:rsid w:val="001116EB"/>
    <w:rsid w:val="00111A7E"/>
    <w:rsid w:val="00111B5A"/>
    <w:rsid w:val="0011224A"/>
    <w:rsid w:val="001126D4"/>
    <w:rsid w:val="00112B3D"/>
    <w:rsid w:val="00112F79"/>
    <w:rsid w:val="0011325A"/>
    <w:rsid w:val="001135E7"/>
    <w:rsid w:val="00113C33"/>
    <w:rsid w:val="00113C81"/>
    <w:rsid w:val="00113DB3"/>
    <w:rsid w:val="00113DCB"/>
    <w:rsid w:val="00114C0F"/>
    <w:rsid w:val="00114CDB"/>
    <w:rsid w:val="00115D94"/>
    <w:rsid w:val="00116082"/>
    <w:rsid w:val="001161DF"/>
    <w:rsid w:val="00116394"/>
    <w:rsid w:val="0011644B"/>
    <w:rsid w:val="001166CE"/>
    <w:rsid w:val="00116FFF"/>
    <w:rsid w:val="001175E4"/>
    <w:rsid w:val="00117CB0"/>
    <w:rsid w:val="00117F2D"/>
    <w:rsid w:val="001200E3"/>
    <w:rsid w:val="001201BD"/>
    <w:rsid w:val="00120562"/>
    <w:rsid w:val="00120E16"/>
    <w:rsid w:val="0012104C"/>
    <w:rsid w:val="00121250"/>
    <w:rsid w:val="0012165C"/>
    <w:rsid w:val="0012219B"/>
    <w:rsid w:val="001221ED"/>
    <w:rsid w:val="00122728"/>
    <w:rsid w:val="00122D34"/>
    <w:rsid w:val="00122DE7"/>
    <w:rsid w:val="00122F83"/>
    <w:rsid w:val="001235B6"/>
    <w:rsid w:val="00123C5E"/>
    <w:rsid w:val="00123D93"/>
    <w:rsid w:val="00124302"/>
    <w:rsid w:val="001244BD"/>
    <w:rsid w:val="00125541"/>
    <w:rsid w:val="00126350"/>
    <w:rsid w:val="001265DB"/>
    <w:rsid w:val="001267EB"/>
    <w:rsid w:val="00126CF1"/>
    <w:rsid w:val="00126EF1"/>
    <w:rsid w:val="00127138"/>
    <w:rsid w:val="0012733F"/>
    <w:rsid w:val="001273B3"/>
    <w:rsid w:val="001277A6"/>
    <w:rsid w:val="00127953"/>
    <w:rsid w:val="00127991"/>
    <w:rsid w:val="00127D00"/>
    <w:rsid w:val="00130246"/>
    <w:rsid w:val="00130A16"/>
    <w:rsid w:val="001319B6"/>
    <w:rsid w:val="00131D4B"/>
    <w:rsid w:val="00132123"/>
    <w:rsid w:val="0013215A"/>
    <w:rsid w:val="001324E1"/>
    <w:rsid w:val="001325A2"/>
    <w:rsid w:val="00133702"/>
    <w:rsid w:val="00133785"/>
    <w:rsid w:val="00133BE1"/>
    <w:rsid w:val="00133C6F"/>
    <w:rsid w:val="00134215"/>
    <w:rsid w:val="00134698"/>
    <w:rsid w:val="00134D2B"/>
    <w:rsid w:val="00134DF3"/>
    <w:rsid w:val="001355A6"/>
    <w:rsid w:val="00135A82"/>
    <w:rsid w:val="00135EA3"/>
    <w:rsid w:val="00136483"/>
    <w:rsid w:val="001367B7"/>
    <w:rsid w:val="00137543"/>
    <w:rsid w:val="00137BA7"/>
    <w:rsid w:val="00137BBE"/>
    <w:rsid w:val="00137EE0"/>
    <w:rsid w:val="0014068D"/>
    <w:rsid w:val="00140979"/>
    <w:rsid w:val="0014099F"/>
    <w:rsid w:val="00140C37"/>
    <w:rsid w:val="00140FD5"/>
    <w:rsid w:val="00141138"/>
    <w:rsid w:val="001412AD"/>
    <w:rsid w:val="001414D3"/>
    <w:rsid w:val="00142042"/>
    <w:rsid w:val="0014215D"/>
    <w:rsid w:val="0014269C"/>
    <w:rsid w:val="00142EA4"/>
    <w:rsid w:val="0014363F"/>
    <w:rsid w:val="0014371D"/>
    <w:rsid w:val="001438CF"/>
    <w:rsid w:val="00143BA5"/>
    <w:rsid w:val="001443BD"/>
    <w:rsid w:val="001452D9"/>
    <w:rsid w:val="00145335"/>
    <w:rsid w:val="001455B7"/>
    <w:rsid w:val="001459BB"/>
    <w:rsid w:val="00145AC1"/>
    <w:rsid w:val="00145C48"/>
    <w:rsid w:val="00145C54"/>
    <w:rsid w:val="00145CD8"/>
    <w:rsid w:val="00145D05"/>
    <w:rsid w:val="00146040"/>
    <w:rsid w:val="0014609A"/>
    <w:rsid w:val="001468D2"/>
    <w:rsid w:val="00146C48"/>
    <w:rsid w:val="00146FEB"/>
    <w:rsid w:val="001476AE"/>
    <w:rsid w:val="001477C8"/>
    <w:rsid w:val="0014783E"/>
    <w:rsid w:val="00147CC5"/>
    <w:rsid w:val="00147E0F"/>
    <w:rsid w:val="0015002E"/>
    <w:rsid w:val="001501BE"/>
    <w:rsid w:val="0015078A"/>
    <w:rsid w:val="00150D57"/>
    <w:rsid w:val="00150D78"/>
    <w:rsid w:val="00150F27"/>
    <w:rsid w:val="001514FA"/>
    <w:rsid w:val="00151CC9"/>
    <w:rsid w:val="00151F76"/>
    <w:rsid w:val="00151FD6"/>
    <w:rsid w:val="0015210C"/>
    <w:rsid w:val="0015220A"/>
    <w:rsid w:val="001526A1"/>
    <w:rsid w:val="00152994"/>
    <w:rsid w:val="00153870"/>
    <w:rsid w:val="001548A1"/>
    <w:rsid w:val="00154930"/>
    <w:rsid w:val="00154B0C"/>
    <w:rsid w:val="00154B4B"/>
    <w:rsid w:val="00155338"/>
    <w:rsid w:val="0015556B"/>
    <w:rsid w:val="001556F5"/>
    <w:rsid w:val="00155D2D"/>
    <w:rsid w:val="001567C8"/>
    <w:rsid w:val="001569C7"/>
    <w:rsid w:val="00156A64"/>
    <w:rsid w:val="00156F31"/>
    <w:rsid w:val="00157005"/>
    <w:rsid w:val="00157A09"/>
    <w:rsid w:val="00157A43"/>
    <w:rsid w:val="00157AD3"/>
    <w:rsid w:val="00157B7D"/>
    <w:rsid w:val="0016005D"/>
    <w:rsid w:val="0016006B"/>
    <w:rsid w:val="00160220"/>
    <w:rsid w:val="001602F7"/>
    <w:rsid w:val="00161295"/>
    <w:rsid w:val="00161495"/>
    <w:rsid w:val="00161920"/>
    <w:rsid w:val="00161F2E"/>
    <w:rsid w:val="00162005"/>
    <w:rsid w:val="00162744"/>
    <w:rsid w:val="00162A7C"/>
    <w:rsid w:val="00162AD2"/>
    <w:rsid w:val="001638CA"/>
    <w:rsid w:val="00164DB5"/>
    <w:rsid w:val="00164E7A"/>
    <w:rsid w:val="00164F91"/>
    <w:rsid w:val="001655D0"/>
    <w:rsid w:val="00165D2F"/>
    <w:rsid w:val="00165E16"/>
    <w:rsid w:val="00165EBD"/>
    <w:rsid w:val="00165F7D"/>
    <w:rsid w:val="001671D9"/>
    <w:rsid w:val="001672B7"/>
    <w:rsid w:val="00167358"/>
    <w:rsid w:val="00167522"/>
    <w:rsid w:val="00167536"/>
    <w:rsid w:val="0017043E"/>
    <w:rsid w:val="00170B99"/>
    <w:rsid w:val="00170D27"/>
    <w:rsid w:val="00170FC2"/>
    <w:rsid w:val="001710C7"/>
    <w:rsid w:val="00171242"/>
    <w:rsid w:val="00171308"/>
    <w:rsid w:val="00171BF6"/>
    <w:rsid w:val="00171F82"/>
    <w:rsid w:val="0017264B"/>
    <w:rsid w:val="001728D7"/>
    <w:rsid w:val="00172968"/>
    <w:rsid w:val="00173587"/>
    <w:rsid w:val="00174604"/>
    <w:rsid w:val="0017469D"/>
    <w:rsid w:val="001746ED"/>
    <w:rsid w:val="00174A78"/>
    <w:rsid w:val="00174FF0"/>
    <w:rsid w:val="00175294"/>
    <w:rsid w:val="0017539A"/>
    <w:rsid w:val="0017556A"/>
    <w:rsid w:val="00175935"/>
    <w:rsid w:val="00175BF1"/>
    <w:rsid w:val="00175C4E"/>
    <w:rsid w:val="00175C8F"/>
    <w:rsid w:val="00176018"/>
    <w:rsid w:val="00176221"/>
    <w:rsid w:val="0017675D"/>
    <w:rsid w:val="00176789"/>
    <w:rsid w:val="00176B7D"/>
    <w:rsid w:val="00176F36"/>
    <w:rsid w:val="00177867"/>
    <w:rsid w:val="00177B1B"/>
    <w:rsid w:val="00177E92"/>
    <w:rsid w:val="001803F7"/>
    <w:rsid w:val="001804DD"/>
    <w:rsid w:val="00180519"/>
    <w:rsid w:val="00181676"/>
    <w:rsid w:val="00181873"/>
    <w:rsid w:val="00181BC8"/>
    <w:rsid w:val="00181D75"/>
    <w:rsid w:val="001822AD"/>
    <w:rsid w:val="00182A06"/>
    <w:rsid w:val="00182A15"/>
    <w:rsid w:val="00182B19"/>
    <w:rsid w:val="00182C49"/>
    <w:rsid w:val="0018313B"/>
    <w:rsid w:val="00183781"/>
    <w:rsid w:val="00183AEC"/>
    <w:rsid w:val="00184231"/>
    <w:rsid w:val="001844B4"/>
    <w:rsid w:val="0018471F"/>
    <w:rsid w:val="00184801"/>
    <w:rsid w:val="00184BA5"/>
    <w:rsid w:val="00184EF8"/>
    <w:rsid w:val="00184FC5"/>
    <w:rsid w:val="0018561C"/>
    <w:rsid w:val="00185B15"/>
    <w:rsid w:val="00187881"/>
    <w:rsid w:val="001879AD"/>
    <w:rsid w:val="00187AB7"/>
    <w:rsid w:val="00187B56"/>
    <w:rsid w:val="00187C49"/>
    <w:rsid w:val="001900B2"/>
    <w:rsid w:val="00190BD8"/>
    <w:rsid w:val="00191BB6"/>
    <w:rsid w:val="001921E4"/>
    <w:rsid w:val="001924DF"/>
    <w:rsid w:val="00192776"/>
    <w:rsid w:val="00192BA5"/>
    <w:rsid w:val="0019318D"/>
    <w:rsid w:val="0019337A"/>
    <w:rsid w:val="00193385"/>
    <w:rsid w:val="0019366B"/>
    <w:rsid w:val="00193A71"/>
    <w:rsid w:val="00193D81"/>
    <w:rsid w:val="00193EC9"/>
    <w:rsid w:val="001949B5"/>
    <w:rsid w:val="0019524F"/>
    <w:rsid w:val="001953DD"/>
    <w:rsid w:val="001954DA"/>
    <w:rsid w:val="0019557F"/>
    <w:rsid w:val="00195E99"/>
    <w:rsid w:val="0019600B"/>
    <w:rsid w:val="001960A0"/>
    <w:rsid w:val="001962E3"/>
    <w:rsid w:val="001979E5"/>
    <w:rsid w:val="00197D3C"/>
    <w:rsid w:val="001A01F1"/>
    <w:rsid w:val="001A051C"/>
    <w:rsid w:val="001A087F"/>
    <w:rsid w:val="001A10C5"/>
    <w:rsid w:val="001A158A"/>
    <w:rsid w:val="001A1612"/>
    <w:rsid w:val="001A1939"/>
    <w:rsid w:val="001A2163"/>
    <w:rsid w:val="001A316A"/>
    <w:rsid w:val="001A3692"/>
    <w:rsid w:val="001A3B6D"/>
    <w:rsid w:val="001A4383"/>
    <w:rsid w:val="001A4852"/>
    <w:rsid w:val="001A5069"/>
    <w:rsid w:val="001A51ED"/>
    <w:rsid w:val="001A53FC"/>
    <w:rsid w:val="001A5697"/>
    <w:rsid w:val="001A60E7"/>
    <w:rsid w:val="001A62E5"/>
    <w:rsid w:val="001A6306"/>
    <w:rsid w:val="001A65A8"/>
    <w:rsid w:val="001A65C1"/>
    <w:rsid w:val="001A67CA"/>
    <w:rsid w:val="001A67F0"/>
    <w:rsid w:val="001A6AE2"/>
    <w:rsid w:val="001A6B3C"/>
    <w:rsid w:val="001A6D6B"/>
    <w:rsid w:val="001A7F15"/>
    <w:rsid w:val="001B00DA"/>
    <w:rsid w:val="001B0819"/>
    <w:rsid w:val="001B08C3"/>
    <w:rsid w:val="001B1017"/>
    <w:rsid w:val="001B127A"/>
    <w:rsid w:val="001B1D2A"/>
    <w:rsid w:val="001B23B3"/>
    <w:rsid w:val="001B26CE"/>
    <w:rsid w:val="001B2D5F"/>
    <w:rsid w:val="001B2DEA"/>
    <w:rsid w:val="001B2DED"/>
    <w:rsid w:val="001B3F74"/>
    <w:rsid w:val="001B3FA4"/>
    <w:rsid w:val="001B4023"/>
    <w:rsid w:val="001B405E"/>
    <w:rsid w:val="001B431B"/>
    <w:rsid w:val="001B4651"/>
    <w:rsid w:val="001B483E"/>
    <w:rsid w:val="001B4DF0"/>
    <w:rsid w:val="001B52A9"/>
    <w:rsid w:val="001B5812"/>
    <w:rsid w:val="001B6146"/>
    <w:rsid w:val="001B64CC"/>
    <w:rsid w:val="001B6584"/>
    <w:rsid w:val="001B7052"/>
    <w:rsid w:val="001B72F3"/>
    <w:rsid w:val="001B7472"/>
    <w:rsid w:val="001B77A0"/>
    <w:rsid w:val="001B785A"/>
    <w:rsid w:val="001C039C"/>
    <w:rsid w:val="001C05AC"/>
    <w:rsid w:val="001C079C"/>
    <w:rsid w:val="001C0804"/>
    <w:rsid w:val="001C093A"/>
    <w:rsid w:val="001C10C2"/>
    <w:rsid w:val="001C179E"/>
    <w:rsid w:val="001C1B04"/>
    <w:rsid w:val="001C2511"/>
    <w:rsid w:val="001C2586"/>
    <w:rsid w:val="001C26D7"/>
    <w:rsid w:val="001C2CED"/>
    <w:rsid w:val="001C31A1"/>
    <w:rsid w:val="001C352C"/>
    <w:rsid w:val="001C3C5A"/>
    <w:rsid w:val="001C44E8"/>
    <w:rsid w:val="001C4640"/>
    <w:rsid w:val="001C4FBC"/>
    <w:rsid w:val="001C4FE1"/>
    <w:rsid w:val="001C513C"/>
    <w:rsid w:val="001C5264"/>
    <w:rsid w:val="001C5DD0"/>
    <w:rsid w:val="001C66D0"/>
    <w:rsid w:val="001C73E6"/>
    <w:rsid w:val="001C77EA"/>
    <w:rsid w:val="001C7E50"/>
    <w:rsid w:val="001D00F2"/>
    <w:rsid w:val="001D09B6"/>
    <w:rsid w:val="001D0B6D"/>
    <w:rsid w:val="001D1098"/>
    <w:rsid w:val="001D10A5"/>
    <w:rsid w:val="001D110B"/>
    <w:rsid w:val="001D1446"/>
    <w:rsid w:val="001D17CD"/>
    <w:rsid w:val="001D18DE"/>
    <w:rsid w:val="001D19E2"/>
    <w:rsid w:val="001D1A52"/>
    <w:rsid w:val="001D1AF3"/>
    <w:rsid w:val="001D1BCE"/>
    <w:rsid w:val="001D1C87"/>
    <w:rsid w:val="001D3111"/>
    <w:rsid w:val="001D3D1A"/>
    <w:rsid w:val="001D453C"/>
    <w:rsid w:val="001D53FF"/>
    <w:rsid w:val="001D569B"/>
    <w:rsid w:val="001D5B75"/>
    <w:rsid w:val="001D62B8"/>
    <w:rsid w:val="001D64AE"/>
    <w:rsid w:val="001D65B8"/>
    <w:rsid w:val="001D664A"/>
    <w:rsid w:val="001D6E0B"/>
    <w:rsid w:val="001D7967"/>
    <w:rsid w:val="001D7F5F"/>
    <w:rsid w:val="001E04F6"/>
    <w:rsid w:val="001E0A62"/>
    <w:rsid w:val="001E0DE6"/>
    <w:rsid w:val="001E1664"/>
    <w:rsid w:val="001E18CD"/>
    <w:rsid w:val="001E1B1A"/>
    <w:rsid w:val="001E1C0D"/>
    <w:rsid w:val="001E1D0E"/>
    <w:rsid w:val="001E2748"/>
    <w:rsid w:val="001E29D7"/>
    <w:rsid w:val="001E2CBE"/>
    <w:rsid w:val="001E2F8A"/>
    <w:rsid w:val="001E3194"/>
    <w:rsid w:val="001E3231"/>
    <w:rsid w:val="001E3773"/>
    <w:rsid w:val="001E40AB"/>
    <w:rsid w:val="001E465E"/>
    <w:rsid w:val="001E515C"/>
    <w:rsid w:val="001E584F"/>
    <w:rsid w:val="001E5C29"/>
    <w:rsid w:val="001E61C3"/>
    <w:rsid w:val="001E640F"/>
    <w:rsid w:val="001E6505"/>
    <w:rsid w:val="001E6815"/>
    <w:rsid w:val="001E6933"/>
    <w:rsid w:val="001E6AB7"/>
    <w:rsid w:val="001E6DD7"/>
    <w:rsid w:val="001E6E36"/>
    <w:rsid w:val="001E718B"/>
    <w:rsid w:val="001E71C6"/>
    <w:rsid w:val="001E774F"/>
    <w:rsid w:val="001E77C8"/>
    <w:rsid w:val="001E793D"/>
    <w:rsid w:val="001E7966"/>
    <w:rsid w:val="001E7D6D"/>
    <w:rsid w:val="001E7DC3"/>
    <w:rsid w:val="001E7F83"/>
    <w:rsid w:val="001F00A8"/>
    <w:rsid w:val="001F058B"/>
    <w:rsid w:val="001F0753"/>
    <w:rsid w:val="001F0798"/>
    <w:rsid w:val="001F08D6"/>
    <w:rsid w:val="001F0E3F"/>
    <w:rsid w:val="001F1F6A"/>
    <w:rsid w:val="001F22AC"/>
    <w:rsid w:val="001F2585"/>
    <w:rsid w:val="001F2787"/>
    <w:rsid w:val="001F2B72"/>
    <w:rsid w:val="001F2BFA"/>
    <w:rsid w:val="001F3378"/>
    <w:rsid w:val="001F39C0"/>
    <w:rsid w:val="001F3B99"/>
    <w:rsid w:val="001F3BE3"/>
    <w:rsid w:val="001F3F46"/>
    <w:rsid w:val="001F46F6"/>
    <w:rsid w:val="001F47C9"/>
    <w:rsid w:val="001F5475"/>
    <w:rsid w:val="001F54EB"/>
    <w:rsid w:val="001F5827"/>
    <w:rsid w:val="001F7031"/>
    <w:rsid w:val="001F716B"/>
    <w:rsid w:val="001F7362"/>
    <w:rsid w:val="001F73AD"/>
    <w:rsid w:val="001F7414"/>
    <w:rsid w:val="001F793C"/>
    <w:rsid w:val="0020009E"/>
    <w:rsid w:val="00200A9A"/>
    <w:rsid w:val="0020159B"/>
    <w:rsid w:val="00201A0B"/>
    <w:rsid w:val="00201EDA"/>
    <w:rsid w:val="00201FE6"/>
    <w:rsid w:val="00202371"/>
    <w:rsid w:val="00203649"/>
    <w:rsid w:val="00203810"/>
    <w:rsid w:val="00203DFB"/>
    <w:rsid w:val="002040EA"/>
    <w:rsid w:val="00204179"/>
    <w:rsid w:val="0020437F"/>
    <w:rsid w:val="002045D0"/>
    <w:rsid w:val="00204896"/>
    <w:rsid w:val="00204AD1"/>
    <w:rsid w:val="00204E4E"/>
    <w:rsid w:val="00204F1B"/>
    <w:rsid w:val="00205D3E"/>
    <w:rsid w:val="0020658C"/>
    <w:rsid w:val="002065C2"/>
    <w:rsid w:val="00206AA9"/>
    <w:rsid w:val="002072B2"/>
    <w:rsid w:val="00207579"/>
    <w:rsid w:val="0020788B"/>
    <w:rsid w:val="00207CE9"/>
    <w:rsid w:val="00210170"/>
    <w:rsid w:val="0021019A"/>
    <w:rsid w:val="002106FD"/>
    <w:rsid w:val="002109D3"/>
    <w:rsid w:val="00210FC4"/>
    <w:rsid w:val="00211D01"/>
    <w:rsid w:val="00211F04"/>
    <w:rsid w:val="0021229C"/>
    <w:rsid w:val="002126FA"/>
    <w:rsid w:val="002128EC"/>
    <w:rsid w:val="00212D7B"/>
    <w:rsid w:val="00213870"/>
    <w:rsid w:val="002143A6"/>
    <w:rsid w:val="002143EE"/>
    <w:rsid w:val="002144C5"/>
    <w:rsid w:val="0021498A"/>
    <w:rsid w:val="00214B87"/>
    <w:rsid w:val="0021504D"/>
    <w:rsid w:val="002153E5"/>
    <w:rsid w:val="002153F5"/>
    <w:rsid w:val="00215663"/>
    <w:rsid w:val="0021590A"/>
    <w:rsid w:val="00215B41"/>
    <w:rsid w:val="00215CA7"/>
    <w:rsid w:val="00215DC1"/>
    <w:rsid w:val="00216A82"/>
    <w:rsid w:val="0021751D"/>
    <w:rsid w:val="002176C1"/>
    <w:rsid w:val="00220553"/>
    <w:rsid w:val="00221787"/>
    <w:rsid w:val="002217F0"/>
    <w:rsid w:val="00221930"/>
    <w:rsid w:val="00221A57"/>
    <w:rsid w:val="00221AAC"/>
    <w:rsid w:val="00221E85"/>
    <w:rsid w:val="00222841"/>
    <w:rsid w:val="00222B84"/>
    <w:rsid w:val="00222C30"/>
    <w:rsid w:val="00222D59"/>
    <w:rsid w:val="00222DF7"/>
    <w:rsid w:val="00223F6F"/>
    <w:rsid w:val="002243F2"/>
    <w:rsid w:val="0022477F"/>
    <w:rsid w:val="00224D52"/>
    <w:rsid w:val="00224DB0"/>
    <w:rsid w:val="002254C2"/>
    <w:rsid w:val="00225A20"/>
    <w:rsid w:val="00225C2A"/>
    <w:rsid w:val="00225E52"/>
    <w:rsid w:val="002261DC"/>
    <w:rsid w:val="00226216"/>
    <w:rsid w:val="002268C3"/>
    <w:rsid w:val="002268E0"/>
    <w:rsid w:val="00226A09"/>
    <w:rsid w:val="00227D4F"/>
    <w:rsid w:val="00227EA1"/>
    <w:rsid w:val="0023050F"/>
    <w:rsid w:val="002310E1"/>
    <w:rsid w:val="00231536"/>
    <w:rsid w:val="00231D14"/>
    <w:rsid w:val="00231FD1"/>
    <w:rsid w:val="00232666"/>
    <w:rsid w:val="00232E11"/>
    <w:rsid w:val="00232EE9"/>
    <w:rsid w:val="00233031"/>
    <w:rsid w:val="00233E1F"/>
    <w:rsid w:val="002343BA"/>
    <w:rsid w:val="00234716"/>
    <w:rsid w:val="00234933"/>
    <w:rsid w:val="00234C9B"/>
    <w:rsid w:val="00234D65"/>
    <w:rsid w:val="00234F91"/>
    <w:rsid w:val="00234F97"/>
    <w:rsid w:val="0023500C"/>
    <w:rsid w:val="0023519D"/>
    <w:rsid w:val="002358CE"/>
    <w:rsid w:val="002359BE"/>
    <w:rsid w:val="00236091"/>
    <w:rsid w:val="002364C8"/>
    <w:rsid w:val="0023660F"/>
    <w:rsid w:val="0023688F"/>
    <w:rsid w:val="00236CE5"/>
    <w:rsid w:val="00237252"/>
    <w:rsid w:val="0023743D"/>
    <w:rsid w:val="00237D75"/>
    <w:rsid w:val="00240C6D"/>
    <w:rsid w:val="00240E21"/>
    <w:rsid w:val="0024141F"/>
    <w:rsid w:val="00241749"/>
    <w:rsid w:val="00241C84"/>
    <w:rsid w:val="00241E84"/>
    <w:rsid w:val="002424AF"/>
    <w:rsid w:val="00242B2B"/>
    <w:rsid w:val="00242F31"/>
    <w:rsid w:val="002433E1"/>
    <w:rsid w:val="002435AE"/>
    <w:rsid w:val="002438DB"/>
    <w:rsid w:val="00243B0A"/>
    <w:rsid w:val="00243E52"/>
    <w:rsid w:val="00244467"/>
    <w:rsid w:val="00244527"/>
    <w:rsid w:val="00244AE1"/>
    <w:rsid w:val="00244B49"/>
    <w:rsid w:val="002451E8"/>
    <w:rsid w:val="00245966"/>
    <w:rsid w:val="00245F26"/>
    <w:rsid w:val="00246950"/>
    <w:rsid w:val="00246FA3"/>
    <w:rsid w:val="002472A4"/>
    <w:rsid w:val="002473C0"/>
    <w:rsid w:val="00247A27"/>
    <w:rsid w:val="00247C23"/>
    <w:rsid w:val="002504E7"/>
    <w:rsid w:val="0025065F"/>
    <w:rsid w:val="00250B4C"/>
    <w:rsid w:val="0025137A"/>
    <w:rsid w:val="0025165B"/>
    <w:rsid w:val="00251897"/>
    <w:rsid w:val="00251B99"/>
    <w:rsid w:val="00251ED7"/>
    <w:rsid w:val="002526BA"/>
    <w:rsid w:val="00252862"/>
    <w:rsid w:val="00252BF4"/>
    <w:rsid w:val="00253653"/>
    <w:rsid w:val="00254E94"/>
    <w:rsid w:val="002553B4"/>
    <w:rsid w:val="00255F6A"/>
    <w:rsid w:val="002566DF"/>
    <w:rsid w:val="00256A5C"/>
    <w:rsid w:val="0025720A"/>
    <w:rsid w:val="002573A7"/>
    <w:rsid w:val="00257495"/>
    <w:rsid w:val="002576A6"/>
    <w:rsid w:val="00257B96"/>
    <w:rsid w:val="002601F8"/>
    <w:rsid w:val="00260208"/>
    <w:rsid w:val="002602E1"/>
    <w:rsid w:val="0026045C"/>
    <w:rsid w:val="00260C73"/>
    <w:rsid w:val="002613B1"/>
    <w:rsid w:val="0026208F"/>
    <w:rsid w:val="002622C0"/>
    <w:rsid w:val="00262379"/>
    <w:rsid w:val="0026258E"/>
    <w:rsid w:val="002625D1"/>
    <w:rsid w:val="00262DA4"/>
    <w:rsid w:val="002636FA"/>
    <w:rsid w:val="00263868"/>
    <w:rsid w:val="00263A86"/>
    <w:rsid w:val="00263C55"/>
    <w:rsid w:val="00264165"/>
    <w:rsid w:val="002642DB"/>
    <w:rsid w:val="00265027"/>
    <w:rsid w:val="0026594D"/>
    <w:rsid w:val="00265F07"/>
    <w:rsid w:val="00266446"/>
    <w:rsid w:val="0026691B"/>
    <w:rsid w:val="00266990"/>
    <w:rsid w:val="0026742F"/>
    <w:rsid w:val="00267BAB"/>
    <w:rsid w:val="00270017"/>
    <w:rsid w:val="002700DA"/>
    <w:rsid w:val="002704BF"/>
    <w:rsid w:val="002706DD"/>
    <w:rsid w:val="00270C17"/>
    <w:rsid w:val="00270DE9"/>
    <w:rsid w:val="00270EFC"/>
    <w:rsid w:val="002714B5"/>
    <w:rsid w:val="00271B04"/>
    <w:rsid w:val="00271C50"/>
    <w:rsid w:val="00272189"/>
    <w:rsid w:val="00272215"/>
    <w:rsid w:val="00272341"/>
    <w:rsid w:val="00272350"/>
    <w:rsid w:val="00272781"/>
    <w:rsid w:val="00272950"/>
    <w:rsid w:val="00272991"/>
    <w:rsid w:val="00272C17"/>
    <w:rsid w:val="00272EE5"/>
    <w:rsid w:val="00273592"/>
    <w:rsid w:val="002735BF"/>
    <w:rsid w:val="00273E48"/>
    <w:rsid w:val="00273F7C"/>
    <w:rsid w:val="002740B7"/>
    <w:rsid w:val="0027447F"/>
    <w:rsid w:val="0027460B"/>
    <w:rsid w:val="00274E70"/>
    <w:rsid w:val="00275559"/>
    <w:rsid w:val="0027563E"/>
    <w:rsid w:val="002757BF"/>
    <w:rsid w:val="00275BAD"/>
    <w:rsid w:val="0027617D"/>
    <w:rsid w:val="002761B1"/>
    <w:rsid w:val="0027624F"/>
    <w:rsid w:val="002765BC"/>
    <w:rsid w:val="00276613"/>
    <w:rsid w:val="00276780"/>
    <w:rsid w:val="00276828"/>
    <w:rsid w:val="00276A7D"/>
    <w:rsid w:val="00277707"/>
    <w:rsid w:val="00277728"/>
    <w:rsid w:val="0027799B"/>
    <w:rsid w:val="00277DBA"/>
    <w:rsid w:val="002800C7"/>
    <w:rsid w:val="00280907"/>
    <w:rsid w:val="00280FEB"/>
    <w:rsid w:val="00281FFE"/>
    <w:rsid w:val="0028318F"/>
    <w:rsid w:val="00283236"/>
    <w:rsid w:val="0028330C"/>
    <w:rsid w:val="002834A9"/>
    <w:rsid w:val="002843CA"/>
    <w:rsid w:val="00284C42"/>
    <w:rsid w:val="002852B4"/>
    <w:rsid w:val="002854FB"/>
    <w:rsid w:val="00285719"/>
    <w:rsid w:val="00285EDE"/>
    <w:rsid w:val="0028630E"/>
    <w:rsid w:val="00286704"/>
    <w:rsid w:val="00286A3D"/>
    <w:rsid w:val="00286AD3"/>
    <w:rsid w:val="00286C18"/>
    <w:rsid w:val="0028748E"/>
    <w:rsid w:val="002875C8"/>
    <w:rsid w:val="00287946"/>
    <w:rsid w:val="00287AC1"/>
    <w:rsid w:val="00287BD5"/>
    <w:rsid w:val="00287FE7"/>
    <w:rsid w:val="002900E9"/>
    <w:rsid w:val="002903FE"/>
    <w:rsid w:val="002910CC"/>
    <w:rsid w:val="0029119E"/>
    <w:rsid w:val="00292106"/>
    <w:rsid w:val="00292321"/>
    <w:rsid w:val="0029271E"/>
    <w:rsid w:val="0029294E"/>
    <w:rsid w:val="00292CB3"/>
    <w:rsid w:val="00292D58"/>
    <w:rsid w:val="00292DDD"/>
    <w:rsid w:val="00292DED"/>
    <w:rsid w:val="002932EF"/>
    <w:rsid w:val="002941F4"/>
    <w:rsid w:val="00294200"/>
    <w:rsid w:val="00294209"/>
    <w:rsid w:val="0029492B"/>
    <w:rsid w:val="00294E0B"/>
    <w:rsid w:val="00294E73"/>
    <w:rsid w:val="00295977"/>
    <w:rsid w:val="00295B7F"/>
    <w:rsid w:val="00295BEF"/>
    <w:rsid w:val="00295C15"/>
    <w:rsid w:val="00295EBC"/>
    <w:rsid w:val="00295F05"/>
    <w:rsid w:val="00296E76"/>
    <w:rsid w:val="00296F74"/>
    <w:rsid w:val="002971A8"/>
    <w:rsid w:val="00297E0D"/>
    <w:rsid w:val="002A01CA"/>
    <w:rsid w:val="002A0CD4"/>
    <w:rsid w:val="002A1587"/>
    <w:rsid w:val="002A15B8"/>
    <w:rsid w:val="002A193F"/>
    <w:rsid w:val="002A1C80"/>
    <w:rsid w:val="002A21FD"/>
    <w:rsid w:val="002A2209"/>
    <w:rsid w:val="002A2332"/>
    <w:rsid w:val="002A2568"/>
    <w:rsid w:val="002A257D"/>
    <w:rsid w:val="002A2A10"/>
    <w:rsid w:val="002A2A90"/>
    <w:rsid w:val="002A2AE8"/>
    <w:rsid w:val="002A2E1F"/>
    <w:rsid w:val="002A3318"/>
    <w:rsid w:val="002A3ABD"/>
    <w:rsid w:val="002A3F7D"/>
    <w:rsid w:val="002A40EC"/>
    <w:rsid w:val="002A41E1"/>
    <w:rsid w:val="002A438F"/>
    <w:rsid w:val="002A473B"/>
    <w:rsid w:val="002A4A84"/>
    <w:rsid w:val="002A4F3E"/>
    <w:rsid w:val="002A5187"/>
    <w:rsid w:val="002A5279"/>
    <w:rsid w:val="002A562B"/>
    <w:rsid w:val="002A5F23"/>
    <w:rsid w:val="002A601E"/>
    <w:rsid w:val="002A6189"/>
    <w:rsid w:val="002A68BE"/>
    <w:rsid w:val="002A68E7"/>
    <w:rsid w:val="002A6A40"/>
    <w:rsid w:val="002A6C2F"/>
    <w:rsid w:val="002B0110"/>
    <w:rsid w:val="002B0672"/>
    <w:rsid w:val="002B1218"/>
    <w:rsid w:val="002B1659"/>
    <w:rsid w:val="002B1897"/>
    <w:rsid w:val="002B1A7A"/>
    <w:rsid w:val="002B215A"/>
    <w:rsid w:val="002B28BC"/>
    <w:rsid w:val="002B2AEB"/>
    <w:rsid w:val="002B2D6E"/>
    <w:rsid w:val="002B2F59"/>
    <w:rsid w:val="002B3263"/>
    <w:rsid w:val="002B3C50"/>
    <w:rsid w:val="002B40A7"/>
    <w:rsid w:val="002B4380"/>
    <w:rsid w:val="002B4508"/>
    <w:rsid w:val="002B4A55"/>
    <w:rsid w:val="002B4AF8"/>
    <w:rsid w:val="002B55A4"/>
    <w:rsid w:val="002B5E5D"/>
    <w:rsid w:val="002B60C1"/>
    <w:rsid w:val="002B612E"/>
    <w:rsid w:val="002B68D9"/>
    <w:rsid w:val="002B6A42"/>
    <w:rsid w:val="002B6B89"/>
    <w:rsid w:val="002B7680"/>
    <w:rsid w:val="002B786D"/>
    <w:rsid w:val="002B79A0"/>
    <w:rsid w:val="002C0BD0"/>
    <w:rsid w:val="002C118F"/>
    <w:rsid w:val="002C1786"/>
    <w:rsid w:val="002C19C8"/>
    <w:rsid w:val="002C1CD7"/>
    <w:rsid w:val="002C22A0"/>
    <w:rsid w:val="002C2710"/>
    <w:rsid w:val="002C2825"/>
    <w:rsid w:val="002C2EEF"/>
    <w:rsid w:val="002C32BE"/>
    <w:rsid w:val="002C371D"/>
    <w:rsid w:val="002C3AD4"/>
    <w:rsid w:val="002C3EC3"/>
    <w:rsid w:val="002C3F46"/>
    <w:rsid w:val="002C3FF0"/>
    <w:rsid w:val="002C479A"/>
    <w:rsid w:val="002C4860"/>
    <w:rsid w:val="002C51A3"/>
    <w:rsid w:val="002C5DD6"/>
    <w:rsid w:val="002C630C"/>
    <w:rsid w:val="002C6468"/>
    <w:rsid w:val="002C6579"/>
    <w:rsid w:val="002C7377"/>
    <w:rsid w:val="002C7896"/>
    <w:rsid w:val="002D0169"/>
    <w:rsid w:val="002D0339"/>
    <w:rsid w:val="002D0790"/>
    <w:rsid w:val="002D087E"/>
    <w:rsid w:val="002D0BB5"/>
    <w:rsid w:val="002D0FEC"/>
    <w:rsid w:val="002D167A"/>
    <w:rsid w:val="002D16A3"/>
    <w:rsid w:val="002D192D"/>
    <w:rsid w:val="002D1D76"/>
    <w:rsid w:val="002D206C"/>
    <w:rsid w:val="002D340C"/>
    <w:rsid w:val="002D35FF"/>
    <w:rsid w:val="002D3F2B"/>
    <w:rsid w:val="002D4116"/>
    <w:rsid w:val="002D4727"/>
    <w:rsid w:val="002D4E0E"/>
    <w:rsid w:val="002D5101"/>
    <w:rsid w:val="002D5985"/>
    <w:rsid w:val="002D59D2"/>
    <w:rsid w:val="002D638B"/>
    <w:rsid w:val="002D6B63"/>
    <w:rsid w:val="002D75F6"/>
    <w:rsid w:val="002D7609"/>
    <w:rsid w:val="002D76C4"/>
    <w:rsid w:val="002D7F57"/>
    <w:rsid w:val="002E0764"/>
    <w:rsid w:val="002E1603"/>
    <w:rsid w:val="002E180C"/>
    <w:rsid w:val="002E1943"/>
    <w:rsid w:val="002E1C58"/>
    <w:rsid w:val="002E1C95"/>
    <w:rsid w:val="002E1E20"/>
    <w:rsid w:val="002E1E2B"/>
    <w:rsid w:val="002E216E"/>
    <w:rsid w:val="002E253C"/>
    <w:rsid w:val="002E2C96"/>
    <w:rsid w:val="002E3060"/>
    <w:rsid w:val="002E3128"/>
    <w:rsid w:val="002E3555"/>
    <w:rsid w:val="002E3675"/>
    <w:rsid w:val="002E37EF"/>
    <w:rsid w:val="002E3894"/>
    <w:rsid w:val="002E399E"/>
    <w:rsid w:val="002E4087"/>
    <w:rsid w:val="002E40B2"/>
    <w:rsid w:val="002E4818"/>
    <w:rsid w:val="002E5A20"/>
    <w:rsid w:val="002E6E4E"/>
    <w:rsid w:val="002E78B3"/>
    <w:rsid w:val="002F015B"/>
    <w:rsid w:val="002F0164"/>
    <w:rsid w:val="002F0268"/>
    <w:rsid w:val="002F035C"/>
    <w:rsid w:val="002F05DA"/>
    <w:rsid w:val="002F067D"/>
    <w:rsid w:val="002F06D8"/>
    <w:rsid w:val="002F0C68"/>
    <w:rsid w:val="002F121C"/>
    <w:rsid w:val="002F1599"/>
    <w:rsid w:val="002F1AC8"/>
    <w:rsid w:val="002F1CB7"/>
    <w:rsid w:val="002F1E96"/>
    <w:rsid w:val="002F2143"/>
    <w:rsid w:val="002F22AC"/>
    <w:rsid w:val="002F2D52"/>
    <w:rsid w:val="002F2EA3"/>
    <w:rsid w:val="002F306A"/>
    <w:rsid w:val="002F378D"/>
    <w:rsid w:val="002F4459"/>
    <w:rsid w:val="002F44D1"/>
    <w:rsid w:val="002F471F"/>
    <w:rsid w:val="002F4C05"/>
    <w:rsid w:val="002F4C47"/>
    <w:rsid w:val="002F4CDF"/>
    <w:rsid w:val="002F4DD4"/>
    <w:rsid w:val="002F5589"/>
    <w:rsid w:val="002F5A6D"/>
    <w:rsid w:val="002F5BAB"/>
    <w:rsid w:val="002F5C58"/>
    <w:rsid w:val="002F663C"/>
    <w:rsid w:val="002F6671"/>
    <w:rsid w:val="002F71F0"/>
    <w:rsid w:val="002F7251"/>
    <w:rsid w:val="002F74B1"/>
    <w:rsid w:val="002F7978"/>
    <w:rsid w:val="002F7E05"/>
    <w:rsid w:val="00300003"/>
    <w:rsid w:val="00300146"/>
    <w:rsid w:val="003001D4"/>
    <w:rsid w:val="00300C80"/>
    <w:rsid w:val="00300D4F"/>
    <w:rsid w:val="0030142C"/>
    <w:rsid w:val="003017FC"/>
    <w:rsid w:val="003018B5"/>
    <w:rsid w:val="003018E1"/>
    <w:rsid w:val="00301906"/>
    <w:rsid w:val="00301E8F"/>
    <w:rsid w:val="00302087"/>
    <w:rsid w:val="00302269"/>
    <w:rsid w:val="003026B2"/>
    <w:rsid w:val="003029C9"/>
    <w:rsid w:val="00302FB3"/>
    <w:rsid w:val="003030D4"/>
    <w:rsid w:val="003032B8"/>
    <w:rsid w:val="00303847"/>
    <w:rsid w:val="00303B35"/>
    <w:rsid w:val="00304298"/>
    <w:rsid w:val="0030432E"/>
    <w:rsid w:val="0030437F"/>
    <w:rsid w:val="0030461E"/>
    <w:rsid w:val="00304695"/>
    <w:rsid w:val="0030472F"/>
    <w:rsid w:val="003048A6"/>
    <w:rsid w:val="00305FC9"/>
    <w:rsid w:val="00306397"/>
    <w:rsid w:val="0030653D"/>
    <w:rsid w:val="00307155"/>
    <w:rsid w:val="003072C6"/>
    <w:rsid w:val="00307353"/>
    <w:rsid w:val="00307367"/>
    <w:rsid w:val="003073D4"/>
    <w:rsid w:val="003076C9"/>
    <w:rsid w:val="00307714"/>
    <w:rsid w:val="00307A00"/>
    <w:rsid w:val="00307D2B"/>
    <w:rsid w:val="00307EC8"/>
    <w:rsid w:val="00307F33"/>
    <w:rsid w:val="003106F8"/>
    <w:rsid w:val="00310C5B"/>
    <w:rsid w:val="00310EB4"/>
    <w:rsid w:val="00310F5A"/>
    <w:rsid w:val="003116C1"/>
    <w:rsid w:val="00311A73"/>
    <w:rsid w:val="00311C6D"/>
    <w:rsid w:val="00311DBD"/>
    <w:rsid w:val="003122E3"/>
    <w:rsid w:val="00312347"/>
    <w:rsid w:val="00312400"/>
    <w:rsid w:val="00312828"/>
    <w:rsid w:val="00313DEB"/>
    <w:rsid w:val="003142E7"/>
    <w:rsid w:val="00314832"/>
    <w:rsid w:val="003150B0"/>
    <w:rsid w:val="0031510A"/>
    <w:rsid w:val="00315154"/>
    <w:rsid w:val="003160BC"/>
    <w:rsid w:val="003161F5"/>
    <w:rsid w:val="00316304"/>
    <w:rsid w:val="00316408"/>
    <w:rsid w:val="0031658B"/>
    <w:rsid w:val="00316B59"/>
    <w:rsid w:val="00316E4A"/>
    <w:rsid w:val="00317903"/>
    <w:rsid w:val="00317EFE"/>
    <w:rsid w:val="003207CC"/>
    <w:rsid w:val="00320AED"/>
    <w:rsid w:val="00320D0D"/>
    <w:rsid w:val="00320F47"/>
    <w:rsid w:val="0032151A"/>
    <w:rsid w:val="00321520"/>
    <w:rsid w:val="00321ADF"/>
    <w:rsid w:val="003229CD"/>
    <w:rsid w:val="00322DC2"/>
    <w:rsid w:val="00322DD7"/>
    <w:rsid w:val="003230CF"/>
    <w:rsid w:val="003245FE"/>
    <w:rsid w:val="0032476F"/>
    <w:rsid w:val="00324F72"/>
    <w:rsid w:val="00325076"/>
    <w:rsid w:val="00325114"/>
    <w:rsid w:val="003255E2"/>
    <w:rsid w:val="0032564B"/>
    <w:rsid w:val="00325FC1"/>
    <w:rsid w:val="003262AB"/>
    <w:rsid w:val="003264D7"/>
    <w:rsid w:val="0032669E"/>
    <w:rsid w:val="00326C43"/>
    <w:rsid w:val="00327081"/>
    <w:rsid w:val="00330725"/>
    <w:rsid w:val="0033114C"/>
    <w:rsid w:val="003312F6"/>
    <w:rsid w:val="00331AF2"/>
    <w:rsid w:val="00331F4A"/>
    <w:rsid w:val="00331FF1"/>
    <w:rsid w:val="003321B7"/>
    <w:rsid w:val="00332417"/>
    <w:rsid w:val="0033258D"/>
    <w:rsid w:val="00332CE7"/>
    <w:rsid w:val="00333DEE"/>
    <w:rsid w:val="003343B0"/>
    <w:rsid w:val="00334A4A"/>
    <w:rsid w:val="00334B43"/>
    <w:rsid w:val="00334B7E"/>
    <w:rsid w:val="00334C7C"/>
    <w:rsid w:val="00334EEE"/>
    <w:rsid w:val="00334F7B"/>
    <w:rsid w:val="0033519D"/>
    <w:rsid w:val="00335222"/>
    <w:rsid w:val="00335806"/>
    <w:rsid w:val="00335A54"/>
    <w:rsid w:val="00335FE8"/>
    <w:rsid w:val="00336594"/>
    <w:rsid w:val="0033703C"/>
    <w:rsid w:val="0033736D"/>
    <w:rsid w:val="00337554"/>
    <w:rsid w:val="00337717"/>
    <w:rsid w:val="00337DB1"/>
    <w:rsid w:val="00337F26"/>
    <w:rsid w:val="0034064C"/>
    <w:rsid w:val="003407C8"/>
    <w:rsid w:val="00340B3A"/>
    <w:rsid w:val="003412B0"/>
    <w:rsid w:val="00341757"/>
    <w:rsid w:val="00341B4A"/>
    <w:rsid w:val="00341C78"/>
    <w:rsid w:val="00341D97"/>
    <w:rsid w:val="003422C5"/>
    <w:rsid w:val="0034263E"/>
    <w:rsid w:val="00342B5B"/>
    <w:rsid w:val="00342BDA"/>
    <w:rsid w:val="00342FBC"/>
    <w:rsid w:val="00343D1B"/>
    <w:rsid w:val="00343E4B"/>
    <w:rsid w:val="00344D6F"/>
    <w:rsid w:val="003451F9"/>
    <w:rsid w:val="00345A5D"/>
    <w:rsid w:val="00345BC3"/>
    <w:rsid w:val="00346968"/>
    <w:rsid w:val="00346A0A"/>
    <w:rsid w:val="00346BD4"/>
    <w:rsid w:val="00346F12"/>
    <w:rsid w:val="003474A0"/>
    <w:rsid w:val="003474AE"/>
    <w:rsid w:val="003477C4"/>
    <w:rsid w:val="00347E2B"/>
    <w:rsid w:val="00347FE0"/>
    <w:rsid w:val="00350243"/>
    <w:rsid w:val="003504B2"/>
    <w:rsid w:val="003504BE"/>
    <w:rsid w:val="003508FA"/>
    <w:rsid w:val="00351007"/>
    <w:rsid w:val="00351352"/>
    <w:rsid w:val="003515AF"/>
    <w:rsid w:val="00351EBD"/>
    <w:rsid w:val="003524FD"/>
    <w:rsid w:val="003527D8"/>
    <w:rsid w:val="0035288F"/>
    <w:rsid w:val="003531C3"/>
    <w:rsid w:val="003532F0"/>
    <w:rsid w:val="00354612"/>
    <w:rsid w:val="00354C54"/>
    <w:rsid w:val="00354CB0"/>
    <w:rsid w:val="00354E64"/>
    <w:rsid w:val="0035542F"/>
    <w:rsid w:val="003554D9"/>
    <w:rsid w:val="0035551A"/>
    <w:rsid w:val="00355615"/>
    <w:rsid w:val="00355897"/>
    <w:rsid w:val="00355C28"/>
    <w:rsid w:val="00355C44"/>
    <w:rsid w:val="00355E59"/>
    <w:rsid w:val="0035609E"/>
    <w:rsid w:val="00356135"/>
    <w:rsid w:val="00356184"/>
    <w:rsid w:val="003565EE"/>
    <w:rsid w:val="00356AC5"/>
    <w:rsid w:val="00356C66"/>
    <w:rsid w:val="00357EAC"/>
    <w:rsid w:val="003606D7"/>
    <w:rsid w:val="0036075A"/>
    <w:rsid w:val="003607EF"/>
    <w:rsid w:val="00360DAD"/>
    <w:rsid w:val="00360DE6"/>
    <w:rsid w:val="0036111F"/>
    <w:rsid w:val="0036187D"/>
    <w:rsid w:val="00362058"/>
    <w:rsid w:val="003625DA"/>
    <w:rsid w:val="00362F82"/>
    <w:rsid w:val="00363CA3"/>
    <w:rsid w:val="00363D3C"/>
    <w:rsid w:val="00363D90"/>
    <w:rsid w:val="00364485"/>
    <w:rsid w:val="003647A1"/>
    <w:rsid w:val="00365016"/>
    <w:rsid w:val="003655C0"/>
    <w:rsid w:val="0036568F"/>
    <w:rsid w:val="003658C3"/>
    <w:rsid w:val="00365A2F"/>
    <w:rsid w:val="00366501"/>
    <w:rsid w:val="00366813"/>
    <w:rsid w:val="00366F93"/>
    <w:rsid w:val="003672F4"/>
    <w:rsid w:val="00367A55"/>
    <w:rsid w:val="00367B1D"/>
    <w:rsid w:val="00367B6B"/>
    <w:rsid w:val="00367C3A"/>
    <w:rsid w:val="00367D93"/>
    <w:rsid w:val="00367F66"/>
    <w:rsid w:val="00370AD0"/>
    <w:rsid w:val="00370E20"/>
    <w:rsid w:val="00371D58"/>
    <w:rsid w:val="00372548"/>
    <w:rsid w:val="00372713"/>
    <w:rsid w:val="00372B3A"/>
    <w:rsid w:val="00373237"/>
    <w:rsid w:val="0037338D"/>
    <w:rsid w:val="00373621"/>
    <w:rsid w:val="00373647"/>
    <w:rsid w:val="00373984"/>
    <w:rsid w:val="00373A96"/>
    <w:rsid w:val="00373AEE"/>
    <w:rsid w:val="00373B8D"/>
    <w:rsid w:val="00373F2F"/>
    <w:rsid w:val="0037444E"/>
    <w:rsid w:val="003745AB"/>
    <w:rsid w:val="003745F3"/>
    <w:rsid w:val="00374B2A"/>
    <w:rsid w:val="00374B97"/>
    <w:rsid w:val="00374CAC"/>
    <w:rsid w:val="00374FEC"/>
    <w:rsid w:val="0037544F"/>
    <w:rsid w:val="003755C9"/>
    <w:rsid w:val="00375B86"/>
    <w:rsid w:val="00376127"/>
    <w:rsid w:val="00376680"/>
    <w:rsid w:val="00376A9C"/>
    <w:rsid w:val="00376BE2"/>
    <w:rsid w:val="0037713D"/>
    <w:rsid w:val="0037769C"/>
    <w:rsid w:val="003778F5"/>
    <w:rsid w:val="00377A7E"/>
    <w:rsid w:val="00377D14"/>
    <w:rsid w:val="0038098F"/>
    <w:rsid w:val="0038179A"/>
    <w:rsid w:val="00381BBE"/>
    <w:rsid w:val="00381CBB"/>
    <w:rsid w:val="003822C5"/>
    <w:rsid w:val="00383298"/>
    <w:rsid w:val="00383D98"/>
    <w:rsid w:val="00383DBD"/>
    <w:rsid w:val="00383E3D"/>
    <w:rsid w:val="00384594"/>
    <w:rsid w:val="003847D6"/>
    <w:rsid w:val="00384AEE"/>
    <w:rsid w:val="00384D0C"/>
    <w:rsid w:val="00385408"/>
    <w:rsid w:val="003865A8"/>
    <w:rsid w:val="00386E87"/>
    <w:rsid w:val="00386F66"/>
    <w:rsid w:val="00387212"/>
    <w:rsid w:val="00387BE1"/>
    <w:rsid w:val="00387CCA"/>
    <w:rsid w:val="00387E47"/>
    <w:rsid w:val="0039013A"/>
    <w:rsid w:val="003902DC"/>
    <w:rsid w:val="00390748"/>
    <w:rsid w:val="003909FA"/>
    <w:rsid w:val="00391058"/>
    <w:rsid w:val="00391B5B"/>
    <w:rsid w:val="00391F9B"/>
    <w:rsid w:val="00391FDE"/>
    <w:rsid w:val="003920D8"/>
    <w:rsid w:val="00392777"/>
    <w:rsid w:val="00392784"/>
    <w:rsid w:val="00392DFB"/>
    <w:rsid w:val="003930D8"/>
    <w:rsid w:val="0039337F"/>
    <w:rsid w:val="00393442"/>
    <w:rsid w:val="0039378A"/>
    <w:rsid w:val="00393855"/>
    <w:rsid w:val="00393E64"/>
    <w:rsid w:val="00394278"/>
    <w:rsid w:val="003948CF"/>
    <w:rsid w:val="0039490E"/>
    <w:rsid w:val="0039490F"/>
    <w:rsid w:val="00394CA5"/>
    <w:rsid w:val="00394D38"/>
    <w:rsid w:val="00394D62"/>
    <w:rsid w:val="00394E1F"/>
    <w:rsid w:val="00395151"/>
    <w:rsid w:val="00395648"/>
    <w:rsid w:val="0039602C"/>
    <w:rsid w:val="003961B6"/>
    <w:rsid w:val="00396663"/>
    <w:rsid w:val="00396CBB"/>
    <w:rsid w:val="00396D7B"/>
    <w:rsid w:val="003971DE"/>
    <w:rsid w:val="003974E3"/>
    <w:rsid w:val="0039766F"/>
    <w:rsid w:val="00397972"/>
    <w:rsid w:val="00397BB8"/>
    <w:rsid w:val="003A045A"/>
    <w:rsid w:val="003A0618"/>
    <w:rsid w:val="003A08AA"/>
    <w:rsid w:val="003A0E69"/>
    <w:rsid w:val="003A0FA7"/>
    <w:rsid w:val="003A1573"/>
    <w:rsid w:val="003A15A5"/>
    <w:rsid w:val="003A1C85"/>
    <w:rsid w:val="003A1D37"/>
    <w:rsid w:val="003A1DDA"/>
    <w:rsid w:val="003A21F9"/>
    <w:rsid w:val="003A2279"/>
    <w:rsid w:val="003A23F7"/>
    <w:rsid w:val="003A26E7"/>
    <w:rsid w:val="003A278C"/>
    <w:rsid w:val="003A396B"/>
    <w:rsid w:val="003A3A52"/>
    <w:rsid w:val="003A3A86"/>
    <w:rsid w:val="003A3C93"/>
    <w:rsid w:val="003A4041"/>
    <w:rsid w:val="003A48A6"/>
    <w:rsid w:val="003A4C03"/>
    <w:rsid w:val="003A4FC1"/>
    <w:rsid w:val="003A51AE"/>
    <w:rsid w:val="003A51CA"/>
    <w:rsid w:val="003A51D1"/>
    <w:rsid w:val="003A5241"/>
    <w:rsid w:val="003A5D79"/>
    <w:rsid w:val="003A63AC"/>
    <w:rsid w:val="003A67BC"/>
    <w:rsid w:val="003A6AE9"/>
    <w:rsid w:val="003A6F65"/>
    <w:rsid w:val="003A703C"/>
    <w:rsid w:val="003A77CE"/>
    <w:rsid w:val="003A79A0"/>
    <w:rsid w:val="003A7B53"/>
    <w:rsid w:val="003B04A3"/>
    <w:rsid w:val="003B1374"/>
    <w:rsid w:val="003B1A44"/>
    <w:rsid w:val="003B1CBE"/>
    <w:rsid w:val="003B1E4C"/>
    <w:rsid w:val="003B233F"/>
    <w:rsid w:val="003B2833"/>
    <w:rsid w:val="003B2983"/>
    <w:rsid w:val="003B2A4C"/>
    <w:rsid w:val="003B2A69"/>
    <w:rsid w:val="003B2B49"/>
    <w:rsid w:val="003B30D2"/>
    <w:rsid w:val="003B30DC"/>
    <w:rsid w:val="003B3188"/>
    <w:rsid w:val="003B3818"/>
    <w:rsid w:val="003B3D90"/>
    <w:rsid w:val="003B3DAA"/>
    <w:rsid w:val="003B411E"/>
    <w:rsid w:val="003B4B50"/>
    <w:rsid w:val="003B4D7B"/>
    <w:rsid w:val="003B4F7E"/>
    <w:rsid w:val="003B50E5"/>
    <w:rsid w:val="003B580F"/>
    <w:rsid w:val="003B5A1B"/>
    <w:rsid w:val="003B5D18"/>
    <w:rsid w:val="003B5F08"/>
    <w:rsid w:val="003B5F7A"/>
    <w:rsid w:val="003B614A"/>
    <w:rsid w:val="003B6170"/>
    <w:rsid w:val="003B67F8"/>
    <w:rsid w:val="003B68C4"/>
    <w:rsid w:val="003B6C3B"/>
    <w:rsid w:val="003B6CD0"/>
    <w:rsid w:val="003B6DAE"/>
    <w:rsid w:val="003B7129"/>
    <w:rsid w:val="003B7AC1"/>
    <w:rsid w:val="003B7B36"/>
    <w:rsid w:val="003B7CC8"/>
    <w:rsid w:val="003C056D"/>
    <w:rsid w:val="003C0908"/>
    <w:rsid w:val="003C0C07"/>
    <w:rsid w:val="003C15C4"/>
    <w:rsid w:val="003C1751"/>
    <w:rsid w:val="003C192E"/>
    <w:rsid w:val="003C1ABF"/>
    <w:rsid w:val="003C2020"/>
    <w:rsid w:val="003C280C"/>
    <w:rsid w:val="003C28FD"/>
    <w:rsid w:val="003C2958"/>
    <w:rsid w:val="003C29F5"/>
    <w:rsid w:val="003C2A9A"/>
    <w:rsid w:val="003C2EC7"/>
    <w:rsid w:val="003C35BB"/>
    <w:rsid w:val="003C37E6"/>
    <w:rsid w:val="003C400F"/>
    <w:rsid w:val="003C4C40"/>
    <w:rsid w:val="003C5259"/>
    <w:rsid w:val="003C5632"/>
    <w:rsid w:val="003C56A1"/>
    <w:rsid w:val="003C5708"/>
    <w:rsid w:val="003C58A2"/>
    <w:rsid w:val="003C5E44"/>
    <w:rsid w:val="003C6208"/>
    <w:rsid w:val="003C63A3"/>
    <w:rsid w:val="003C662C"/>
    <w:rsid w:val="003C6A02"/>
    <w:rsid w:val="003C6A1F"/>
    <w:rsid w:val="003C7752"/>
    <w:rsid w:val="003C7EF9"/>
    <w:rsid w:val="003D08AA"/>
    <w:rsid w:val="003D092F"/>
    <w:rsid w:val="003D0DA0"/>
    <w:rsid w:val="003D1190"/>
    <w:rsid w:val="003D129F"/>
    <w:rsid w:val="003D1790"/>
    <w:rsid w:val="003D185B"/>
    <w:rsid w:val="003D1CFA"/>
    <w:rsid w:val="003D1F9C"/>
    <w:rsid w:val="003D2088"/>
    <w:rsid w:val="003D21EB"/>
    <w:rsid w:val="003D2B2A"/>
    <w:rsid w:val="003D300F"/>
    <w:rsid w:val="003D3AEF"/>
    <w:rsid w:val="003D3D56"/>
    <w:rsid w:val="003D489D"/>
    <w:rsid w:val="003D4D11"/>
    <w:rsid w:val="003D4E62"/>
    <w:rsid w:val="003D5670"/>
    <w:rsid w:val="003D59CD"/>
    <w:rsid w:val="003D5AD9"/>
    <w:rsid w:val="003D5E68"/>
    <w:rsid w:val="003D6434"/>
    <w:rsid w:val="003D654F"/>
    <w:rsid w:val="003D6E7C"/>
    <w:rsid w:val="003D6F77"/>
    <w:rsid w:val="003D6FC9"/>
    <w:rsid w:val="003D7D06"/>
    <w:rsid w:val="003D7EA0"/>
    <w:rsid w:val="003E0226"/>
    <w:rsid w:val="003E06BB"/>
    <w:rsid w:val="003E0BF7"/>
    <w:rsid w:val="003E1179"/>
    <w:rsid w:val="003E171B"/>
    <w:rsid w:val="003E19FA"/>
    <w:rsid w:val="003E1B5A"/>
    <w:rsid w:val="003E1C2B"/>
    <w:rsid w:val="003E2382"/>
    <w:rsid w:val="003E274C"/>
    <w:rsid w:val="003E2CAC"/>
    <w:rsid w:val="003E330D"/>
    <w:rsid w:val="003E35E0"/>
    <w:rsid w:val="003E39B1"/>
    <w:rsid w:val="003E3DA8"/>
    <w:rsid w:val="003E3F40"/>
    <w:rsid w:val="003E51BC"/>
    <w:rsid w:val="003E5FB0"/>
    <w:rsid w:val="003E68D0"/>
    <w:rsid w:val="003E720D"/>
    <w:rsid w:val="003E73D6"/>
    <w:rsid w:val="003E7D39"/>
    <w:rsid w:val="003F026B"/>
    <w:rsid w:val="003F09E2"/>
    <w:rsid w:val="003F10A1"/>
    <w:rsid w:val="003F1290"/>
    <w:rsid w:val="003F165A"/>
    <w:rsid w:val="003F1E92"/>
    <w:rsid w:val="003F20AD"/>
    <w:rsid w:val="003F21C1"/>
    <w:rsid w:val="003F2560"/>
    <w:rsid w:val="003F26B5"/>
    <w:rsid w:val="003F2C1F"/>
    <w:rsid w:val="003F2E0C"/>
    <w:rsid w:val="003F2EB4"/>
    <w:rsid w:val="003F3505"/>
    <w:rsid w:val="003F3565"/>
    <w:rsid w:val="003F35AE"/>
    <w:rsid w:val="003F397A"/>
    <w:rsid w:val="003F41FA"/>
    <w:rsid w:val="003F4379"/>
    <w:rsid w:val="003F4462"/>
    <w:rsid w:val="003F466A"/>
    <w:rsid w:val="003F469A"/>
    <w:rsid w:val="003F46E8"/>
    <w:rsid w:val="003F49A3"/>
    <w:rsid w:val="003F4C74"/>
    <w:rsid w:val="003F4F9A"/>
    <w:rsid w:val="003F5660"/>
    <w:rsid w:val="003F5A37"/>
    <w:rsid w:val="003F5CB5"/>
    <w:rsid w:val="003F5CD1"/>
    <w:rsid w:val="003F5F66"/>
    <w:rsid w:val="003F6B52"/>
    <w:rsid w:val="003F6D22"/>
    <w:rsid w:val="003F7A78"/>
    <w:rsid w:val="004010BF"/>
    <w:rsid w:val="00401385"/>
    <w:rsid w:val="0040156C"/>
    <w:rsid w:val="004020D1"/>
    <w:rsid w:val="00402218"/>
    <w:rsid w:val="004024D1"/>
    <w:rsid w:val="004026E9"/>
    <w:rsid w:val="004028F4"/>
    <w:rsid w:val="004030DA"/>
    <w:rsid w:val="004033F1"/>
    <w:rsid w:val="0040345A"/>
    <w:rsid w:val="00403F49"/>
    <w:rsid w:val="00404412"/>
    <w:rsid w:val="0040451C"/>
    <w:rsid w:val="00404574"/>
    <w:rsid w:val="004046E8"/>
    <w:rsid w:val="00404907"/>
    <w:rsid w:val="00404B29"/>
    <w:rsid w:val="0040515E"/>
    <w:rsid w:val="00405526"/>
    <w:rsid w:val="004056B3"/>
    <w:rsid w:val="00405A8D"/>
    <w:rsid w:val="00405D35"/>
    <w:rsid w:val="00405F4D"/>
    <w:rsid w:val="00405FB5"/>
    <w:rsid w:val="0040633D"/>
    <w:rsid w:val="00406513"/>
    <w:rsid w:val="00406A38"/>
    <w:rsid w:val="00406AC7"/>
    <w:rsid w:val="00406E4C"/>
    <w:rsid w:val="00406EA1"/>
    <w:rsid w:val="00407B20"/>
    <w:rsid w:val="00407F16"/>
    <w:rsid w:val="004108FD"/>
    <w:rsid w:val="00410E2C"/>
    <w:rsid w:val="0041151B"/>
    <w:rsid w:val="004119DF"/>
    <w:rsid w:val="00411AB7"/>
    <w:rsid w:val="004121C6"/>
    <w:rsid w:val="0041284C"/>
    <w:rsid w:val="00412C93"/>
    <w:rsid w:val="004131C4"/>
    <w:rsid w:val="00413D56"/>
    <w:rsid w:val="00414475"/>
    <w:rsid w:val="0041483B"/>
    <w:rsid w:val="00414BA1"/>
    <w:rsid w:val="00414BF1"/>
    <w:rsid w:val="00414C06"/>
    <w:rsid w:val="00414CE5"/>
    <w:rsid w:val="00415142"/>
    <w:rsid w:val="00415165"/>
    <w:rsid w:val="00415172"/>
    <w:rsid w:val="004158FC"/>
    <w:rsid w:val="00415DC8"/>
    <w:rsid w:val="0041614A"/>
    <w:rsid w:val="00416328"/>
    <w:rsid w:val="004168CF"/>
    <w:rsid w:val="00417A97"/>
    <w:rsid w:val="00420766"/>
    <w:rsid w:val="00420891"/>
    <w:rsid w:val="00420C9F"/>
    <w:rsid w:val="00420F4B"/>
    <w:rsid w:val="00420FC4"/>
    <w:rsid w:val="004217FA"/>
    <w:rsid w:val="00421B55"/>
    <w:rsid w:val="00421D04"/>
    <w:rsid w:val="00421D0B"/>
    <w:rsid w:val="00421E76"/>
    <w:rsid w:val="00421EAB"/>
    <w:rsid w:val="00421F07"/>
    <w:rsid w:val="00422783"/>
    <w:rsid w:val="0042287E"/>
    <w:rsid w:val="00422B0D"/>
    <w:rsid w:val="00422B5D"/>
    <w:rsid w:val="0042355B"/>
    <w:rsid w:val="0042401F"/>
    <w:rsid w:val="00424809"/>
    <w:rsid w:val="00424B41"/>
    <w:rsid w:val="00424DA5"/>
    <w:rsid w:val="00424ECE"/>
    <w:rsid w:val="004250C0"/>
    <w:rsid w:val="004257AE"/>
    <w:rsid w:val="00425E4D"/>
    <w:rsid w:val="00426014"/>
    <w:rsid w:val="00426C14"/>
    <w:rsid w:val="00426E84"/>
    <w:rsid w:val="0042745C"/>
    <w:rsid w:val="0042760A"/>
    <w:rsid w:val="00430461"/>
    <w:rsid w:val="00430817"/>
    <w:rsid w:val="00430830"/>
    <w:rsid w:val="00430C0F"/>
    <w:rsid w:val="00430CFC"/>
    <w:rsid w:val="0043147A"/>
    <w:rsid w:val="004314DE"/>
    <w:rsid w:val="004314FC"/>
    <w:rsid w:val="0043177C"/>
    <w:rsid w:val="00431E0F"/>
    <w:rsid w:val="00431EE4"/>
    <w:rsid w:val="00432383"/>
    <w:rsid w:val="004324EC"/>
    <w:rsid w:val="004329FA"/>
    <w:rsid w:val="00432F4D"/>
    <w:rsid w:val="004332DD"/>
    <w:rsid w:val="00433C0B"/>
    <w:rsid w:val="0043413C"/>
    <w:rsid w:val="00434216"/>
    <w:rsid w:val="00434DCC"/>
    <w:rsid w:val="004352EA"/>
    <w:rsid w:val="00435616"/>
    <w:rsid w:val="004357C6"/>
    <w:rsid w:val="004359BF"/>
    <w:rsid w:val="004359DD"/>
    <w:rsid w:val="00435B31"/>
    <w:rsid w:val="00435F28"/>
    <w:rsid w:val="00436043"/>
    <w:rsid w:val="0043646A"/>
    <w:rsid w:val="0043648A"/>
    <w:rsid w:val="00436A97"/>
    <w:rsid w:val="00436C27"/>
    <w:rsid w:val="004370C5"/>
    <w:rsid w:val="004371AF"/>
    <w:rsid w:val="004373A0"/>
    <w:rsid w:val="00437BFC"/>
    <w:rsid w:val="00437E41"/>
    <w:rsid w:val="004409C5"/>
    <w:rsid w:val="00440C84"/>
    <w:rsid w:val="00441897"/>
    <w:rsid w:val="004418CF"/>
    <w:rsid w:val="00441B03"/>
    <w:rsid w:val="0044227E"/>
    <w:rsid w:val="00442337"/>
    <w:rsid w:val="004433E3"/>
    <w:rsid w:val="00443A3A"/>
    <w:rsid w:val="00443EB7"/>
    <w:rsid w:val="004440F2"/>
    <w:rsid w:val="0044429C"/>
    <w:rsid w:val="004446A1"/>
    <w:rsid w:val="00445EC8"/>
    <w:rsid w:val="00445F9D"/>
    <w:rsid w:val="00445FB8"/>
    <w:rsid w:val="004462E4"/>
    <w:rsid w:val="00446FF9"/>
    <w:rsid w:val="004473CC"/>
    <w:rsid w:val="00447A1B"/>
    <w:rsid w:val="00447D4D"/>
    <w:rsid w:val="00447F14"/>
    <w:rsid w:val="00450B0D"/>
    <w:rsid w:val="00450B6A"/>
    <w:rsid w:val="00450BEE"/>
    <w:rsid w:val="00451B88"/>
    <w:rsid w:val="00451D04"/>
    <w:rsid w:val="00452163"/>
    <w:rsid w:val="0045273C"/>
    <w:rsid w:val="00452DE5"/>
    <w:rsid w:val="004538BB"/>
    <w:rsid w:val="00453A34"/>
    <w:rsid w:val="00453B76"/>
    <w:rsid w:val="00453DAE"/>
    <w:rsid w:val="00453FDE"/>
    <w:rsid w:val="004541E2"/>
    <w:rsid w:val="004547FA"/>
    <w:rsid w:val="00454828"/>
    <w:rsid w:val="00454DE9"/>
    <w:rsid w:val="004552E8"/>
    <w:rsid w:val="00455312"/>
    <w:rsid w:val="004553F4"/>
    <w:rsid w:val="00455973"/>
    <w:rsid w:val="00455C11"/>
    <w:rsid w:val="00455C78"/>
    <w:rsid w:val="00456339"/>
    <w:rsid w:val="00456926"/>
    <w:rsid w:val="00456B1E"/>
    <w:rsid w:val="00456CAB"/>
    <w:rsid w:val="004578B2"/>
    <w:rsid w:val="004579D7"/>
    <w:rsid w:val="00457C98"/>
    <w:rsid w:val="00460360"/>
    <w:rsid w:val="0046037C"/>
    <w:rsid w:val="00460781"/>
    <w:rsid w:val="00461035"/>
    <w:rsid w:val="00461581"/>
    <w:rsid w:val="00461C64"/>
    <w:rsid w:val="00461F0E"/>
    <w:rsid w:val="00462405"/>
    <w:rsid w:val="00462443"/>
    <w:rsid w:val="004627C9"/>
    <w:rsid w:val="004629C3"/>
    <w:rsid w:val="00462B4E"/>
    <w:rsid w:val="00462BBE"/>
    <w:rsid w:val="00462CEE"/>
    <w:rsid w:val="00463A83"/>
    <w:rsid w:val="00463CBD"/>
    <w:rsid w:val="00463ED0"/>
    <w:rsid w:val="00464719"/>
    <w:rsid w:val="004649C4"/>
    <w:rsid w:val="00464A30"/>
    <w:rsid w:val="00465074"/>
    <w:rsid w:val="0046541F"/>
    <w:rsid w:val="00465460"/>
    <w:rsid w:val="00465479"/>
    <w:rsid w:val="00465752"/>
    <w:rsid w:val="00465820"/>
    <w:rsid w:val="00465FF0"/>
    <w:rsid w:val="00466357"/>
    <w:rsid w:val="00466621"/>
    <w:rsid w:val="00466628"/>
    <w:rsid w:val="004668E2"/>
    <w:rsid w:val="00467030"/>
    <w:rsid w:val="00467663"/>
    <w:rsid w:val="0046772E"/>
    <w:rsid w:val="00467798"/>
    <w:rsid w:val="0047020D"/>
    <w:rsid w:val="00470EFC"/>
    <w:rsid w:val="00471295"/>
    <w:rsid w:val="00471813"/>
    <w:rsid w:val="00471EA9"/>
    <w:rsid w:val="004721A1"/>
    <w:rsid w:val="00472AF8"/>
    <w:rsid w:val="00472D5D"/>
    <w:rsid w:val="00473889"/>
    <w:rsid w:val="00473A35"/>
    <w:rsid w:val="004744B0"/>
    <w:rsid w:val="004744DA"/>
    <w:rsid w:val="004751E3"/>
    <w:rsid w:val="00475741"/>
    <w:rsid w:val="00475879"/>
    <w:rsid w:val="00475C8B"/>
    <w:rsid w:val="00475E28"/>
    <w:rsid w:val="004762EC"/>
    <w:rsid w:val="00476813"/>
    <w:rsid w:val="004768AA"/>
    <w:rsid w:val="00476B79"/>
    <w:rsid w:val="00476E56"/>
    <w:rsid w:val="00477C90"/>
    <w:rsid w:val="00477FAC"/>
    <w:rsid w:val="00480EAF"/>
    <w:rsid w:val="00481714"/>
    <w:rsid w:val="00481E87"/>
    <w:rsid w:val="00481FD4"/>
    <w:rsid w:val="0048239B"/>
    <w:rsid w:val="00482B93"/>
    <w:rsid w:val="00482C80"/>
    <w:rsid w:val="00482E83"/>
    <w:rsid w:val="00483111"/>
    <w:rsid w:val="0048368A"/>
    <w:rsid w:val="00483BF4"/>
    <w:rsid w:val="004844AE"/>
    <w:rsid w:val="00484872"/>
    <w:rsid w:val="0048496F"/>
    <w:rsid w:val="00484D79"/>
    <w:rsid w:val="00484DF7"/>
    <w:rsid w:val="004855C0"/>
    <w:rsid w:val="0048586D"/>
    <w:rsid w:val="00485992"/>
    <w:rsid w:val="0048646F"/>
    <w:rsid w:val="0048654D"/>
    <w:rsid w:val="0048658F"/>
    <w:rsid w:val="00486698"/>
    <w:rsid w:val="004877CC"/>
    <w:rsid w:val="00487AFC"/>
    <w:rsid w:val="00487D0F"/>
    <w:rsid w:val="00487F61"/>
    <w:rsid w:val="00487FCE"/>
    <w:rsid w:val="0049015C"/>
    <w:rsid w:val="004903BC"/>
    <w:rsid w:val="00490457"/>
    <w:rsid w:val="00490E37"/>
    <w:rsid w:val="004912F6"/>
    <w:rsid w:val="00491670"/>
    <w:rsid w:val="004918F4"/>
    <w:rsid w:val="004919FA"/>
    <w:rsid w:val="00491E1E"/>
    <w:rsid w:val="004921E5"/>
    <w:rsid w:val="00493B7C"/>
    <w:rsid w:val="00493BAF"/>
    <w:rsid w:val="0049416E"/>
    <w:rsid w:val="004944CC"/>
    <w:rsid w:val="004944F2"/>
    <w:rsid w:val="004950C4"/>
    <w:rsid w:val="004959C4"/>
    <w:rsid w:val="00495B20"/>
    <w:rsid w:val="00495E4A"/>
    <w:rsid w:val="00496B75"/>
    <w:rsid w:val="00496E95"/>
    <w:rsid w:val="004972CB"/>
    <w:rsid w:val="004A0335"/>
    <w:rsid w:val="004A0410"/>
    <w:rsid w:val="004A05C2"/>
    <w:rsid w:val="004A05D5"/>
    <w:rsid w:val="004A10F9"/>
    <w:rsid w:val="004A142D"/>
    <w:rsid w:val="004A1453"/>
    <w:rsid w:val="004A1514"/>
    <w:rsid w:val="004A15A3"/>
    <w:rsid w:val="004A19B1"/>
    <w:rsid w:val="004A1C08"/>
    <w:rsid w:val="004A1DF5"/>
    <w:rsid w:val="004A20D8"/>
    <w:rsid w:val="004A3899"/>
    <w:rsid w:val="004A397A"/>
    <w:rsid w:val="004A3F9F"/>
    <w:rsid w:val="004A4049"/>
    <w:rsid w:val="004A4576"/>
    <w:rsid w:val="004A4E17"/>
    <w:rsid w:val="004A54A6"/>
    <w:rsid w:val="004A5D84"/>
    <w:rsid w:val="004A6802"/>
    <w:rsid w:val="004A6E99"/>
    <w:rsid w:val="004A6F69"/>
    <w:rsid w:val="004A7AEF"/>
    <w:rsid w:val="004B0037"/>
    <w:rsid w:val="004B0061"/>
    <w:rsid w:val="004B0534"/>
    <w:rsid w:val="004B0A74"/>
    <w:rsid w:val="004B0CE1"/>
    <w:rsid w:val="004B0E82"/>
    <w:rsid w:val="004B0F21"/>
    <w:rsid w:val="004B10CC"/>
    <w:rsid w:val="004B119A"/>
    <w:rsid w:val="004B11C7"/>
    <w:rsid w:val="004B139D"/>
    <w:rsid w:val="004B141A"/>
    <w:rsid w:val="004B1861"/>
    <w:rsid w:val="004B21C4"/>
    <w:rsid w:val="004B22DA"/>
    <w:rsid w:val="004B2A32"/>
    <w:rsid w:val="004B2B43"/>
    <w:rsid w:val="004B2F55"/>
    <w:rsid w:val="004B3322"/>
    <w:rsid w:val="004B3493"/>
    <w:rsid w:val="004B3745"/>
    <w:rsid w:val="004B3F49"/>
    <w:rsid w:val="004B43D0"/>
    <w:rsid w:val="004B44D5"/>
    <w:rsid w:val="004B45F3"/>
    <w:rsid w:val="004B4601"/>
    <w:rsid w:val="004B4F18"/>
    <w:rsid w:val="004B5660"/>
    <w:rsid w:val="004B5E15"/>
    <w:rsid w:val="004B6047"/>
    <w:rsid w:val="004B630C"/>
    <w:rsid w:val="004B6325"/>
    <w:rsid w:val="004B65E9"/>
    <w:rsid w:val="004B6A3C"/>
    <w:rsid w:val="004B6CF8"/>
    <w:rsid w:val="004B6D6B"/>
    <w:rsid w:val="004B6F27"/>
    <w:rsid w:val="004B771D"/>
    <w:rsid w:val="004B79BD"/>
    <w:rsid w:val="004B7A05"/>
    <w:rsid w:val="004B7A21"/>
    <w:rsid w:val="004B7FC3"/>
    <w:rsid w:val="004C0699"/>
    <w:rsid w:val="004C06A7"/>
    <w:rsid w:val="004C0825"/>
    <w:rsid w:val="004C0954"/>
    <w:rsid w:val="004C0960"/>
    <w:rsid w:val="004C0A34"/>
    <w:rsid w:val="004C0D4D"/>
    <w:rsid w:val="004C1176"/>
    <w:rsid w:val="004C1752"/>
    <w:rsid w:val="004C1B8A"/>
    <w:rsid w:val="004C21C7"/>
    <w:rsid w:val="004C2617"/>
    <w:rsid w:val="004C289B"/>
    <w:rsid w:val="004C2D86"/>
    <w:rsid w:val="004C336C"/>
    <w:rsid w:val="004C33DB"/>
    <w:rsid w:val="004C376F"/>
    <w:rsid w:val="004C384A"/>
    <w:rsid w:val="004C3BD0"/>
    <w:rsid w:val="004C3F82"/>
    <w:rsid w:val="004C50C0"/>
    <w:rsid w:val="004C51F9"/>
    <w:rsid w:val="004C56FC"/>
    <w:rsid w:val="004C5F70"/>
    <w:rsid w:val="004C64E0"/>
    <w:rsid w:val="004C7BB4"/>
    <w:rsid w:val="004C7CEA"/>
    <w:rsid w:val="004D008E"/>
    <w:rsid w:val="004D02C8"/>
    <w:rsid w:val="004D0EB2"/>
    <w:rsid w:val="004D130B"/>
    <w:rsid w:val="004D1D1E"/>
    <w:rsid w:val="004D1FA2"/>
    <w:rsid w:val="004D21E6"/>
    <w:rsid w:val="004D231C"/>
    <w:rsid w:val="004D247D"/>
    <w:rsid w:val="004D317C"/>
    <w:rsid w:val="004D34A9"/>
    <w:rsid w:val="004D35D0"/>
    <w:rsid w:val="004D3974"/>
    <w:rsid w:val="004D4682"/>
    <w:rsid w:val="004D46BA"/>
    <w:rsid w:val="004D46D5"/>
    <w:rsid w:val="004D4796"/>
    <w:rsid w:val="004D48A2"/>
    <w:rsid w:val="004D50F7"/>
    <w:rsid w:val="004D548F"/>
    <w:rsid w:val="004D54E5"/>
    <w:rsid w:val="004D5CC7"/>
    <w:rsid w:val="004D61AF"/>
    <w:rsid w:val="004D678D"/>
    <w:rsid w:val="004D6A13"/>
    <w:rsid w:val="004D6D72"/>
    <w:rsid w:val="004D7114"/>
    <w:rsid w:val="004D761E"/>
    <w:rsid w:val="004D7A22"/>
    <w:rsid w:val="004D7D2C"/>
    <w:rsid w:val="004E1747"/>
    <w:rsid w:val="004E276D"/>
    <w:rsid w:val="004E29A1"/>
    <w:rsid w:val="004E29A7"/>
    <w:rsid w:val="004E2AEC"/>
    <w:rsid w:val="004E2C2C"/>
    <w:rsid w:val="004E329B"/>
    <w:rsid w:val="004E36DE"/>
    <w:rsid w:val="004E3B4B"/>
    <w:rsid w:val="004E5776"/>
    <w:rsid w:val="004E577A"/>
    <w:rsid w:val="004E5BC3"/>
    <w:rsid w:val="004E64AB"/>
    <w:rsid w:val="004E6531"/>
    <w:rsid w:val="004E6749"/>
    <w:rsid w:val="004E67A6"/>
    <w:rsid w:val="004E67BE"/>
    <w:rsid w:val="004E6A25"/>
    <w:rsid w:val="004E6C0A"/>
    <w:rsid w:val="004E7428"/>
    <w:rsid w:val="004E78A5"/>
    <w:rsid w:val="004E7ACE"/>
    <w:rsid w:val="004E7E72"/>
    <w:rsid w:val="004F05A1"/>
    <w:rsid w:val="004F1452"/>
    <w:rsid w:val="004F152F"/>
    <w:rsid w:val="004F1890"/>
    <w:rsid w:val="004F1951"/>
    <w:rsid w:val="004F1C60"/>
    <w:rsid w:val="004F1C6B"/>
    <w:rsid w:val="004F1E5F"/>
    <w:rsid w:val="004F23B9"/>
    <w:rsid w:val="004F2550"/>
    <w:rsid w:val="004F2EDA"/>
    <w:rsid w:val="004F3111"/>
    <w:rsid w:val="004F33EE"/>
    <w:rsid w:val="004F3823"/>
    <w:rsid w:val="004F3917"/>
    <w:rsid w:val="004F3EF4"/>
    <w:rsid w:val="004F4756"/>
    <w:rsid w:val="004F4FB7"/>
    <w:rsid w:val="004F51A4"/>
    <w:rsid w:val="004F5471"/>
    <w:rsid w:val="004F5591"/>
    <w:rsid w:val="004F5757"/>
    <w:rsid w:val="004F58DA"/>
    <w:rsid w:val="004F5D59"/>
    <w:rsid w:val="004F5E22"/>
    <w:rsid w:val="004F643F"/>
    <w:rsid w:val="004F679C"/>
    <w:rsid w:val="004F691B"/>
    <w:rsid w:val="004F6A38"/>
    <w:rsid w:val="004F6CAB"/>
    <w:rsid w:val="004F6CED"/>
    <w:rsid w:val="004F7342"/>
    <w:rsid w:val="004F75AD"/>
    <w:rsid w:val="004F7B76"/>
    <w:rsid w:val="004F7C4A"/>
    <w:rsid w:val="00500AC5"/>
    <w:rsid w:val="00500F16"/>
    <w:rsid w:val="00500FAA"/>
    <w:rsid w:val="0050139A"/>
    <w:rsid w:val="005013AA"/>
    <w:rsid w:val="00501B83"/>
    <w:rsid w:val="0050290D"/>
    <w:rsid w:val="0050303A"/>
    <w:rsid w:val="005031BD"/>
    <w:rsid w:val="005032AF"/>
    <w:rsid w:val="00503374"/>
    <w:rsid w:val="005038A5"/>
    <w:rsid w:val="00504393"/>
    <w:rsid w:val="0050495F"/>
    <w:rsid w:val="00505420"/>
    <w:rsid w:val="005055CC"/>
    <w:rsid w:val="00505684"/>
    <w:rsid w:val="00505763"/>
    <w:rsid w:val="00505C0F"/>
    <w:rsid w:val="005067D4"/>
    <w:rsid w:val="00506A0E"/>
    <w:rsid w:val="00506A1E"/>
    <w:rsid w:val="00506DBA"/>
    <w:rsid w:val="005073A7"/>
    <w:rsid w:val="00507668"/>
    <w:rsid w:val="00507F8A"/>
    <w:rsid w:val="005105E5"/>
    <w:rsid w:val="00511080"/>
    <w:rsid w:val="005115BA"/>
    <w:rsid w:val="00511891"/>
    <w:rsid w:val="00511A77"/>
    <w:rsid w:val="005124B6"/>
    <w:rsid w:val="005125C6"/>
    <w:rsid w:val="00512723"/>
    <w:rsid w:val="0051276B"/>
    <w:rsid w:val="005127D8"/>
    <w:rsid w:val="00512C2B"/>
    <w:rsid w:val="00512CC6"/>
    <w:rsid w:val="005130D3"/>
    <w:rsid w:val="0051334A"/>
    <w:rsid w:val="005133E1"/>
    <w:rsid w:val="0051368B"/>
    <w:rsid w:val="005138B3"/>
    <w:rsid w:val="00513F9F"/>
    <w:rsid w:val="00514498"/>
    <w:rsid w:val="00514791"/>
    <w:rsid w:val="0051487F"/>
    <w:rsid w:val="0051493C"/>
    <w:rsid w:val="0051497E"/>
    <w:rsid w:val="00514CCC"/>
    <w:rsid w:val="0051506A"/>
    <w:rsid w:val="0051525C"/>
    <w:rsid w:val="00516114"/>
    <w:rsid w:val="00516872"/>
    <w:rsid w:val="0051695F"/>
    <w:rsid w:val="0051705C"/>
    <w:rsid w:val="00517171"/>
    <w:rsid w:val="0051732C"/>
    <w:rsid w:val="00517645"/>
    <w:rsid w:val="00517D2E"/>
    <w:rsid w:val="00517F38"/>
    <w:rsid w:val="00520691"/>
    <w:rsid w:val="00520912"/>
    <w:rsid w:val="00520BF5"/>
    <w:rsid w:val="005210E1"/>
    <w:rsid w:val="0052119F"/>
    <w:rsid w:val="00521B99"/>
    <w:rsid w:val="005234B0"/>
    <w:rsid w:val="00523C07"/>
    <w:rsid w:val="00523D99"/>
    <w:rsid w:val="00523E05"/>
    <w:rsid w:val="00524848"/>
    <w:rsid w:val="00524C16"/>
    <w:rsid w:val="00524F47"/>
    <w:rsid w:val="00524F93"/>
    <w:rsid w:val="0052574C"/>
    <w:rsid w:val="0053059A"/>
    <w:rsid w:val="005313ED"/>
    <w:rsid w:val="005316CB"/>
    <w:rsid w:val="005317D7"/>
    <w:rsid w:val="00531AD5"/>
    <w:rsid w:val="00531C6F"/>
    <w:rsid w:val="0053275B"/>
    <w:rsid w:val="00532ED9"/>
    <w:rsid w:val="00532F8B"/>
    <w:rsid w:val="00533C64"/>
    <w:rsid w:val="00533D30"/>
    <w:rsid w:val="0053401A"/>
    <w:rsid w:val="005349F1"/>
    <w:rsid w:val="00534BCE"/>
    <w:rsid w:val="00534DE5"/>
    <w:rsid w:val="00534F44"/>
    <w:rsid w:val="005350D6"/>
    <w:rsid w:val="00535663"/>
    <w:rsid w:val="0053571E"/>
    <w:rsid w:val="00536A92"/>
    <w:rsid w:val="00536B24"/>
    <w:rsid w:val="005377A3"/>
    <w:rsid w:val="005379E6"/>
    <w:rsid w:val="00537BA9"/>
    <w:rsid w:val="00537FF0"/>
    <w:rsid w:val="005401D3"/>
    <w:rsid w:val="00540836"/>
    <w:rsid w:val="00540F9C"/>
    <w:rsid w:val="00541071"/>
    <w:rsid w:val="0054119A"/>
    <w:rsid w:val="005418EF"/>
    <w:rsid w:val="00541C6F"/>
    <w:rsid w:val="00541F18"/>
    <w:rsid w:val="005420BF"/>
    <w:rsid w:val="00542567"/>
    <w:rsid w:val="00542591"/>
    <w:rsid w:val="005427D0"/>
    <w:rsid w:val="00542A5A"/>
    <w:rsid w:val="00542B36"/>
    <w:rsid w:val="00542BDF"/>
    <w:rsid w:val="00542BEC"/>
    <w:rsid w:val="00544306"/>
    <w:rsid w:val="00544714"/>
    <w:rsid w:val="005448B5"/>
    <w:rsid w:val="00544A8C"/>
    <w:rsid w:val="00545015"/>
    <w:rsid w:val="00545072"/>
    <w:rsid w:val="005450B4"/>
    <w:rsid w:val="005450B5"/>
    <w:rsid w:val="0054512D"/>
    <w:rsid w:val="0054518E"/>
    <w:rsid w:val="00545895"/>
    <w:rsid w:val="00545BB7"/>
    <w:rsid w:val="00545E24"/>
    <w:rsid w:val="00545E4E"/>
    <w:rsid w:val="00546620"/>
    <w:rsid w:val="00546BBF"/>
    <w:rsid w:val="00546BD1"/>
    <w:rsid w:val="00546DDD"/>
    <w:rsid w:val="00546F26"/>
    <w:rsid w:val="00547133"/>
    <w:rsid w:val="0054746A"/>
    <w:rsid w:val="00547814"/>
    <w:rsid w:val="00547B5E"/>
    <w:rsid w:val="0055035C"/>
    <w:rsid w:val="00550598"/>
    <w:rsid w:val="00550AB3"/>
    <w:rsid w:val="005510A2"/>
    <w:rsid w:val="005511D5"/>
    <w:rsid w:val="00551244"/>
    <w:rsid w:val="00551873"/>
    <w:rsid w:val="00551A29"/>
    <w:rsid w:val="00551B82"/>
    <w:rsid w:val="00551FAC"/>
    <w:rsid w:val="0055237C"/>
    <w:rsid w:val="00552C49"/>
    <w:rsid w:val="005539FF"/>
    <w:rsid w:val="00553B9E"/>
    <w:rsid w:val="00553FAC"/>
    <w:rsid w:val="0055407C"/>
    <w:rsid w:val="00554366"/>
    <w:rsid w:val="00554951"/>
    <w:rsid w:val="00554A85"/>
    <w:rsid w:val="00554F7C"/>
    <w:rsid w:val="0055589F"/>
    <w:rsid w:val="005562B8"/>
    <w:rsid w:val="005567CF"/>
    <w:rsid w:val="005568F4"/>
    <w:rsid w:val="005568F9"/>
    <w:rsid w:val="00556B33"/>
    <w:rsid w:val="005572F0"/>
    <w:rsid w:val="00557320"/>
    <w:rsid w:val="005574F3"/>
    <w:rsid w:val="005577DB"/>
    <w:rsid w:val="0055788E"/>
    <w:rsid w:val="00557CC3"/>
    <w:rsid w:val="00561406"/>
    <w:rsid w:val="0056183B"/>
    <w:rsid w:val="00561960"/>
    <w:rsid w:val="00561B54"/>
    <w:rsid w:val="00562262"/>
    <w:rsid w:val="00562B55"/>
    <w:rsid w:val="00562EA4"/>
    <w:rsid w:val="0056308A"/>
    <w:rsid w:val="00563377"/>
    <w:rsid w:val="005634C5"/>
    <w:rsid w:val="0056372C"/>
    <w:rsid w:val="0056430B"/>
    <w:rsid w:val="00564DC4"/>
    <w:rsid w:val="0056526C"/>
    <w:rsid w:val="00565300"/>
    <w:rsid w:val="00565891"/>
    <w:rsid w:val="00565E57"/>
    <w:rsid w:val="00565ECE"/>
    <w:rsid w:val="0056644E"/>
    <w:rsid w:val="005665B3"/>
    <w:rsid w:val="00566820"/>
    <w:rsid w:val="005668FA"/>
    <w:rsid w:val="00566A10"/>
    <w:rsid w:val="00566FF3"/>
    <w:rsid w:val="00567C07"/>
    <w:rsid w:val="0057025D"/>
    <w:rsid w:val="0057061E"/>
    <w:rsid w:val="00570838"/>
    <w:rsid w:val="00570F73"/>
    <w:rsid w:val="00570F87"/>
    <w:rsid w:val="00571000"/>
    <w:rsid w:val="00571629"/>
    <w:rsid w:val="00571E64"/>
    <w:rsid w:val="00572A80"/>
    <w:rsid w:val="00573BFC"/>
    <w:rsid w:val="00573D37"/>
    <w:rsid w:val="00573FC5"/>
    <w:rsid w:val="0057407D"/>
    <w:rsid w:val="005746DB"/>
    <w:rsid w:val="00574847"/>
    <w:rsid w:val="00575461"/>
    <w:rsid w:val="0057568F"/>
    <w:rsid w:val="005757A1"/>
    <w:rsid w:val="0057598C"/>
    <w:rsid w:val="00575A9B"/>
    <w:rsid w:val="00575B4E"/>
    <w:rsid w:val="00576085"/>
    <w:rsid w:val="00576568"/>
    <w:rsid w:val="005766BD"/>
    <w:rsid w:val="00576F86"/>
    <w:rsid w:val="0057701F"/>
    <w:rsid w:val="0057791F"/>
    <w:rsid w:val="00577A40"/>
    <w:rsid w:val="00577AF7"/>
    <w:rsid w:val="00577F8D"/>
    <w:rsid w:val="0058002C"/>
    <w:rsid w:val="005806D6"/>
    <w:rsid w:val="00580AEC"/>
    <w:rsid w:val="00580CB8"/>
    <w:rsid w:val="00580E0B"/>
    <w:rsid w:val="005814B3"/>
    <w:rsid w:val="00581675"/>
    <w:rsid w:val="005816E0"/>
    <w:rsid w:val="00581A35"/>
    <w:rsid w:val="00582871"/>
    <w:rsid w:val="00582B8E"/>
    <w:rsid w:val="00583317"/>
    <w:rsid w:val="00583E41"/>
    <w:rsid w:val="00583E89"/>
    <w:rsid w:val="00583FFC"/>
    <w:rsid w:val="00584207"/>
    <w:rsid w:val="00584518"/>
    <w:rsid w:val="0058483E"/>
    <w:rsid w:val="005856F3"/>
    <w:rsid w:val="00585A39"/>
    <w:rsid w:val="00585F6B"/>
    <w:rsid w:val="00586222"/>
    <w:rsid w:val="00586B9B"/>
    <w:rsid w:val="00586B9F"/>
    <w:rsid w:val="00586BAB"/>
    <w:rsid w:val="0058781A"/>
    <w:rsid w:val="005909AA"/>
    <w:rsid w:val="00590D1B"/>
    <w:rsid w:val="005916B7"/>
    <w:rsid w:val="00591B51"/>
    <w:rsid w:val="00591C71"/>
    <w:rsid w:val="00591F25"/>
    <w:rsid w:val="00592157"/>
    <w:rsid w:val="0059215B"/>
    <w:rsid w:val="00592330"/>
    <w:rsid w:val="005924C1"/>
    <w:rsid w:val="005925F7"/>
    <w:rsid w:val="00592812"/>
    <w:rsid w:val="00592910"/>
    <w:rsid w:val="0059297F"/>
    <w:rsid w:val="00592E24"/>
    <w:rsid w:val="0059329C"/>
    <w:rsid w:val="0059345B"/>
    <w:rsid w:val="005938E4"/>
    <w:rsid w:val="00593928"/>
    <w:rsid w:val="00593AC3"/>
    <w:rsid w:val="00593EF7"/>
    <w:rsid w:val="0059413A"/>
    <w:rsid w:val="00594315"/>
    <w:rsid w:val="00594516"/>
    <w:rsid w:val="00594563"/>
    <w:rsid w:val="00594E05"/>
    <w:rsid w:val="00595728"/>
    <w:rsid w:val="00595A12"/>
    <w:rsid w:val="00595D7E"/>
    <w:rsid w:val="00596303"/>
    <w:rsid w:val="005964BF"/>
    <w:rsid w:val="005966A0"/>
    <w:rsid w:val="005966E9"/>
    <w:rsid w:val="0059674C"/>
    <w:rsid w:val="005967CB"/>
    <w:rsid w:val="00596F25"/>
    <w:rsid w:val="005978D5"/>
    <w:rsid w:val="005A00A2"/>
    <w:rsid w:val="005A03B8"/>
    <w:rsid w:val="005A0FCB"/>
    <w:rsid w:val="005A125E"/>
    <w:rsid w:val="005A1558"/>
    <w:rsid w:val="005A2FE4"/>
    <w:rsid w:val="005A32EC"/>
    <w:rsid w:val="005A3578"/>
    <w:rsid w:val="005A3C12"/>
    <w:rsid w:val="005A3C76"/>
    <w:rsid w:val="005A3DA6"/>
    <w:rsid w:val="005A48D0"/>
    <w:rsid w:val="005A531D"/>
    <w:rsid w:val="005A5390"/>
    <w:rsid w:val="005A552B"/>
    <w:rsid w:val="005A5679"/>
    <w:rsid w:val="005A56DB"/>
    <w:rsid w:val="005A5E23"/>
    <w:rsid w:val="005A6307"/>
    <w:rsid w:val="005A665D"/>
    <w:rsid w:val="005A6950"/>
    <w:rsid w:val="005A6AC2"/>
    <w:rsid w:val="005A6B34"/>
    <w:rsid w:val="005A7813"/>
    <w:rsid w:val="005A7D03"/>
    <w:rsid w:val="005B02A9"/>
    <w:rsid w:val="005B066C"/>
    <w:rsid w:val="005B10C9"/>
    <w:rsid w:val="005B138F"/>
    <w:rsid w:val="005B180B"/>
    <w:rsid w:val="005B1B42"/>
    <w:rsid w:val="005B1EE7"/>
    <w:rsid w:val="005B2087"/>
    <w:rsid w:val="005B2154"/>
    <w:rsid w:val="005B23BE"/>
    <w:rsid w:val="005B38F6"/>
    <w:rsid w:val="005B3F35"/>
    <w:rsid w:val="005B4187"/>
    <w:rsid w:val="005B44E4"/>
    <w:rsid w:val="005B450D"/>
    <w:rsid w:val="005B460C"/>
    <w:rsid w:val="005B49FA"/>
    <w:rsid w:val="005B4A6E"/>
    <w:rsid w:val="005B4B95"/>
    <w:rsid w:val="005B5016"/>
    <w:rsid w:val="005B51C1"/>
    <w:rsid w:val="005B57C4"/>
    <w:rsid w:val="005B5A65"/>
    <w:rsid w:val="005B5DEE"/>
    <w:rsid w:val="005B5F53"/>
    <w:rsid w:val="005B6314"/>
    <w:rsid w:val="005B6404"/>
    <w:rsid w:val="005B6ACD"/>
    <w:rsid w:val="005B7006"/>
    <w:rsid w:val="005B766F"/>
    <w:rsid w:val="005B7A4F"/>
    <w:rsid w:val="005B7AB3"/>
    <w:rsid w:val="005B7FB8"/>
    <w:rsid w:val="005C00F1"/>
    <w:rsid w:val="005C06F2"/>
    <w:rsid w:val="005C1149"/>
    <w:rsid w:val="005C15FB"/>
    <w:rsid w:val="005C2A08"/>
    <w:rsid w:val="005C2A3F"/>
    <w:rsid w:val="005C3008"/>
    <w:rsid w:val="005C32DC"/>
    <w:rsid w:val="005C3336"/>
    <w:rsid w:val="005C3451"/>
    <w:rsid w:val="005C376F"/>
    <w:rsid w:val="005C37FA"/>
    <w:rsid w:val="005C3D55"/>
    <w:rsid w:val="005C3D85"/>
    <w:rsid w:val="005C3EFB"/>
    <w:rsid w:val="005C40A4"/>
    <w:rsid w:val="005C4D31"/>
    <w:rsid w:val="005C54D5"/>
    <w:rsid w:val="005C5519"/>
    <w:rsid w:val="005C5926"/>
    <w:rsid w:val="005C59E4"/>
    <w:rsid w:val="005C5B02"/>
    <w:rsid w:val="005C5B29"/>
    <w:rsid w:val="005C5BAC"/>
    <w:rsid w:val="005C5D71"/>
    <w:rsid w:val="005C5FE6"/>
    <w:rsid w:val="005C68D5"/>
    <w:rsid w:val="005C6C5B"/>
    <w:rsid w:val="005C6D15"/>
    <w:rsid w:val="005C70BC"/>
    <w:rsid w:val="005C7244"/>
    <w:rsid w:val="005C779B"/>
    <w:rsid w:val="005C77EE"/>
    <w:rsid w:val="005C7D11"/>
    <w:rsid w:val="005D0105"/>
    <w:rsid w:val="005D0C0B"/>
    <w:rsid w:val="005D0FFE"/>
    <w:rsid w:val="005D22B4"/>
    <w:rsid w:val="005D24C3"/>
    <w:rsid w:val="005D2AA8"/>
    <w:rsid w:val="005D328E"/>
    <w:rsid w:val="005D3316"/>
    <w:rsid w:val="005D362A"/>
    <w:rsid w:val="005D3D7D"/>
    <w:rsid w:val="005D42CC"/>
    <w:rsid w:val="005D43C4"/>
    <w:rsid w:val="005D46EE"/>
    <w:rsid w:val="005D4742"/>
    <w:rsid w:val="005D4B67"/>
    <w:rsid w:val="005D65A1"/>
    <w:rsid w:val="005D665B"/>
    <w:rsid w:val="005D6BFB"/>
    <w:rsid w:val="005D6CA0"/>
    <w:rsid w:val="005D6E82"/>
    <w:rsid w:val="005D73E5"/>
    <w:rsid w:val="005D74F7"/>
    <w:rsid w:val="005D7959"/>
    <w:rsid w:val="005D7E94"/>
    <w:rsid w:val="005D7EEC"/>
    <w:rsid w:val="005D7FC6"/>
    <w:rsid w:val="005E093F"/>
    <w:rsid w:val="005E0EDF"/>
    <w:rsid w:val="005E0F0F"/>
    <w:rsid w:val="005E1269"/>
    <w:rsid w:val="005E1911"/>
    <w:rsid w:val="005E1A9B"/>
    <w:rsid w:val="005E24F5"/>
    <w:rsid w:val="005E27AE"/>
    <w:rsid w:val="005E2942"/>
    <w:rsid w:val="005E39A9"/>
    <w:rsid w:val="005E3AAC"/>
    <w:rsid w:val="005E4669"/>
    <w:rsid w:val="005E46F2"/>
    <w:rsid w:val="005E476E"/>
    <w:rsid w:val="005E4964"/>
    <w:rsid w:val="005E49B0"/>
    <w:rsid w:val="005E4C24"/>
    <w:rsid w:val="005E6189"/>
    <w:rsid w:val="005E62DA"/>
    <w:rsid w:val="005E669F"/>
    <w:rsid w:val="005E679E"/>
    <w:rsid w:val="005E6D34"/>
    <w:rsid w:val="005E73FC"/>
    <w:rsid w:val="005E7814"/>
    <w:rsid w:val="005E7A35"/>
    <w:rsid w:val="005E7D65"/>
    <w:rsid w:val="005E7E84"/>
    <w:rsid w:val="005E7F92"/>
    <w:rsid w:val="005F0B4F"/>
    <w:rsid w:val="005F0BFB"/>
    <w:rsid w:val="005F1425"/>
    <w:rsid w:val="005F18D8"/>
    <w:rsid w:val="005F1F80"/>
    <w:rsid w:val="005F25B4"/>
    <w:rsid w:val="005F2701"/>
    <w:rsid w:val="005F275C"/>
    <w:rsid w:val="005F2AE3"/>
    <w:rsid w:val="005F2D93"/>
    <w:rsid w:val="005F2DA8"/>
    <w:rsid w:val="005F2EA0"/>
    <w:rsid w:val="005F312A"/>
    <w:rsid w:val="005F33E5"/>
    <w:rsid w:val="005F3B15"/>
    <w:rsid w:val="005F3C7D"/>
    <w:rsid w:val="005F40B8"/>
    <w:rsid w:val="005F45C1"/>
    <w:rsid w:val="005F45E7"/>
    <w:rsid w:val="005F45ED"/>
    <w:rsid w:val="005F4AC3"/>
    <w:rsid w:val="005F4AEA"/>
    <w:rsid w:val="005F4AFB"/>
    <w:rsid w:val="005F4D81"/>
    <w:rsid w:val="005F4ECC"/>
    <w:rsid w:val="005F5036"/>
    <w:rsid w:val="005F53A0"/>
    <w:rsid w:val="005F54BC"/>
    <w:rsid w:val="005F554E"/>
    <w:rsid w:val="005F5594"/>
    <w:rsid w:val="005F62A4"/>
    <w:rsid w:val="005F6676"/>
    <w:rsid w:val="005F70D2"/>
    <w:rsid w:val="005F70F1"/>
    <w:rsid w:val="005F7442"/>
    <w:rsid w:val="005F76EF"/>
    <w:rsid w:val="005F792B"/>
    <w:rsid w:val="005F7A2D"/>
    <w:rsid w:val="005F7BE6"/>
    <w:rsid w:val="005F7DDF"/>
    <w:rsid w:val="00600210"/>
    <w:rsid w:val="00600729"/>
    <w:rsid w:val="00600C0E"/>
    <w:rsid w:val="00600C67"/>
    <w:rsid w:val="0060153A"/>
    <w:rsid w:val="006019AB"/>
    <w:rsid w:val="00601D63"/>
    <w:rsid w:val="00601D99"/>
    <w:rsid w:val="00601FAC"/>
    <w:rsid w:val="006020A1"/>
    <w:rsid w:val="00603C0B"/>
    <w:rsid w:val="006045AD"/>
    <w:rsid w:val="00604FEE"/>
    <w:rsid w:val="006055F1"/>
    <w:rsid w:val="006056A3"/>
    <w:rsid w:val="00605A26"/>
    <w:rsid w:val="0060645F"/>
    <w:rsid w:val="00606745"/>
    <w:rsid w:val="00606DF6"/>
    <w:rsid w:val="00606F3C"/>
    <w:rsid w:val="00607584"/>
    <w:rsid w:val="0061072B"/>
    <w:rsid w:val="00610A9D"/>
    <w:rsid w:val="00611176"/>
    <w:rsid w:val="0061131E"/>
    <w:rsid w:val="006114A1"/>
    <w:rsid w:val="006115A8"/>
    <w:rsid w:val="00611B15"/>
    <w:rsid w:val="0061200B"/>
    <w:rsid w:val="006125C0"/>
    <w:rsid w:val="0061268C"/>
    <w:rsid w:val="00612E66"/>
    <w:rsid w:val="00613042"/>
    <w:rsid w:val="006134BE"/>
    <w:rsid w:val="0061358C"/>
    <w:rsid w:val="00613608"/>
    <w:rsid w:val="00613917"/>
    <w:rsid w:val="00613C71"/>
    <w:rsid w:val="00614101"/>
    <w:rsid w:val="0061436F"/>
    <w:rsid w:val="00614C82"/>
    <w:rsid w:val="00615659"/>
    <w:rsid w:val="00615E48"/>
    <w:rsid w:val="00615F9A"/>
    <w:rsid w:val="0061643F"/>
    <w:rsid w:val="0061660E"/>
    <w:rsid w:val="00616ACE"/>
    <w:rsid w:val="00617337"/>
    <w:rsid w:val="00617CAA"/>
    <w:rsid w:val="00620408"/>
    <w:rsid w:val="00620582"/>
    <w:rsid w:val="00620697"/>
    <w:rsid w:val="00621349"/>
    <w:rsid w:val="0062149A"/>
    <w:rsid w:val="006215A8"/>
    <w:rsid w:val="00622C46"/>
    <w:rsid w:val="006232FD"/>
    <w:rsid w:val="006247EE"/>
    <w:rsid w:val="0062497F"/>
    <w:rsid w:val="00625A52"/>
    <w:rsid w:val="00625B85"/>
    <w:rsid w:val="0062610C"/>
    <w:rsid w:val="0062620B"/>
    <w:rsid w:val="006268F8"/>
    <w:rsid w:val="00626A5B"/>
    <w:rsid w:val="00626F8C"/>
    <w:rsid w:val="00627817"/>
    <w:rsid w:val="006278E9"/>
    <w:rsid w:val="00627FFB"/>
    <w:rsid w:val="0063086A"/>
    <w:rsid w:val="00630EC2"/>
    <w:rsid w:val="00630F64"/>
    <w:rsid w:val="00631915"/>
    <w:rsid w:val="00632608"/>
    <w:rsid w:val="0063262F"/>
    <w:rsid w:val="006326E4"/>
    <w:rsid w:val="006327B6"/>
    <w:rsid w:val="00632A06"/>
    <w:rsid w:val="00632AEA"/>
    <w:rsid w:val="00632B2C"/>
    <w:rsid w:val="00633330"/>
    <w:rsid w:val="00633454"/>
    <w:rsid w:val="0063386D"/>
    <w:rsid w:val="0063389F"/>
    <w:rsid w:val="00633BE0"/>
    <w:rsid w:val="00633CC1"/>
    <w:rsid w:val="00633FD7"/>
    <w:rsid w:val="00634464"/>
    <w:rsid w:val="006345BD"/>
    <w:rsid w:val="00634794"/>
    <w:rsid w:val="00634826"/>
    <w:rsid w:val="0063495D"/>
    <w:rsid w:val="0063508A"/>
    <w:rsid w:val="0063537E"/>
    <w:rsid w:val="00635904"/>
    <w:rsid w:val="00635C25"/>
    <w:rsid w:val="00635DF8"/>
    <w:rsid w:val="00635F31"/>
    <w:rsid w:val="00636156"/>
    <w:rsid w:val="006361E0"/>
    <w:rsid w:val="006364B7"/>
    <w:rsid w:val="00636877"/>
    <w:rsid w:val="006369CF"/>
    <w:rsid w:val="00636B6F"/>
    <w:rsid w:val="00636B87"/>
    <w:rsid w:val="00636FDE"/>
    <w:rsid w:val="00637006"/>
    <w:rsid w:val="006370CD"/>
    <w:rsid w:val="00637104"/>
    <w:rsid w:val="00637CF6"/>
    <w:rsid w:val="006406EE"/>
    <w:rsid w:val="00640747"/>
    <w:rsid w:val="0064080A"/>
    <w:rsid w:val="00641CAF"/>
    <w:rsid w:val="00641DBE"/>
    <w:rsid w:val="006429E4"/>
    <w:rsid w:val="00642E8F"/>
    <w:rsid w:val="00643B64"/>
    <w:rsid w:val="00643D6D"/>
    <w:rsid w:val="006444AD"/>
    <w:rsid w:val="00644C61"/>
    <w:rsid w:val="00645B23"/>
    <w:rsid w:val="00645F72"/>
    <w:rsid w:val="00646391"/>
    <w:rsid w:val="006465B3"/>
    <w:rsid w:val="00646AD9"/>
    <w:rsid w:val="006472E0"/>
    <w:rsid w:val="00647542"/>
    <w:rsid w:val="00647D63"/>
    <w:rsid w:val="00650168"/>
    <w:rsid w:val="006502B1"/>
    <w:rsid w:val="006502C7"/>
    <w:rsid w:val="00650572"/>
    <w:rsid w:val="00650A43"/>
    <w:rsid w:val="00650E16"/>
    <w:rsid w:val="006516DB"/>
    <w:rsid w:val="006516EE"/>
    <w:rsid w:val="00651786"/>
    <w:rsid w:val="00651E63"/>
    <w:rsid w:val="00651EBB"/>
    <w:rsid w:val="00651F00"/>
    <w:rsid w:val="0065276A"/>
    <w:rsid w:val="006529AA"/>
    <w:rsid w:val="00652B29"/>
    <w:rsid w:val="00652BCF"/>
    <w:rsid w:val="00652DA2"/>
    <w:rsid w:val="00652FD1"/>
    <w:rsid w:val="0065337F"/>
    <w:rsid w:val="00653AF8"/>
    <w:rsid w:val="0065486D"/>
    <w:rsid w:val="00654876"/>
    <w:rsid w:val="00655D61"/>
    <w:rsid w:val="00657576"/>
    <w:rsid w:val="00657F11"/>
    <w:rsid w:val="006600F9"/>
    <w:rsid w:val="0066059B"/>
    <w:rsid w:val="00660C29"/>
    <w:rsid w:val="00660DF2"/>
    <w:rsid w:val="0066101E"/>
    <w:rsid w:val="006610FA"/>
    <w:rsid w:val="00661270"/>
    <w:rsid w:val="0066157D"/>
    <w:rsid w:val="0066163C"/>
    <w:rsid w:val="00661713"/>
    <w:rsid w:val="006617C2"/>
    <w:rsid w:val="00661C6D"/>
    <w:rsid w:val="00661F77"/>
    <w:rsid w:val="0066206C"/>
    <w:rsid w:val="006620C9"/>
    <w:rsid w:val="006620CA"/>
    <w:rsid w:val="0066249C"/>
    <w:rsid w:val="00662873"/>
    <w:rsid w:val="00662B51"/>
    <w:rsid w:val="00662FD5"/>
    <w:rsid w:val="00663223"/>
    <w:rsid w:val="006632F8"/>
    <w:rsid w:val="00663820"/>
    <w:rsid w:val="00663A03"/>
    <w:rsid w:val="00663A88"/>
    <w:rsid w:val="006640E3"/>
    <w:rsid w:val="00664142"/>
    <w:rsid w:val="00664240"/>
    <w:rsid w:val="0066497C"/>
    <w:rsid w:val="00664ED5"/>
    <w:rsid w:val="006654D9"/>
    <w:rsid w:val="00665BE8"/>
    <w:rsid w:val="00665D86"/>
    <w:rsid w:val="0066618F"/>
    <w:rsid w:val="00666B53"/>
    <w:rsid w:val="00666CB7"/>
    <w:rsid w:val="00667270"/>
    <w:rsid w:val="00667A00"/>
    <w:rsid w:val="00667C0E"/>
    <w:rsid w:val="00667D79"/>
    <w:rsid w:val="00667FB0"/>
    <w:rsid w:val="00667FE4"/>
    <w:rsid w:val="006704FD"/>
    <w:rsid w:val="00670B5D"/>
    <w:rsid w:val="00670C0F"/>
    <w:rsid w:val="006711F9"/>
    <w:rsid w:val="00671B03"/>
    <w:rsid w:val="00671B59"/>
    <w:rsid w:val="006720B0"/>
    <w:rsid w:val="006722B2"/>
    <w:rsid w:val="00672CE1"/>
    <w:rsid w:val="0067313E"/>
    <w:rsid w:val="00673E6D"/>
    <w:rsid w:val="00674172"/>
    <w:rsid w:val="0067486C"/>
    <w:rsid w:val="00674AAC"/>
    <w:rsid w:val="00674BB8"/>
    <w:rsid w:val="00674C07"/>
    <w:rsid w:val="00675CB1"/>
    <w:rsid w:val="00676007"/>
    <w:rsid w:val="00676596"/>
    <w:rsid w:val="006767B2"/>
    <w:rsid w:val="00676A79"/>
    <w:rsid w:val="00676BC0"/>
    <w:rsid w:val="00676C5D"/>
    <w:rsid w:val="00676C9F"/>
    <w:rsid w:val="00676E73"/>
    <w:rsid w:val="00676EC5"/>
    <w:rsid w:val="00676FAD"/>
    <w:rsid w:val="0067763E"/>
    <w:rsid w:val="0067772C"/>
    <w:rsid w:val="00677CD5"/>
    <w:rsid w:val="00677F37"/>
    <w:rsid w:val="00681080"/>
    <w:rsid w:val="00681834"/>
    <w:rsid w:val="0068202C"/>
    <w:rsid w:val="006823A8"/>
    <w:rsid w:val="006825DB"/>
    <w:rsid w:val="00682B03"/>
    <w:rsid w:val="006830D2"/>
    <w:rsid w:val="0068360A"/>
    <w:rsid w:val="00683897"/>
    <w:rsid w:val="00684C29"/>
    <w:rsid w:val="00685149"/>
    <w:rsid w:val="00685338"/>
    <w:rsid w:val="00686181"/>
    <w:rsid w:val="00686CA7"/>
    <w:rsid w:val="00687B47"/>
    <w:rsid w:val="00687D3F"/>
    <w:rsid w:val="00687FD7"/>
    <w:rsid w:val="00690C0E"/>
    <w:rsid w:val="00690CD2"/>
    <w:rsid w:val="006913E1"/>
    <w:rsid w:val="0069157E"/>
    <w:rsid w:val="00691B18"/>
    <w:rsid w:val="00691CD2"/>
    <w:rsid w:val="00692FAC"/>
    <w:rsid w:val="006932C9"/>
    <w:rsid w:val="00693495"/>
    <w:rsid w:val="00693520"/>
    <w:rsid w:val="006944DA"/>
    <w:rsid w:val="00694B89"/>
    <w:rsid w:val="00694CF3"/>
    <w:rsid w:val="00695086"/>
    <w:rsid w:val="006950D2"/>
    <w:rsid w:val="006963A7"/>
    <w:rsid w:val="00696E63"/>
    <w:rsid w:val="00697125"/>
    <w:rsid w:val="006974FE"/>
    <w:rsid w:val="00697662"/>
    <w:rsid w:val="00697AA0"/>
    <w:rsid w:val="00697B63"/>
    <w:rsid w:val="00697E7F"/>
    <w:rsid w:val="00697FB1"/>
    <w:rsid w:val="006A0147"/>
    <w:rsid w:val="006A0224"/>
    <w:rsid w:val="006A05D0"/>
    <w:rsid w:val="006A06E8"/>
    <w:rsid w:val="006A09C4"/>
    <w:rsid w:val="006A0A7C"/>
    <w:rsid w:val="006A0E98"/>
    <w:rsid w:val="006A1131"/>
    <w:rsid w:val="006A13D6"/>
    <w:rsid w:val="006A190A"/>
    <w:rsid w:val="006A1B82"/>
    <w:rsid w:val="006A1C58"/>
    <w:rsid w:val="006A1C66"/>
    <w:rsid w:val="006A2097"/>
    <w:rsid w:val="006A209C"/>
    <w:rsid w:val="006A24F9"/>
    <w:rsid w:val="006A26A5"/>
    <w:rsid w:val="006A2AD6"/>
    <w:rsid w:val="006A2C74"/>
    <w:rsid w:val="006A2E2B"/>
    <w:rsid w:val="006A3274"/>
    <w:rsid w:val="006A32B3"/>
    <w:rsid w:val="006A3374"/>
    <w:rsid w:val="006A358B"/>
    <w:rsid w:val="006A35B0"/>
    <w:rsid w:val="006A3AEB"/>
    <w:rsid w:val="006A3CCE"/>
    <w:rsid w:val="006A4120"/>
    <w:rsid w:val="006A428A"/>
    <w:rsid w:val="006A475C"/>
    <w:rsid w:val="006A4767"/>
    <w:rsid w:val="006A499E"/>
    <w:rsid w:val="006A5304"/>
    <w:rsid w:val="006A5642"/>
    <w:rsid w:val="006A573D"/>
    <w:rsid w:val="006A58ED"/>
    <w:rsid w:val="006A5BE3"/>
    <w:rsid w:val="006A6F40"/>
    <w:rsid w:val="006A70B7"/>
    <w:rsid w:val="006A7144"/>
    <w:rsid w:val="006A73CD"/>
    <w:rsid w:val="006A7B33"/>
    <w:rsid w:val="006B0B13"/>
    <w:rsid w:val="006B0CAF"/>
    <w:rsid w:val="006B0CC2"/>
    <w:rsid w:val="006B0E05"/>
    <w:rsid w:val="006B171B"/>
    <w:rsid w:val="006B1AAC"/>
    <w:rsid w:val="006B2002"/>
    <w:rsid w:val="006B202A"/>
    <w:rsid w:val="006B212E"/>
    <w:rsid w:val="006B2590"/>
    <w:rsid w:val="006B2918"/>
    <w:rsid w:val="006B2CEB"/>
    <w:rsid w:val="006B3555"/>
    <w:rsid w:val="006B37FD"/>
    <w:rsid w:val="006B3A36"/>
    <w:rsid w:val="006B4AAB"/>
    <w:rsid w:val="006B4E8C"/>
    <w:rsid w:val="006B568E"/>
    <w:rsid w:val="006B569A"/>
    <w:rsid w:val="006B56DB"/>
    <w:rsid w:val="006B57A5"/>
    <w:rsid w:val="006B5CED"/>
    <w:rsid w:val="006B5D38"/>
    <w:rsid w:val="006B64F4"/>
    <w:rsid w:val="006B6D45"/>
    <w:rsid w:val="006B6DA5"/>
    <w:rsid w:val="006B71BD"/>
    <w:rsid w:val="006C0338"/>
    <w:rsid w:val="006C03D2"/>
    <w:rsid w:val="006C0494"/>
    <w:rsid w:val="006C061B"/>
    <w:rsid w:val="006C06CC"/>
    <w:rsid w:val="006C1237"/>
    <w:rsid w:val="006C1293"/>
    <w:rsid w:val="006C12CD"/>
    <w:rsid w:val="006C138F"/>
    <w:rsid w:val="006C20A7"/>
    <w:rsid w:val="006C24B3"/>
    <w:rsid w:val="006C25CE"/>
    <w:rsid w:val="006C2B2E"/>
    <w:rsid w:val="006C2C04"/>
    <w:rsid w:val="006C43A2"/>
    <w:rsid w:val="006C43D8"/>
    <w:rsid w:val="006C4761"/>
    <w:rsid w:val="006C4A13"/>
    <w:rsid w:val="006C4F0E"/>
    <w:rsid w:val="006C51CB"/>
    <w:rsid w:val="006C540F"/>
    <w:rsid w:val="006C59D6"/>
    <w:rsid w:val="006C6009"/>
    <w:rsid w:val="006C6D3F"/>
    <w:rsid w:val="006C77B0"/>
    <w:rsid w:val="006C79F5"/>
    <w:rsid w:val="006C7A1D"/>
    <w:rsid w:val="006D029C"/>
    <w:rsid w:val="006D0315"/>
    <w:rsid w:val="006D0901"/>
    <w:rsid w:val="006D0DC7"/>
    <w:rsid w:val="006D0E60"/>
    <w:rsid w:val="006D1C0E"/>
    <w:rsid w:val="006D257F"/>
    <w:rsid w:val="006D28CD"/>
    <w:rsid w:val="006D2C23"/>
    <w:rsid w:val="006D2C35"/>
    <w:rsid w:val="006D3DCD"/>
    <w:rsid w:val="006D410B"/>
    <w:rsid w:val="006D417C"/>
    <w:rsid w:val="006D441D"/>
    <w:rsid w:val="006D447A"/>
    <w:rsid w:val="006D4850"/>
    <w:rsid w:val="006D4F55"/>
    <w:rsid w:val="006D5028"/>
    <w:rsid w:val="006D50C9"/>
    <w:rsid w:val="006D53F4"/>
    <w:rsid w:val="006D6063"/>
    <w:rsid w:val="006D6108"/>
    <w:rsid w:val="006D65E0"/>
    <w:rsid w:val="006D70D2"/>
    <w:rsid w:val="006D7402"/>
    <w:rsid w:val="006D7CAD"/>
    <w:rsid w:val="006E0306"/>
    <w:rsid w:val="006E0419"/>
    <w:rsid w:val="006E0B84"/>
    <w:rsid w:val="006E0E52"/>
    <w:rsid w:val="006E0F13"/>
    <w:rsid w:val="006E15AE"/>
    <w:rsid w:val="006E181D"/>
    <w:rsid w:val="006E1CAC"/>
    <w:rsid w:val="006E1CEC"/>
    <w:rsid w:val="006E235A"/>
    <w:rsid w:val="006E25EB"/>
    <w:rsid w:val="006E27B2"/>
    <w:rsid w:val="006E3630"/>
    <w:rsid w:val="006E38CB"/>
    <w:rsid w:val="006E3B48"/>
    <w:rsid w:val="006E3EF8"/>
    <w:rsid w:val="006E4304"/>
    <w:rsid w:val="006E48E6"/>
    <w:rsid w:val="006E529C"/>
    <w:rsid w:val="006E58A5"/>
    <w:rsid w:val="006E5A3A"/>
    <w:rsid w:val="006E5C60"/>
    <w:rsid w:val="006E5E29"/>
    <w:rsid w:val="006E60C8"/>
    <w:rsid w:val="006E6268"/>
    <w:rsid w:val="006E6A14"/>
    <w:rsid w:val="006E6FEF"/>
    <w:rsid w:val="006E714F"/>
    <w:rsid w:val="006E7304"/>
    <w:rsid w:val="006E733F"/>
    <w:rsid w:val="006E7C21"/>
    <w:rsid w:val="006F00FE"/>
    <w:rsid w:val="006F0296"/>
    <w:rsid w:val="006F065A"/>
    <w:rsid w:val="006F0676"/>
    <w:rsid w:val="006F0D0C"/>
    <w:rsid w:val="006F0D66"/>
    <w:rsid w:val="006F0E7D"/>
    <w:rsid w:val="006F0F27"/>
    <w:rsid w:val="006F0F3A"/>
    <w:rsid w:val="006F14A7"/>
    <w:rsid w:val="006F1E0E"/>
    <w:rsid w:val="006F209B"/>
    <w:rsid w:val="006F23DB"/>
    <w:rsid w:val="006F2835"/>
    <w:rsid w:val="006F2892"/>
    <w:rsid w:val="006F2F27"/>
    <w:rsid w:val="006F3A9B"/>
    <w:rsid w:val="006F3EE5"/>
    <w:rsid w:val="006F432A"/>
    <w:rsid w:val="006F43FC"/>
    <w:rsid w:val="006F4BA2"/>
    <w:rsid w:val="006F4E95"/>
    <w:rsid w:val="006F503D"/>
    <w:rsid w:val="006F5346"/>
    <w:rsid w:val="006F5430"/>
    <w:rsid w:val="006F58F7"/>
    <w:rsid w:val="006F5C90"/>
    <w:rsid w:val="006F6069"/>
    <w:rsid w:val="006F61E9"/>
    <w:rsid w:val="006F779C"/>
    <w:rsid w:val="006F77D0"/>
    <w:rsid w:val="00700084"/>
    <w:rsid w:val="007000A8"/>
    <w:rsid w:val="00700889"/>
    <w:rsid w:val="00700A61"/>
    <w:rsid w:val="00700CBC"/>
    <w:rsid w:val="00700E7B"/>
    <w:rsid w:val="00700ED6"/>
    <w:rsid w:val="007011AF"/>
    <w:rsid w:val="007013B2"/>
    <w:rsid w:val="007014EC"/>
    <w:rsid w:val="00701936"/>
    <w:rsid w:val="00701B10"/>
    <w:rsid w:val="00701F1C"/>
    <w:rsid w:val="0070201A"/>
    <w:rsid w:val="00702230"/>
    <w:rsid w:val="00702503"/>
    <w:rsid w:val="0070332F"/>
    <w:rsid w:val="007033B6"/>
    <w:rsid w:val="00703B2E"/>
    <w:rsid w:val="00704050"/>
    <w:rsid w:val="0070408D"/>
    <w:rsid w:val="0070420E"/>
    <w:rsid w:val="0070486E"/>
    <w:rsid w:val="00704B0B"/>
    <w:rsid w:val="00704CBA"/>
    <w:rsid w:val="00704D9C"/>
    <w:rsid w:val="00704F60"/>
    <w:rsid w:val="00705A35"/>
    <w:rsid w:val="00706483"/>
    <w:rsid w:val="00706521"/>
    <w:rsid w:val="00706614"/>
    <w:rsid w:val="00706956"/>
    <w:rsid w:val="00706C65"/>
    <w:rsid w:val="007072A4"/>
    <w:rsid w:val="007072C9"/>
    <w:rsid w:val="007072D8"/>
    <w:rsid w:val="0070751B"/>
    <w:rsid w:val="00707A3E"/>
    <w:rsid w:val="00707D3B"/>
    <w:rsid w:val="00710441"/>
    <w:rsid w:val="00710C00"/>
    <w:rsid w:val="00710EA1"/>
    <w:rsid w:val="00711039"/>
    <w:rsid w:val="007113F6"/>
    <w:rsid w:val="007119F3"/>
    <w:rsid w:val="00711DEA"/>
    <w:rsid w:val="00712011"/>
    <w:rsid w:val="0071303F"/>
    <w:rsid w:val="00713384"/>
    <w:rsid w:val="007135F4"/>
    <w:rsid w:val="007137B4"/>
    <w:rsid w:val="00713FCA"/>
    <w:rsid w:val="00714FF1"/>
    <w:rsid w:val="007150AE"/>
    <w:rsid w:val="00715743"/>
    <w:rsid w:val="00715909"/>
    <w:rsid w:val="00715D74"/>
    <w:rsid w:val="00715DBA"/>
    <w:rsid w:val="00716034"/>
    <w:rsid w:val="007160DF"/>
    <w:rsid w:val="00716C7E"/>
    <w:rsid w:val="0071766F"/>
    <w:rsid w:val="007202E5"/>
    <w:rsid w:val="007206F3"/>
    <w:rsid w:val="00720B14"/>
    <w:rsid w:val="00720E0B"/>
    <w:rsid w:val="007217E8"/>
    <w:rsid w:val="00721AA2"/>
    <w:rsid w:val="00721D77"/>
    <w:rsid w:val="00722B9A"/>
    <w:rsid w:val="007230FC"/>
    <w:rsid w:val="007235FF"/>
    <w:rsid w:val="00723606"/>
    <w:rsid w:val="00723795"/>
    <w:rsid w:val="00723E31"/>
    <w:rsid w:val="00723F01"/>
    <w:rsid w:val="007240F0"/>
    <w:rsid w:val="00724600"/>
    <w:rsid w:val="0072492D"/>
    <w:rsid w:val="00724CC0"/>
    <w:rsid w:val="0072539B"/>
    <w:rsid w:val="007253B7"/>
    <w:rsid w:val="00725F5C"/>
    <w:rsid w:val="007266B0"/>
    <w:rsid w:val="00726F38"/>
    <w:rsid w:val="00727EE3"/>
    <w:rsid w:val="00730800"/>
    <w:rsid w:val="00730848"/>
    <w:rsid w:val="0073124C"/>
    <w:rsid w:val="007312ED"/>
    <w:rsid w:val="007314DE"/>
    <w:rsid w:val="0073172A"/>
    <w:rsid w:val="00732138"/>
    <w:rsid w:val="007322B8"/>
    <w:rsid w:val="00732455"/>
    <w:rsid w:val="0073252C"/>
    <w:rsid w:val="00732814"/>
    <w:rsid w:val="0073287F"/>
    <w:rsid w:val="00732D0D"/>
    <w:rsid w:val="00732F17"/>
    <w:rsid w:val="0073351E"/>
    <w:rsid w:val="007338D7"/>
    <w:rsid w:val="00733D66"/>
    <w:rsid w:val="00733E57"/>
    <w:rsid w:val="00733FC3"/>
    <w:rsid w:val="007340BE"/>
    <w:rsid w:val="007342A2"/>
    <w:rsid w:val="00734CD2"/>
    <w:rsid w:val="00735004"/>
    <w:rsid w:val="0073535A"/>
    <w:rsid w:val="00735366"/>
    <w:rsid w:val="007358F9"/>
    <w:rsid w:val="00736257"/>
    <w:rsid w:val="007363D4"/>
    <w:rsid w:val="0073657A"/>
    <w:rsid w:val="0073691A"/>
    <w:rsid w:val="00736E7C"/>
    <w:rsid w:val="00736F93"/>
    <w:rsid w:val="007373E0"/>
    <w:rsid w:val="0073745B"/>
    <w:rsid w:val="00737499"/>
    <w:rsid w:val="0073765B"/>
    <w:rsid w:val="00737841"/>
    <w:rsid w:val="00737CFA"/>
    <w:rsid w:val="00740185"/>
    <w:rsid w:val="0074031E"/>
    <w:rsid w:val="00740589"/>
    <w:rsid w:val="0074086D"/>
    <w:rsid w:val="00740FAB"/>
    <w:rsid w:val="00741094"/>
    <w:rsid w:val="00741153"/>
    <w:rsid w:val="007412EE"/>
    <w:rsid w:val="007414AF"/>
    <w:rsid w:val="00741583"/>
    <w:rsid w:val="00741B7C"/>
    <w:rsid w:val="00741C06"/>
    <w:rsid w:val="00742541"/>
    <w:rsid w:val="0074306A"/>
    <w:rsid w:val="0074398F"/>
    <w:rsid w:val="00743A11"/>
    <w:rsid w:val="00743A1F"/>
    <w:rsid w:val="00744E45"/>
    <w:rsid w:val="00744F86"/>
    <w:rsid w:val="007450A5"/>
    <w:rsid w:val="007450D3"/>
    <w:rsid w:val="00745473"/>
    <w:rsid w:val="00745651"/>
    <w:rsid w:val="00745760"/>
    <w:rsid w:val="007457BA"/>
    <w:rsid w:val="007458F0"/>
    <w:rsid w:val="007459A7"/>
    <w:rsid w:val="00745C47"/>
    <w:rsid w:val="007461F0"/>
    <w:rsid w:val="00746B3D"/>
    <w:rsid w:val="00746C0C"/>
    <w:rsid w:val="00746F17"/>
    <w:rsid w:val="0074714D"/>
    <w:rsid w:val="0074743E"/>
    <w:rsid w:val="0074750D"/>
    <w:rsid w:val="00747667"/>
    <w:rsid w:val="0074789B"/>
    <w:rsid w:val="00747945"/>
    <w:rsid w:val="00747C67"/>
    <w:rsid w:val="00750795"/>
    <w:rsid w:val="00750BF4"/>
    <w:rsid w:val="00750ED6"/>
    <w:rsid w:val="007511C0"/>
    <w:rsid w:val="007516C7"/>
    <w:rsid w:val="007517C3"/>
    <w:rsid w:val="00752304"/>
    <w:rsid w:val="00752F67"/>
    <w:rsid w:val="00753672"/>
    <w:rsid w:val="00753924"/>
    <w:rsid w:val="00754665"/>
    <w:rsid w:val="00755007"/>
    <w:rsid w:val="00755082"/>
    <w:rsid w:val="00755278"/>
    <w:rsid w:val="007558D2"/>
    <w:rsid w:val="007559BE"/>
    <w:rsid w:val="00755CCB"/>
    <w:rsid w:val="0075674B"/>
    <w:rsid w:val="00756C05"/>
    <w:rsid w:val="00757734"/>
    <w:rsid w:val="00757C9E"/>
    <w:rsid w:val="00760509"/>
    <w:rsid w:val="007605E3"/>
    <w:rsid w:val="00760831"/>
    <w:rsid w:val="00762188"/>
    <w:rsid w:val="00762224"/>
    <w:rsid w:val="0076258A"/>
    <w:rsid w:val="00762CC3"/>
    <w:rsid w:val="00762D65"/>
    <w:rsid w:val="0076320A"/>
    <w:rsid w:val="0076329F"/>
    <w:rsid w:val="00763604"/>
    <w:rsid w:val="00763638"/>
    <w:rsid w:val="007637D5"/>
    <w:rsid w:val="00763BD0"/>
    <w:rsid w:val="0076473A"/>
    <w:rsid w:val="00764D3F"/>
    <w:rsid w:val="0076536D"/>
    <w:rsid w:val="007655CC"/>
    <w:rsid w:val="007656FE"/>
    <w:rsid w:val="0076571D"/>
    <w:rsid w:val="007659AC"/>
    <w:rsid w:val="00765DEF"/>
    <w:rsid w:val="00766345"/>
    <w:rsid w:val="00766D3C"/>
    <w:rsid w:val="00766EBB"/>
    <w:rsid w:val="00766F9C"/>
    <w:rsid w:val="00767780"/>
    <w:rsid w:val="00767890"/>
    <w:rsid w:val="007702B9"/>
    <w:rsid w:val="007702F6"/>
    <w:rsid w:val="007705D0"/>
    <w:rsid w:val="00770A60"/>
    <w:rsid w:val="00770C9D"/>
    <w:rsid w:val="0077119B"/>
    <w:rsid w:val="007714A4"/>
    <w:rsid w:val="00771BB9"/>
    <w:rsid w:val="00771C73"/>
    <w:rsid w:val="007724B1"/>
    <w:rsid w:val="007725EC"/>
    <w:rsid w:val="00772FC5"/>
    <w:rsid w:val="0077312D"/>
    <w:rsid w:val="00773713"/>
    <w:rsid w:val="007740B8"/>
    <w:rsid w:val="00774D3C"/>
    <w:rsid w:val="00774D60"/>
    <w:rsid w:val="0077528C"/>
    <w:rsid w:val="007755C3"/>
    <w:rsid w:val="0077587F"/>
    <w:rsid w:val="00775D6E"/>
    <w:rsid w:val="007766D4"/>
    <w:rsid w:val="00776993"/>
    <w:rsid w:val="00776CA5"/>
    <w:rsid w:val="00776E8D"/>
    <w:rsid w:val="0077783C"/>
    <w:rsid w:val="00777CBB"/>
    <w:rsid w:val="00777E97"/>
    <w:rsid w:val="00780DBB"/>
    <w:rsid w:val="00780F2F"/>
    <w:rsid w:val="0078108B"/>
    <w:rsid w:val="007814C9"/>
    <w:rsid w:val="007818C0"/>
    <w:rsid w:val="00781D42"/>
    <w:rsid w:val="0078215F"/>
    <w:rsid w:val="0078224F"/>
    <w:rsid w:val="007822B2"/>
    <w:rsid w:val="00782522"/>
    <w:rsid w:val="007828DB"/>
    <w:rsid w:val="007829A6"/>
    <w:rsid w:val="00782A27"/>
    <w:rsid w:val="00782A50"/>
    <w:rsid w:val="00782ADD"/>
    <w:rsid w:val="00782BA8"/>
    <w:rsid w:val="00782C07"/>
    <w:rsid w:val="00782ED0"/>
    <w:rsid w:val="007832A9"/>
    <w:rsid w:val="007836BB"/>
    <w:rsid w:val="0078388B"/>
    <w:rsid w:val="007839AD"/>
    <w:rsid w:val="00783C95"/>
    <w:rsid w:val="007851B3"/>
    <w:rsid w:val="00785392"/>
    <w:rsid w:val="007856A5"/>
    <w:rsid w:val="007858E9"/>
    <w:rsid w:val="00785B76"/>
    <w:rsid w:val="0078617E"/>
    <w:rsid w:val="007865A0"/>
    <w:rsid w:val="00786F9A"/>
    <w:rsid w:val="00787068"/>
    <w:rsid w:val="00787805"/>
    <w:rsid w:val="00787C04"/>
    <w:rsid w:val="00787C40"/>
    <w:rsid w:val="007902F8"/>
    <w:rsid w:val="007904DC"/>
    <w:rsid w:val="007911CD"/>
    <w:rsid w:val="00791328"/>
    <w:rsid w:val="00791458"/>
    <w:rsid w:val="00791A89"/>
    <w:rsid w:val="00792060"/>
    <w:rsid w:val="00792572"/>
    <w:rsid w:val="007926ED"/>
    <w:rsid w:val="00792AD1"/>
    <w:rsid w:val="00793360"/>
    <w:rsid w:val="0079339F"/>
    <w:rsid w:val="0079372C"/>
    <w:rsid w:val="0079382C"/>
    <w:rsid w:val="007939F3"/>
    <w:rsid w:val="00793C2F"/>
    <w:rsid w:val="00794268"/>
    <w:rsid w:val="007942AF"/>
    <w:rsid w:val="0079455D"/>
    <w:rsid w:val="00794827"/>
    <w:rsid w:val="007949C7"/>
    <w:rsid w:val="00795741"/>
    <w:rsid w:val="00795EEF"/>
    <w:rsid w:val="00796318"/>
    <w:rsid w:val="00796340"/>
    <w:rsid w:val="00796939"/>
    <w:rsid w:val="00796A46"/>
    <w:rsid w:val="00796A55"/>
    <w:rsid w:val="00796E5B"/>
    <w:rsid w:val="007974D6"/>
    <w:rsid w:val="00797D85"/>
    <w:rsid w:val="007A0A4A"/>
    <w:rsid w:val="007A0E56"/>
    <w:rsid w:val="007A0F1E"/>
    <w:rsid w:val="007A1275"/>
    <w:rsid w:val="007A1910"/>
    <w:rsid w:val="007A1FEF"/>
    <w:rsid w:val="007A252C"/>
    <w:rsid w:val="007A259B"/>
    <w:rsid w:val="007A291C"/>
    <w:rsid w:val="007A2D52"/>
    <w:rsid w:val="007A2DF1"/>
    <w:rsid w:val="007A3264"/>
    <w:rsid w:val="007A329C"/>
    <w:rsid w:val="007A3858"/>
    <w:rsid w:val="007A38F0"/>
    <w:rsid w:val="007A3BFD"/>
    <w:rsid w:val="007A4118"/>
    <w:rsid w:val="007A4140"/>
    <w:rsid w:val="007A4D95"/>
    <w:rsid w:val="007A50D5"/>
    <w:rsid w:val="007A5C8D"/>
    <w:rsid w:val="007A6044"/>
    <w:rsid w:val="007A62A1"/>
    <w:rsid w:val="007A6503"/>
    <w:rsid w:val="007A6DD8"/>
    <w:rsid w:val="007A7145"/>
    <w:rsid w:val="007A7183"/>
    <w:rsid w:val="007A727C"/>
    <w:rsid w:val="007A7359"/>
    <w:rsid w:val="007A7D4F"/>
    <w:rsid w:val="007B0307"/>
    <w:rsid w:val="007B0670"/>
    <w:rsid w:val="007B0A95"/>
    <w:rsid w:val="007B0C32"/>
    <w:rsid w:val="007B0D11"/>
    <w:rsid w:val="007B0DF9"/>
    <w:rsid w:val="007B1437"/>
    <w:rsid w:val="007B16EA"/>
    <w:rsid w:val="007B1713"/>
    <w:rsid w:val="007B1810"/>
    <w:rsid w:val="007B1968"/>
    <w:rsid w:val="007B19A2"/>
    <w:rsid w:val="007B1C9A"/>
    <w:rsid w:val="007B1D89"/>
    <w:rsid w:val="007B274A"/>
    <w:rsid w:val="007B27DA"/>
    <w:rsid w:val="007B28C3"/>
    <w:rsid w:val="007B2CFC"/>
    <w:rsid w:val="007B2F7F"/>
    <w:rsid w:val="007B3B00"/>
    <w:rsid w:val="007B3EDE"/>
    <w:rsid w:val="007B41C6"/>
    <w:rsid w:val="007B516C"/>
    <w:rsid w:val="007B5185"/>
    <w:rsid w:val="007B55E8"/>
    <w:rsid w:val="007B5603"/>
    <w:rsid w:val="007B5F6B"/>
    <w:rsid w:val="007B6198"/>
    <w:rsid w:val="007B66B5"/>
    <w:rsid w:val="007B69D9"/>
    <w:rsid w:val="007B71D1"/>
    <w:rsid w:val="007B74EB"/>
    <w:rsid w:val="007B74FC"/>
    <w:rsid w:val="007B77AF"/>
    <w:rsid w:val="007B7880"/>
    <w:rsid w:val="007B798B"/>
    <w:rsid w:val="007B7B7D"/>
    <w:rsid w:val="007B7C04"/>
    <w:rsid w:val="007B7CE2"/>
    <w:rsid w:val="007C01AE"/>
    <w:rsid w:val="007C0456"/>
    <w:rsid w:val="007C0D23"/>
    <w:rsid w:val="007C0E66"/>
    <w:rsid w:val="007C1D28"/>
    <w:rsid w:val="007C2019"/>
    <w:rsid w:val="007C23C4"/>
    <w:rsid w:val="007C2457"/>
    <w:rsid w:val="007C26E8"/>
    <w:rsid w:val="007C2AF3"/>
    <w:rsid w:val="007C3193"/>
    <w:rsid w:val="007C4183"/>
    <w:rsid w:val="007C47EA"/>
    <w:rsid w:val="007C4AE2"/>
    <w:rsid w:val="007C4F92"/>
    <w:rsid w:val="007C4FE9"/>
    <w:rsid w:val="007C526F"/>
    <w:rsid w:val="007C5FDB"/>
    <w:rsid w:val="007C64C0"/>
    <w:rsid w:val="007C65B3"/>
    <w:rsid w:val="007C6B9B"/>
    <w:rsid w:val="007C7DEC"/>
    <w:rsid w:val="007D0007"/>
    <w:rsid w:val="007D0210"/>
    <w:rsid w:val="007D04DD"/>
    <w:rsid w:val="007D0566"/>
    <w:rsid w:val="007D05B9"/>
    <w:rsid w:val="007D0AB6"/>
    <w:rsid w:val="007D0B0E"/>
    <w:rsid w:val="007D0E40"/>
    <w:rsid w:val="007D18EE"/>
    <w:rsid w:val="007D1E32"/>
    <w:rsid w:val="007D26D5"/>
    <w:rsid w:val="007D2DE2"/>
    <w:rsid w:val="007D329E"/>
    <w:rsid w:val="007D3559"/>
    <w:rsid w:val="007D3C2C"/>
    <w:rsid w:val="007D49DD"/>
    <w:rsid w:val="007D5E29"/>
    <w:rsid w:val="007D62A5"/>
    <w:rsid w:val="007D68A3"/>
    <w:rsid w:val="007D6A46"/>
    <w:rsid w:val="007D7307"/>
    <w:rsid w:val="007D75B8"/>
    <w:rsid w:val="007D77B3"/>
    <w:rsid w:val="007D7CA6"/>
    <w:rsid w:val="007E0390"/>
    <w:rsid w:val="007E04A2"/>
    <w:rsid w:val="007E092C"/>
    <w:rsid w:val="007E0E6D"/>
    <w:rsid w:val="007E0FF8"/>
    <w:rsid w:val="007E1220"/>
    <w:rsid w:val="007E14CE"/>
    <w:rsid w:val="007E15CA"/>
    <w:rsid w:val="007E17ED"/>
    <w:rsid w:val="007E1E57"/>
    <w:rsid w:val="007E23B8"/>
    <w:rsid w:val="007E2402"/>
    <w:rsid w:val="007E48AC"/>
    <w:rsid w:val="007E4CD6"/>
    <w:rsid w:val="007E4D43"/>
    <w:rsid w:val="007E562E"/>
    <w:rsid w:val="007E5697"/>
    <w:rsid w:val="007E57FE"/>
    <w:rsid w:val="007E599B"/>
    <w:rsid w:val="007E5A72"/>
    <w:rsid w:val="007E5BB4"/>
    <w:rsid w:val="007E5C6A"/>
    <w:rsid w:val="007E651E"/>
    <w:rsid w:val="007E65C7"/>
    <w:rsid w:val="007E6841"/>
    <w:rsid w:val="007E6DDA"/>
    <w:rsid w:val="007E76ED"/>
    <w:rsid w:val="007F02F2"/>
    <w:rsid w:val="007F0829"/>
    <w:rsid w:val="007F0BA9"/>
    <w:rsid w:val="007F13F5"/>
    <w:rsid w:val="007F154B"/>
    <w:rsid w:val="007F1731"/>
    <w:rsid w:val="007F199B"/>
    <w:rsid w:val="007F1F6E"/>
    <w:rsid w:val="007F2716"/>
    <w:rsid w:val="007F29B7"/>
    <w:rsid w:val="007F2A95"/>
    <w:rsid w:val="007F2C0C"/>
    <w:rsid w:val="007F2E75"/>
    <w:rsid w:val="007F2F88"/>
    <w:rsid w:val="007F33A9"/>
    <w:rsid w:val="007F367F"/>
    <w:rsid w:val="007F40C0"/>
    <w:rsid w:val="007F44F4"/>
    <w:rsid w:val="007F4875"/>
    <w:rsid w:val="007F49BC"/>
    <w:rsid w:val="007F4A09"/>
    <w:rsid w:val="007F55B8"/>
    <w:rsid w:val="007F5639"/>
    <w:rsid w:val="007F5931"/>
    <w:rsid w:val="007F61F1"/>
    <w:rsid w:val="007F6776"/>
    <w:rsid w:val="007F6EDD"/>
    <w:rsid w:val="007F6F47"/>
    <w:rsid w:val="007F74B6"/>
    <w:rsid w:val="007F7E22"/>
    <w:rsid w:val="00800283"/>
    <w:rsid w:val="00800516"/>
    <w:rsid w:val="00800BE7"/>
    <w:rsid w:val="00800CB0"/>
    <w:rsid w:val="00801AB4"/>
    <w:rsid w:val="0080200D"/>
    <w:rsid w:val="008023E4"/>
    <w:rsid w:val="00802464"/>
    <w:rsid w:val="00802631"/>
    <w:rsid w:val="00802D6D"/>
    <w:rsid w:val="00802F1E"/>
    <w:rsid w:val="00802F50"/>
    <w:rsid w:val="00803079"/>
    <w:rsid w:val="0080307A"/>
    <w:rsid w:val="00803225"/>
    <w:rsid w:val="00803340"/>
    <w:rsid w:val="00803736"/>
    <w:rsid w:val="00803D1F"/>
    <w:rsid w:val="0080505A"/>
    <w:rsid w:val="0080532D"/>
    <w:rsid w:val="0080570A"/>
    <w:rsid w:val="00805AC5"/>
    <w:rsid w:val="00805C0A"/>
    <w:rsid w:val="00805E5D"/>
    <w:rsid w:val="00805F55"/>
    <w:rsid w:val="00806051"/>
    <w:rsid w:val="008061FB"/>
    <w:rsid w:val="00806B68"/>
    <w:rsid w:val="00806DAA"/>
    <w:rsid w:val="00806EE8"/>
    <w:rsid w:val="00807196"/>
    <w:rsid w:val="008074C8"/>
    <w:rsid w:val="008076D9"/>
    <w:rsid w:val="00807D7E"/>
    <w:rsid w:val="0081078F"/>
    <w:rsid w:val="00810DDD"/>
    <w:rsid w:val="00811245"/>
    <w:rsid w:val="00811528"/>
    <w:rsid w:val="0081177F"/>
    <w:rsid w:val="00811F48"/>
    <w:rsid w:val="0081200F"/>
    <w:rsid w:val="008129D9"/>
    <w:rsid w:val="00812A1A"/>
    <w:rsid w:val="00812DBD"/>
    <w:rsid w:val="0081311B"/>
    <w:rsid w:val="008135AE"/>
    <w:rsid w:val="008138FC"/>
    <w:rsid w:val="00813D9F"/>
    <w:rsid w:val="008143FA"/>
    <w:rsid w:val="00814C6D"/>
    <w:rsid w:val="00815635"/>
    <w:rsid w:val="00815803"/>
    <w:rsid w:val="00816876"/>
    <w:rsid w:val="008169A1"/>
    <w:rsid w:val="008175BE"/>
    <w:rsid w:val="00820001"/>
    <w:rsid w:val="008202A0"/>
    <w:rsid w:val="00820B6E"/>
    <w:rsid w:val="00821B57"/>
    <w:rsid w:val="00821D79"/>
    <w:rsid w:val="00821E30"/>
    <w:rsid w:val="0082217B"/>
    <w:rsid w:val="0082252C"/>
    <w:rsid w:val="0082282E"/>
    <w:rsid w:val="00822894"/>
    <w:rsid w:val="00823960"/>
    <w:rsid w:val="00823E37"/>
    <w:rsid w:val="00824388"/>
    <w:rsid w:val="008252ED"/>
    <w:rsid w:val="008252FD"/>
    <w:rsid w:val="00825B13"/>
    <w:rsid w:val="00826046"/>
    <w:rsid w:val="00826122"/>
    <w:rsid w:val="008265C0"/>
    <w:rsid w:val="00827109"/>
    <w:rsid w:val="00827806"/>
    <w:rsid w:val="0083059C"/>
    <w:rsid w:val="00830BF5"/>
    <w:rsid w:val="00830DE6"/>
    <w:rsid w:val="00831059"/>
    <w:rsid w:val="008319A5"/>
    <w:rsid w:val="00831CAE"/>
    <w:rsid w:val="0083216B"/>
    <w:rsid w:val="00832368"/>
    <w:rsid w:val="008324D3"/>
    <w:rsid w:val="00832CFC"/>
    <w:rsid w:val="0083366D"/>
    <w:rsid w:val="00833DEE"/>
    <w:rsid w:val="00834375"/>
    <w:rsid w:val="00834904"/>
    <w:rsid w:val="00834AAD"/>
    <w:rsid w:val="008356D9"/>
    <w:rsid w:val="00835BDF"/>
    <w:rsid w:val="00836176"/>
    <w:rsid w:val="008362A1"/>
    <w:rsid w:val="0083687D"/>
    <w:rsid w:val="00836B85"/>
    <w:rsid w:val="00836DF1"/>
    <w:rsid w:val="00837148"/>
    <w:rsid w:val="00837181"/>
    <w:rsid w:val="00837419"/>
    <w:rsid w:val="00837511"/>
    <w:rsid w:val="00837B3C"/>
    <w:rsid w:val="00837C98"/>
    <w:rsid w:val="00837F2D"/>
    <w:rsid w:val="0084034C"/>
    <w:rsid w:val="00840C2D"/>
    <w:rsid w:val="00840E69"/>
    <w:rsid w:val="00840ED7"/>
    <w:rsid w:val="00840F4C"/>
    <w:rsid w:val="00840FC1"/>
    <w:rsid w:val="00841298"/>
    <w:rsid w:val="0084149E"/>
    <w:rsid w:val="008414E3"/>
    <w:rsid w:val="00841DAE"/>
    <w:rsid w:val="00841F41"/>
    <w:rsid w:val="00841FED"/>
    <w:rsid w:val="008427A4"/>
    <w:rsid w:val="00842854"/>
    <w:rsid w:val="008432B9"/>
    <w:rsid w:val="008432BF"/>
    <w:rsid w:val="008433D5"/>
    <w:rsid w:val="00843C8D"/>
    <w:rsid w:val="00844791"/>
    <w:rsid w:val="00844C5F"/>
    <w:rsid w:val="00844DE1"/>
    <w:rsid w:val="00844EA9"/>
    <w:rsid w:val="008450D2"/>
    <w:rsid w:val="008451DA"/>
    <w:rsid w:val="00845E1C"/>
    <w:rsid w:val="00846627"/>
    <w:rsid w:val="00846864"/>
    <w:rsid w:val="00846F94"/>
    <w:rsid w:val="0084702D"/>
    <w:rsid w:val="00847647"/>
    <w:rsid w:val="00847F01"/>
    <w:rsid w:val="008509C3"/>
    <w:rsid w:val="00850B34"/>
    <w:rsid w:val="0085167A"/>
    <w:rsid w:val="00851A7B"/>
    <w:rsid w:val="00851EEA"/>
    <w:rsid w:val="00852084"/>
    <w:rsid w:val="00852215"/>
    <w:rsid w:val="00852373"/>
    <w:rsid w:val="00852422"/>
    <w:rsid w:val="0085242E"/>
    <w:rsid w:val="00852485"/>
    <w:rsid w:val="00853310"/>
    <w:rsid w:val="0085390E"/>
    <w:rsid w:val="00853C30"/>
    <w:rsid w:val="00853CFE"/>
    <w:rsid w:val="00853D34"/>
    <w:rsid w:val="008540D0"/>
    <w:rsid w:val="0085458B"/>
    <w:rsid w:val="008546D5"/>
    <w:rsid w:val="008547D8"/>
    <w:rsid w:val="00854B83"/>
    <w:rsid w:val="00854C32"/>
    <w:rsid w:val="00855720"/>
    <w:rsid w:val="00855C22"/>
    <w:rsid w:val="00855E55"/>
    <w:rsid w:val="008569F2"/>
    <w:rsid w:val="00856D5A"/>
    <w:rsid w:val="008570C7"/>
    <w:rsid w:val="008570D5"/>
    <w:rsid w:val="008571BE"/>
    <w:rsid w:val="008573C9"/>
    <w:rsid w:val="0085793C"/>
    <w:rsid w:val="0085797C"/>
    <w:rsid w:val="0085799C"/>
    <w:rsid w:val="00857BD9"/>
    <w:rsid w:val="00857EDC"/>
    <w:rsid w:val="00860861"/>
    <w:rsid w:val="00860AED"/>
    <w:rsid w:val="00860F5B"/>
    <w:rsid w:val="00861114"/>
    <w:rsid w:val="0086127B"/>
    <w:rsid w:val="00861442"/>
    <w:rsid w:val="00861821"/>
    <w:rsid w:val="00861C7A"/>
    <w:rsid w:val="00862E9B"/>
    <w:rsid w:val="008632BC"/>
    <w:rsid w:val="00863464"/>
    <w:rsid w:val="0086357F"/>
    <w:rsid w:val="008637CE"/>
    <w:rsid w:val="008640A1"/>
    <w:rsid w:val="00864202"/>
    <w:rsid w:val="0086457C"/>
    <w:rsid w:val="00864B38"/>
    <w:rsid w:val="00864DB9"/>
    <w:rsid w:val="00864E04"/>
    <w:rsid w:val="00864EDA"/>
    <w:rsid w:val="008653A9"/>
    <w:rsid w:val="008654FE"/>
    <w:rsid w:val="008656CC"/>
    <w:rsid w:val="00865BFD"/>
    <w:rsid w:val="00865F91"/>
    <w:rsid w:val="00866545"/>
    <w:rsid w:val="00866DFD"/>
    <w:rsid w:val="0086754D"/>
    <w:rsid w:val="00867606"/>
    <w:rsid w:val="00867648"/>
    <w:rsid w:val="00867E77"/>
    <w:rsid w:val="00870043"/>
    <w:rsid w:val="00870216"/>
    <w:rsid w:val="0087039A"/>
    <w:rsid w:val="008707E5"/>
    <w:rsid w:val="00870D67"/>
    <w:rsid w:val="00870DDF"/>
    <w:rsid w:val="0087110A"/>
    <w:rsid w:val="008715F2"/>
    <w:rsid w:val="00871600"/>
    <w:rsid w:val="00871957"/>
    <w:rsid w:val="00871A45"/>
    <w:rsid w:val="00871C58"/>
    <w:rsid w:val="00871E2B"/>
    <w:rsid w:val="008724E5"/>
    <w:rsid w:val="008725BC"/>
    <w:rsid w:val="0087273B"/>
    <w:rsid w:val="008728E0"/>
    <w:rsid w:val="00872D1F"/>
    <w:rsid w:val="00873098"/>
    <w:rsid w:val="008730FA"/>
    <w:rsid w:val="00873261"/>
    <w:rsid w:val="008732D6"/>
    <w:rsid w:val="008736FF"/>
    <w:rsid w:val="008738B9"/>
    <w:rsid w:val="00873986"/>
    <w:rsid w:val="00873C74"/>
    <w:rsid w:val="00873D8E"/>
    <w:rsid w:val="00873DB3"/>
    <w:rsid w:val="008740F6"/>
    <w:rsid w:val="00874298"/>
    <w:rsid w:val="008743DB"/>
    <w:rsid w:val="008746E6"/>
    <w:rsid w:val="00874F0E"/>
    <w:rsid w:val="00875170"/>
    <w:rsid w:val="008751D0"/>
    <w:rsid w:val="00875811"/>
    <w:rsid w:val="00875EDE"/>
    <w:rsid w:val="0087620D"/>
    <w:rsid w:val="00876269"/>
    <w:rsid w:val="008763CD"/>
    <w:rsid w:val="00876BB0"/>
    <w:rsid w:val="008773A5"/>
    <w:rsid w:val="008773EC"/>
    <w:rsid w:val="00877716"/>
    <w:rsid w:val="008777A8"/>
    <w:rsid w:val="00877D84"/>
    <w:rsid w:val="00880388"/>
    <w:rsid w:val="008803F6"/>
    <w:rsid w:val="00880457"/>
    <w:rsid w:val="008813C2"/>
    <w:rsid w:val="00881482"/>
    <w:rsid w:val="00882178"/>
    <w:rsid w:val="00882995"/>
    <w:rsid w:val="00882F41"/>
    <w:rsid w:val="0088363C"/>
    <w:rsid w:val="0088367B"/>
    <w:rsid w:val="008837F3"/>
    <w:rsid w:val="0088386E"/>
    <w:rsid w:val="00884039"/>
    <w:rsid w:val="0088408C"/>
    <w:rsid w:val="00884C6C"/>
    <w:rsid w:val="0088549E"/>
    <w:rsid w:val="00885895"/>
    <w:rsid w:val="00885AD0"/>
    <w:rsid w:val="00885E14"/>
    <w:rsid w:val="00886236"/>
    <w:rsid w:val="00886346"/>
    <w:rsid w:val="0088660B"/>
    <w:rsid w:val="0088674C"/>
    <w:rsid w:val="00887BD5"/>
    <w:rsid w:val="00890028"/>
    <w:rsid w:val="0089017E"/>
    <w:rsid w:val="008908AF"/>
    <w:rsid w:val="008908FC"/>
    <w:rsid w:val="00890B47"/>
    <w:rsid w:val="00891551"/>
    <w:rsid w:val="00892000"/>
    <w:rsid w:val="00892208"/>
    <w:rsid w:val="008923DC"/>
    <w:rsid w:val="00892744"/>
    <w:rsid w:val="00892A3E"/>
    <w:rsid w:val="00892C18"/>
    <w:rsid w:val="0089396C"/>
    <w:rsid w:val="00894043"/>
    <w:rsid w:val="008942D2"/>
    <w:rsid w:val="00894331"/>
    <w:rsid w:val="00894448"/>
    <w:rsid w:val="008947B4"/>
    <w:rsid w:val="008947F4"/>
    <w:rsid w:val="00894FA8"/>
    <w:rsid w:val="008956E9"/>
    <w:rsid w:val="00895805"/>
    <w:rsid w:val="00895902"/>
    <w:rsid w:val="00895CA7"/>
    <w:rsid w:val="00896050"/>
    <w:rsid w:val="008961CC"/>
    <w:rsid w:val="0089648A"/>
    <w:rsid w:val="008968A7"/>
    <w:rsid w:val="00896A7A"/>
    <w:rsid w:val="00896E18"/>
    <w:rsid w:val="0089754E"/>
    <w:rsid w:val="00897954"/>
    <w:rsid w:val="008A0B40"/>
    <w:rsid w:val="008A15A5"/>
    <w:rsid w:val="008A19B5"/>
    <w:rsid w:val="008A1B3B"/>
    <w:rsid w:val="008A1C5C"/>
    <w:rsid w:val="008A2051"/>
    <w:rsid w:val="008A2424"/>
    <w:rsid w:val="008A3714"/>
    <w:rsid w:val="008A3B17"/>
    <w:rsid w:val="008A437D"/>
    <w:rsid w:val="008A43B0"/>
    <w:rsid w:val="008A46C1"/>
    <w:rsid w:val="008A470A"/>
    <w:rsid w:val="008A50B8"/>
    <w:rsid w:val="008A52C9"/>
    <w:rsid w:val="008A53D2"/>
    <w:rsid w:val="008A5733"/>
    <w:rsid w:val="008A5869"/>
    <w:rsid w:val="008A5ABD"/>
    <w:rsid w:val="008A64EA"/>
    <w:rsid w:val="008A6A98"/>
    <w:rsid w:val="008A6B85"/>
    <w:rsid w:val="008A6BFD"/>
    <w:rsid w:val="008A6D50"/>
    <w:rsid w:val="008A6FE8"/>
    <w:rsid w:val="008A76D7"/>
    <w:rsid w:val="008A793C"/>
    <w:rsid w:val="008A7D12"/>
    <w:rsid w:val="008A7D29"/>
    <w:rsid w:val="008B0943"/>
    <w:rsid w:val="008B12DB"/>
    <w:rsid w:val="008B18B4"/>
    <w:rsid w:val="008B1D6E"/>
    <w:rsid w:val="008B2076"/>
    <w:rsid w:val="008B2137"/>
    <w:rsid w:val="008B2C13"/>
    <w:rsid w:val="008B314C"/>
    <w:rsid w:val="008B337F"/>
    <w:rsid w:val="008B4169"/>
    <w:rsid w:val="008B47E9"/>
    <w:rsid w:val="008B4961"/>
    <w:rsid w:val="008B4B17"/>
    <w:rsid w:val="008B4DD4"/>
    <w:rsid w:val="008B504D"/>
    <w:rsid w:val="008B524B"/>
    <w:rsid w:val="008B572B"/>
    <w:rsid w:val="008B5E2E"/>
    <w:rsid w:val="008B5FC4"/>
    <w:rsid w:val="008B659B"/>
    <w:rsid w:val="008B694D"/>
    <w:rsid w:val="008B6E02"/>
    <w:rsid w:val="008B726E"/>
    <w:rsid w:val="008B7488"/>
    <w:rsid w:val="008C01FE"/>
    <w:rsid w:val="008C05F7"/>
    <w:rsid w:val="008C06C3"/>
    <w:rsid w:val="008C0A57"/>
    <w:rsid w:val="008C0C06"/>
    <w:rsid w:val="008C0C33"/>
    <w:rsid w:val="008C0C46"/>
    <w:rsid w:val="008C0F9E"/>
    <w:rsid w:val="008C145C"/>
    <w:rsid w:val="008C15E9"/>
    <w:rsid w:val="008C212F"/>
    <w:rsid w:val="008C278D"/>
    <w:rsid w:val="008C374C"/>
    <w:rsid w:val="008C37BA"/>
    <w:rsid w:val="008C41F0"/>
    <w:rsid w:val="008C4D3B"/>
    <w:rsid w:val="008C5183"/>
    <w:rsid w:val="008C544F"/>
    <w:rsid w:val="008C60DC"/>
    <w:rsid w:val="008C6D2D"/>
    <w:rsid w:val="008C71CB"/>
    <w:rsid w:val="008C7231"/>
    <w:rsid w:val="008C73BA"/>
    <w:rsid w:val="008C744A"/>
    <w:rsid w:val="008C7AA0"/>
    <w:rsid w:val="008C7B07"/>
    <w:rsid w:val="008C7ECE"/>
    <w:rsid w:val="008D087A"/>
    <w:rsid w:val="008D0C92"/>
    <w:rsid w:val="008D1350"/>
    <w:rsid w:val="008D146A"/>
    <w:rsid w:val="008D1499"/>
    <w:rsid w:val="008D1F74"/>
    <w:rsid w:val="008D20F3"/>
    <w:rsid w:val="008D29D8"/>
    <w:rsid w:val="008D3B86"/>
    <w:rsid w:val="008D3F28"/>
    <w:rsid w:val="008D4542"/>
    <w:rsid w:val="008D49E5"/>
    <w:rsid w:val="008D4A5E"/>
    <w:rsid w:val="008D4A6D"/>
    <w:rsid w:val="008D5006"/>
    <w:rsid w:val="008D59EC"/>
    <w:rsid w:val="008D5EAC"/>
    <w:rsid w:val="008D639D"/>
    <w:rsid w:val="008D6415"/>
    <w:rsid w:val="008D6CD1"/>
    <w:rsid w:val="008D736E"/>
    <w:rsid w:val="008D73B4"/>
    <w:rsid w:val="008D7422"/>
    <w:rsid w:val="008D7876"/>
    <w:rsid w:val="008D7A1E"/>
    <w:rsid w:val="008D7F65"/>
    <w:rsid w:val="008E0089"/>
    <w:rsid w:val="008E0299"/>
    <w:rsid w:val="008E0AD7"/>
    <w:rsid w:val="008E0F01"/>
    <w:rsid w:val="008E1AA2"/>
    <w:rsid w:val="008E1C60"/>
    <w:rsid w:val="008E1DED"/>
    <w:rsid w:val="008E28E2"/>
    <w:rsid w:val="008E3959"/>
    <w:rsid w:val="008E3B50"/>
    <w:rsid w:val="008E3B51"/>
    <w:rsid w:val="008E3D75"/>
    <w:rsid w:val="008E4788"/>
    <w:rsid w:val="008E4838"/>
    <w:rsid w:val="008E48D6"/>
    <w:rsid w:val="008E57EA"/>
    <w:rsid w:val="008E5820"/>
    <w:rsid w:val="008E584E"/>
    <w:rsid w:val="008E5B92"/>
    <w:rsid w:val="008E5C98"/>
    <w:rsid w:val="008E69B0"/>
    <w:rsid w:val="008E6AB8"/>
    <w:rsid w:val="008E6EA1"/>
    <w:rsid w:val="008E70D5"/>
    <w:rsid w:val="008E71A2"/>
    <w:rsid w:val="008E7B7C"/>
    <w:rsid w:val="008E7B91"/>
    <w:rsid w:val="008F0146"/>
    <w:rsid w:val="008F1698"/>
    <w:rsid w:val="008F1F41"/>
    <w:rsid w:val="008F243F"/>
    <w:rsid w:val="008F2E9F"/>
    <w:rsid w:val="008F3072"/>
    <w:rsid w:val="008F3223"/>
    <w:rsid w:val="008F38F1"/>
    <w:rsid w:val="008F3B6E"/>
    <w:rsid w:val="008F4766"/>
    <w:rsid w:val="008F4AA5"/>
    <w:rsid w:val="008F4C0C"/>
    <w:rsid w:val="008F5352"/>
    <w:rsid w:val="008F59E4"/>
    <w:rsid w:val="008F6032"/>
    <w:rsid w:val="008F6769"/>
    <w:rsid w:val="008F68E7"/>
    <w:rsid w:val="008F6A72"/>
    <w:rsid w:val="008F75A7"/>
    <w:rsid w:val="008F79D0"/>
    <w:rsid w:val="008F7A4B"/>
    <w:rsid w:val="008F7DFA"/>
    <w:rsid w:val="008F7F1C"/>
    <w:rsid w:val="00900268"/>
    <w:rsid w:val="00900A74"/>
    <w:rsid w:val="00900AF2"/>
    <w:rsid w:val="00901079"/>
    <w:rsid w:val="009014F3"/>
    <w:rsid w:val="00901627"/>
    <w:rsid w:val="00901648"/>
    <w:rsid w:val="0090167F"/>
    <w:rsid w:val="00901BA6"/>
    <w:rsid w:val="00901D51"/>
    <w:rsid w:val="0090239E"/>
    <w:rsid w:val="009023B5"/>
    <w:rsid w:val="00902414"/>
    <w:rsid w:val="0090257C"/>
    <w:rsid w:val="009029B4"/>
    <w:rsid w:val="00902E92"/>
    <w:rsid w:val="00902EA4"/>
    <w:rsid w:val="009033CF"/>
    <w:rsid w:val="00903F07"/>
    <w:rsid w:val="009040E8"/>
    <w:rsid w:val="00904723"/>
    <w:rsid w:val="009050A6"/>
    <w:rsid w:val="009053EB"/>
    <w:rsid w:val="0090544D"/>
    <w:rsid w:val="00905963"/>
    <w:rsid w:val="0090611D"/>
    <w:rsid w:val="009064FE"/>
    <w:rsid w:val="00906ACB"/>
    <w:rsid w:val="009070B4"/>
    <w:rsid w:val="00907616"/>
    <w:rsid w:val="00907622"/>
    <w:rsid w:val="00907A8E"/>
    <w:rsid w:val="00907E81"/>
    <w:rsid w:val="00910075"/>
    <w:rsid w:val="009100F1"/>
    <w:rsid w:val="0091068F"/>
    <w:rsid w:val="009109D9"/>
    <w:rsid w:val="00910DD0"/>
    <w:rsid w:val="00911662"/>
    <w:rsid w:val="00911E50"/>
    <w:rsid w:val="009120AC"/>
    <w:rsid w:val="009121D9"/>
    <w:rsid w:val="009122A2"/>
    <w:rsid w:val="009123E9"/>
    <w:rsid w:val="0091267E"/>
    <w:rsid w:val="009126D4"/>
    <w:rsid w:val="0091279C"/>
    <w:rsid w:val="00913399"/>
    <w:rsid w:val="00913F1E"/>
    <w:rsid w:val="00914035"/>
    <w:rsid w:val="009140E7"/>
    <w:rsid w:val="0091444E"/>
    <w:rsid w:val="00914F21"/>
    <w:rsid w:val="009152FB"/>
    <w:rsid w:val="009154B1"/>
    <w:rsid w:val="00915DDB"/>
    <w:rsid w:val="009162D8"/>
    <w:rsid w:val="00916963"/>
    <w:rsid w:val="00916CC8"/>
    <w:rsid w:val="00916EB7"/>
    <w:rsid w:val="009170A4"/>
    <w:rsid w:val="009170AC"/>
    <w:rsid w:val="009170D1"/>
    <w:rsid w:val="009217F5"/>
    <w:rsid w:val="009218F7"/>
    <w:rsid w:val="00921ECD"/>
    <w:rsid w:val="00922209"/>
    <w:rsid w:val="00922410"/>
    <w:rsid w:val="009229B9"/>
    <w:rsid w:val="00922F08"/>
    <w:rsid w:val="00923242"/>
    <w:rsid w:val="009235FD"/>
    <w:rsid w:val="009237E8"/>
    <w:rsid w:val="0092392D"/>
    <w:rsid w:val="00923D8D"/>
    <w:rsid w:val="00923DCF"/>
    <w:rsid w:val="00924012"/>
    <w:rsid w:val="0092451F"/>
    <w:rsid w:val="00924D19"/>
    <w:rsid w:val="009252DE"/>
    <w:rsid w:val="0092536D"/>
    <w:rsid w:val="00925502"/>
    <w:rsid w:val="00925DF1"/>
    <w:rsid w:val="00926883"/>
    <w:rsid w:val="0092695B"/>
    <w:rsid w:val="00926EC4"/>
    <w:rsid w:val="009272A3"/>
    <w:rsid w:val="0092768B"/>
    <w:rsid w:val="00927BCD"/>
    <w:rsid w:val="00927C19"/>
    <w:rsid w:val="009300EA"/>
    <w:rsid w:val="009301F7"/>
    <w:rsid w:val="009304BA"/>
    <w:rsid w:val="0093056A"/>
    <w:rsid w:val="00930775"/>
    <w:rsid w:val="00930CAC"/>
    <w:rsid w:val="009310D7"/>
    <w:rsid w:val="009312E7"/>
    <w:rsid w:val="00931749"/>
    <w:rsid w:val="00932473"/>
    <w:rsid w:val="0093267D"/>
    <w:rsid w:val="009328FE"/>
    <w:rsid w:val="00933024"/>
    <w:rsid w:val="0093360E"/>
    <w:rsid w:val="009337B6"/>
    <w:rsid w:val="009337EE"/>
    <w:rsid w:val="00933D5F"/>
    <w:rsid w:val="00934160"/>
    <w:rsid w:val="009341E3"/>
    <w:rsid w:val="0093437E"/>
    <w:rsid w:val="0093479B"/>
    <w:rsid w:val="00934814"/>
    <w:rsid w:val="00934A5B"/>
    <w:rsid w:val="00934C35"/>
    <w:rsid w:val="009353D7"/>
    <w:rsid w:val="00935429"/>
    <w:rsid w:val="00935D89"/>
    <w:rsid w:val="00936816"/>
    <w:rsid w:val="0093696E"/>
    <w:rsid w:val="00936992"/>
    <w:rsid w:val="00936AEF"/>
    <w:rsid w:val="00936BCC"/>
    <w:rsid w:val="00936DBE"/>
    <w:rsid w:val="00937024"/>
    <w:rsid w:val="009371A4"/>
    <w:rsid w:val="00937366"/>
    <w:rsid w:val="00937805"/>
    <w:rsid w:val="00937B80"/>
    <w:rsid w:val="0094062B"/>
    <w:rsid w:val="00940834"/>
    <w:rsid w:val="0094167C"/>
    <w:rsid w:val="009417AB"/>
    <w:rsid w:val="00942086"/>
    <w:rsid w:val="0094219B"/>
    <w:rsid w:val="00942275"/>
    <w:rsid w:val="0094232B"/>
    <w:rsid w:val="00942350"/>
    <w:rsid w:val="00942374"/>
    <w:rsid w:val="0094256A"/>
    <w:rsid w:val="00942C21"/>
    <w:rsid w:val="00943042"/>
    <w:rsid w:val="00943079"/>
    <w:rsid w:val="0094394D"/>
    <w:rsid w:val="009445CD"/>
    <w:rsid w:val="00944BC6"/>
    <w:rsid w:val="0094526B"/>
    <w:rsid w:val="009453C2"/>
    <w:rsid w:val="009453F0"/>
    <w:rsid w:val="009454E6"/>
    <w:rsid w:val="009456E3"/>
    <w:rsid w:val="009457C5"/>
    <w:rsid w:val="009459E7"/>
    <w:rsid w:val="00945BC6"/>
    <w:rsid w:val="00945DAE"/>
    <w:rsid w:val="00946163"/>
    <w:rsid w:val="0094617F"/>
    <w:rsid w:val="009461A5"/>
    <w:rsid w:val="00946864"/>
    <w:rsid w:val="00946DAC"/>
    <w:rsid w:val="00946DE9"/>
    <w:rsid w:val="0094718B"/>
    <w:rsid w:val="009475AE"/>
    <w:rsid w:val="009475E6"/>
    <w:rsid w:val="0094779E"/>
    <w:rsid w:val="009477ED"/>
    <w:rsid w:val="00950007"/>
    <w:rsid w:val="00950134"/>
    <w:rsid w:val="0095021F"/>
    <w:rsid w:val="00950430"/>
    <w:rsid w:val="00950549"/>
    <w:rsid w:val="00950585"/>
    <w:rsid w:val="0095069D"/>
    <w:rsid w:val="00950EBD"/>
    <w:rsid w:val="009515CD"/>
    <w:rsid w:val="00951650"/>
    <w:rsid w:val="0095173B"/>
    <w:rsid w:val="00951931"/>
    <w:rsid w:val="00951FD5"/>
    <w:rsid w:val="00952068"/>
    <w:rsid w:val="00952D97"/>
    <w:rsid w:val="00952DE9"/>
    <w:rsid w:val="0095311E"/>
    <w:rsid w:val="00953703"/>
    <w:rsid w:val="0095374C"/>
    <w:rsid w:val="009538B2"/>
    <w:rsid w:val="00953A66"/>
    <w:rsid w:val="00953D6E"/>
    <w:rsid w:val="00953E0D"/>
    <w:rsid w:val="00953E43"/>
    <w:rsid w:val="0095405A"/>
    <w:rsid w:val="00954408"/>
    <w:rsid w:val="009545FC"/>
    <w:rsid w:val="0095475E"/>
    <w:rsid w:val="00954D3E"/>
    <w:rsid w:val="00954DA6"/>
    <w:rsid w:val="00954EAE"/>
    <w:rsid w:val="009551D6"/>
    <w:rsid w:val="00955210"/>
    <w:rsid w:val="00955695"/>
    <w:rsid w:val="00955B63"/>
    <w:rsid w:val="00955FCE"/>
    <w:rsid w:val="00956321"/>
    <w:rsid w:val="0095666F"/>
    <w:rsid w:val="00956675"/>
    <w:rsid w:val="00956ADE"/>
    <w:rsid w:val="00956BFA"/>
    <w:rsid w:val="00956DD5"/>
    <w:rsid w:val="00956E8A"/>
    <w:rsid w:val="009570C1"/>
    <w:rsid w:val="00957225"/>
    <w:rsid w:val="009574BA"/>
    <w:rsid w:val="00957607"/>
    <w:rsid w:val="00957DB7"/>
    <w:rsid w:val="00957E56"/>
    <w:rsid w:val="00957EB4"/>
    <w:rsid w:val="00957F16"/>
    <w:rsid w:val="00960723"/>
    <w:rsid w:val="00960A95"/>
    <w:rsid w:val="00960B9F"/>
    <w:rsid w:val="00961A8B"/>
    <w:rsid w:val="00962739"/>
    <w:rsid w:val="009627D4"/>
    <w:rsid w:val="00962800"/>
    <w:rsid w:val="00962B22"/>
    <w:rsid w:val="00963F6A"/>
    <w:rsid w:val="009640BE"/>
    <w:rsid w:val="0096416D"/>
    <w:rsid w:val="0096429E"/>
    <w:rsid w:val="009642D1"/>
    <w:rsid w:val="00964FE8"/>
    <w:rsid w:val="009652B0"/>
    <w:rsid w:val="009656C0"/>
    <w:rsid w:val="009659B2"/>
    <w:rsid w:val="00965FAD"/>
    <w:rsid w:val="009667C0"/>
    <w:rsid w:val="009668A2"/>
    <w:rsid w:val="009668C6"/>
    <w:rsid w:val="00966941"/>
    <w:rsid w:val="00966EF8"/>
    <w:rsid w:val="00967193"/>
    <w:rsid w:val="00967681"/>
    <w:rsid w:val="009676E6"/>
    <w:rsid w:val="00970A92"/>
    <w:rsid w:val="00971B73"/>
    <w:rsid w:val="00971CC5"/>
    <w:rsid w:val="00971D50"/>
    <w:rsid w:val="00971E4A"/>
    <w:rsid w:val="00971EAF"/>
    <w:rsid w:val="009720C3"/>
    <w:rsid w:val="0097212E"/>
    <w:rsid w:val="0097249A"/>
    <w:rsid w:val="00972738"/>
    <w:rsid w:val="009727ED"/>
    <w:rsid w:val="00973557"/>
    <w:rsid w:val="0097383D"/>
    <w:rsid w:val="00973C24"/>
    <w:rsid w:val="00973C34"/>
    <w:rsid w:val="00973D79"/>
    <w:rsid w:val="00973E78"/>
    <w:rsid w:val="00973F7E"/>
    <w:rsid w:val="00974510"/>
    <w:rsid w:val="0097472F"/>
    <w:rsid w:val="0097479E"/>
    <w:rsid w:val="00975933"/>
    <w:rsid w:val="00975B8B"/>
    <w:rsid w:val="00975CD4"/>
    <w:rsid w:val="0097697A"/>
    <w:rsid w:val="00976C5E"/>
    <w:rsid w:val="009774D6"/>
    <w:rsid w:val="009802B1"/>
    <w:rsid w:val="0098038E"/>
    <w:rsid w:val="009808A1"/>
    <w:rsid w:val="009814FD"/>
    <w:rsid w:val="00981BF3"/>
    <w:rsid w:val="00981D08"/>
    <w:rsid w:val="00982065"/>
    <w:rsid w:val="009823A3"/>
    <w:rsid w:val="009824C8"/>
    <w:rsid w:val="00982A82"/>
    <w:rsid w:val="00982F83"/>
    <w:rsid w:val="009835FC"/>
    <w:rsid w:val="00984326"/>
    <w:rsid w:val="009843E3"/>
    <w:rsid w:val="009855A1"/>
    <w:rsid w:val="00985D8D"/>
    <w:rsid w:val="00986177"/>
    <w:rsid w:val="0098651E"/>
    <w:rsid w:val="00986521"/>
    <w:rsid w:val="00986603"/>
    <w:rsid w:val="00986889"/>
    <w:rsid w:val="00986AA8"/>
    <w:rsid w:val="00986EAB"/>
    <w:rsid w:val="00986FFA"/>
    <w:rsid w:val="009870C1"/>
    <w:rsid w:val="0098721B"/>
    <w:rsid w:val="009872A1"/>
    <w:rsid w:val="009872D3"/>
    <w:rsid w:val="009876A1"/>
    <w:rsid w:val="0098795A"/>
    <w:rsid w:val="00987B96"/>
    <w:rsid w:val="00987E67"/>
    <w:rsid w:val="00987ED6"/>
    <w:rsid w:val="00987FDC"/>
    <w:rsid w:val="00990035"/>
    <w:rsid w:val="009900D0"/>
    <w:rsid w:val="0099014A"/>
    <w:rsid w:val="00990410"/>
    <w:rsid w:val="009907DD"/>
    <w:rsid w:val="00990B3B"/>
    <w:rsid w:val="009910CC"/>
    <w:rsid w:val="009912DB"/>
    <w:rsid w:val="0099168D"/>
    <w:rsid w:val="00991714"/>
    <w:rsid w:val="00991A38"/>
    <w:rsid w:val="00991D16"/>
    <w:rsid w:val="00991F0A"/>
    <w:rsid w:val="00991FA8"/>
    <w:rsid w:val="00991FB4"/>
    <w:rsid w:val="0099247D"/>
    <w:rsid w:val="00992576"/>
    <w:rsid w:val="00992902"/>
    <w:rsid w:val="00992BB0"/>
    <w:rsid w:val="00992DC0"/>
    <w:rsid w:val="00992DF4"/>
    <w:rsid w:val="00993579"/>
    <w:rsid w:val="0099364A"/>
    <w:rsid w:val="009943D6"/>
    <w:rsid w:val="00994B20"/>
    <w:rsid w:val="0099567A"/>
    <w:rsid w:val="00995875"/>
    <w:rsid w:val="00995A59"/>
    <w:rsid w:val="0099619A"/>
    <w:rsid w:val="009966D1"/>
    <w:rsid w:val="00997B2D"/>
    <w:rsid w:val="009A04BB"/>
    <w:rsid w:val="009A05A6"/>
    <w:rsid w:val="009A0713"/>
    <w:rsid w:val="009A0F4B"/>
    <w:rsid w:val="009A1055"/>
    <w:rsid w:val="009A110E"/>
    <w:rsid w:val="009A122D"/>
    <w:rsid w:val="009A13C9"/>
    <w:rsid w:val="009A16F6"/>
    <w:rsid w:val="009A1C44"/>
    <w:rsid w:val="009A1CBF"/>
    <w:rsid w:val="009A1D84"/>
    <w:rsid w:val="009A250B"/>
    <w:rsid w:val="009A26D3"/>
    <w:rsid w:val="009A287F"/>
    <w:rsid w:val="009A2980"/>
    <w:rsid w:val="009A2C67"/>
    <w:rsid w:val="009A2FB9"/>
    <w:rsid w:val="009A326F"/>
    <w:rsid w:val="009A3364"/>
    <w:rsid w:val="009A4388"/>
    <w:rsid w:val="009A4C6E"/>
    <w:rsid w:val="009A4CAE"/>
    <w:rsid w:val="009A4FBB"/>
    <w:rsid w:val="009A5385"/>
    <w:rsid w:val="009A571B"/>
    <w:rsid w:val="009A69F6"/>
    <w:rsid w:val="009A7031"/>
    <w:rsid w:val="009A7100"/>
    <w:rsid w:val="009A78A9"/>
    <w:rsid w:val="009B03F7"/>
    <w:rsid w:val="009B0D15"/>
    <w:rsid w:val="009B1730"/>
    <w:rsid w:val="009B1FB0"/>
    <w:rsid w:val="009B241D"/>
    <w:rsid w:val="009B24E5"/>
    <w:rsid w:val="009B2699"/>
    <w:rsid w:val="009B294D"/>
    <w:rsid w:val="009B2957"/>
    <w:rsid w:val="009B2F3A"/>
    <w:rsid w:val="009B3AF0"/>
    <w:rsid w:val="009B3BCC"/>
    <w:rsid w:val="009B4370"/>
    <w:rsid w:val="009B44AB"/>
    <w:rsid w:val="009B479E"/>
    <w:rsid w:val="009B48B1"/>
    <w:rsid w:val="009B4ECF"/>
    <w:rsid w:val="009B6DF0"/>
    <w:rsid w:val="009B6F1E"/>
    <w:rsid w:val="009B73EC"/>
    <w:rsid w:val="009B749D"/>
    <w:rsid w:val="009B7A4A"/>
    <w:rsid w:val="009C0914"/>
    <w:rsid w:val="009C0D4E"/>
    <w:rsid w:val="009C0FD5"/>
    <w:rsid w:val="009C143F"/>
    <w:rsid w:val="009C1A82"/>
    <w:rsid w:val="009C1CCF"/>
    <w:rsid w:val="009C25AC"/>
    <w:rsid w:val="009C288D"/>
    <w:rsid w:val="009C29D0"/>
    <w:rsid w:val="009C2C82"/>
    <w:rsid w:val="009C3813"/>
    <w:rsid w:val="009C4080"/>
    <w:rsid w:val="009C45C2"/>
    <w:rsid w:val="009C469F"/>
    <w:rsid w:val="009C4AE8"/>
    <w:rsid w:val="009C4D82"/>
    <w:rsid w:val="009C53E0"/>
    <w:rsid w:val="009C5544"/>
    <w:rsid w:val="009C6403"/>
    <w:rsid w:val="009C692D"/>
    <w:rsid w:val="009C700E"/>
    <w:rsid w:val="009C7056"/>
    <w:rsid w:val="009C790E"/>
    <w:rsid w:val="009C7A35"/>
    <w:rsid w:val="009C7AB5"/>
    <w:rsid w:val="009C7ECC"/>
    <w:rsid w:val="009D0A15"/>
    <w:rsid w:val="009D0BD9"/>
    <w:rsid w:val="009D10F2"/>
    <w:rsid w:val="009D1573"/>
    <w:rsid w:val="009D17AA"/>
    <w:rsid w:val="009D17DA"/>
    <w:rsid w:val="009D1802"/>
    <w:rsid w:val="009D19E7"/>
    <w:rsid w:val="009D2AAA"/>
    <w:rsid w:val="009D2B32"/>
    <w:rsid w:val="009D3496"/>
    <w:rsid w:val="009D36E3"/>
    <w:rsid w:val="009D3C11"/>
    <w:rsid w:val="009D3F8E"/>
    <w:rsid w:val="009D4619"/>
    <w:rsid w:val="009D4906"/>
    <w:rsid w:val="009D4CB5"/>
    <w:rsid w:val="009D4EAA"/>
    <w:rsid w:val="009D5A5B"/>
    <w:rsid w:val="009D606B"/>
    <w:rsid w:val="009D60A4"/>
    <w:rsid w:val="009D6238"/>
    <w:rsid w:val="009D6A49"/>
    <w:rsid w:val="009D6B66"/>
    <w:rsid w:val="009D73D8"/>
    <w:rsid w:val="009D768A"/>
    <w:rsid w:val="009D7994"/>
    <w:rsid w:val="009E0420"/>
    <w:rsid w:val="009E0ED3"/>
    <w:rsid w:val="009E0EF6"/>
    <w:rsid w:val="009E1043"/>
    <w:rsid w:val="009E1A05"/>
    <w:rsid w:val="009E1B36"/>
    <w:rsid w:val="009E1B5F"/>
    <w:rsid w:val="009E1C83"/>
    <w:rsid w:val="009E227B"/>
    <w:rsid w:val="009E25C8"/>
    <w:rsid w:val="009E354D"/>
    <w:rsid w:val="009E3591"/>
    <w:rsid w:val="009E37AE"/>
    <w:rsid w:val="009E3C89"/>
    <w:rsid w:val="009E4290"/>
    <w:rsid w:val="009E433E"/>
    <w:rsid w:val="009E4A68"/>
    <w:rsid w:val="009E4DF6"/>
    <w:rsid w:val="009E4E51"/>
    <w:rsid w:val="009E550E"/>
    <w:rsid w:val="009E5A1A"/>
    <w:rsid w:val="009E5DE9"/>
    <w:rsid w:val="009E660C"/>
    <w:rsid w:val="009E667B"/>
    <w:rsid w:val="009E6D14"/>
    <w:rsid w:val="009E700F"/>
    <w:rsid w:val="009E71C7"/>
    <w:rsid w:val="009E71E8"/>
    <w:rsid w:val="009E7215"/>
    <w:rsid w:val="009E74C9"/>
    <w:rsid w:val="009E7A41"/>
    <w:rsid w:val="009E7D94"/>
    <w:rsid w:val="009E7ED9"/>
    <w:rsid w:val="009F00E9"/>
    <w:rsid w:val="009F05EF"/>
    <w:rsid w:val="009F11DE"/>
    <w:rsid w:val="009F1BD8"/>
    <w:rsid w:val="009F2253"/>
    <w:rsid w:val="009F267F"/>
    <w:rsid w:val="009F29D9"/>
    <w:rsid w:val="009F2A3D"/>
    <w:rsid w:val="009F2A51"/>
    <w:rsid w:val="009F2AF6"/>
    <w:rsid w:val="009F2C52"/>
    <w:rsid w:val="009F2C79"/>
    <w:rsid w:val="009F3070"/>
    <w:rsid w:val="009F3267"/>
    <w:rsid w:val="009F3B6D"/>
    <w:rsid w:val="009F4C8A"/>
    <w:rsid w:val="009F4D82"/>
    <w:rsid w:val="009F4F63"/>
    <w:rsid w:val="009F5033"/>
    <w:rsid w:val="009F5523"/>
    <w:rsid w:val="009F56C9"/>
    <w:rsid w:val="009F5B7A"/>
    <w:rsid w:val="009F7AC2"/>
    <w:rsid w:val="009F7B40"/>
    <w:rsid w:val="009F7CFD"/>
    <w:rsid w:val="009F7D87"/>
    <w:rsid w:val="00A00521"/>
    <w:rsid w:val="00A00A12"/>
    <w:rsid w:val="00A00EC8"/>
    <w:rsid w:val="00A00FDC"/>
    <w:rsid w:val="00A0109F"/>
    <w:rsid w:val="00A01B0E"/>
    <w:rsid w:val="00A020AC"/>
    <w:rsid w:val="00A02729"/>
    <w:rsid w:val="00A02CE9"/>
    <w:rsid w:val="00A0320B"/>
    <w:rsid w:val="00A0326A"/>
    <w:rsid w:val="00A03559"/>
    <w:rsid w:val="00A03E20"/>
    <w:rsid w:val="00A043AB"/>
    <w:rsid w:val="00A0455C"/>
    <w:rsid w:val="00A04D10"/>
    <w:rsid w:val="00A04F1E"/>
    <w:rsid w:val="00A05A8F"/>
    <w:rsid w:val="00A05CA3"/>
    <w:rsid w:val="00A05D37"/>
    <w:rsid w:val="00A05FBA"/>
    <w:rsid w:val="00A06260"/>
    <w:rsid w:val="00A06328"/>
    <w:rsid w:val="00A067D9"/>
    <w:rsid w:val="00A0698A"/>
    <w:rsid w:val="00A07182"/>
    <w:rsid w:val="00A0757E"/>
    <w:rsid w:val="00A07A24"/>
    <w:rsid w:val="00A07EA6"/>
    <w:rsid w:val="00A07FCB"/>
    <w:rsid w:val="00A1056C"/>
    <w:rsid w:val="00A108C8"/>
    <w:rsid w:val="00A114DD"/>
    <w:rsid w:val="00A11CC2"/>
    <w:rsid w:val="00A12025"/>
    <w:rsid w:val="00A12080"/>
    <w:rsid w:val="00A122DF"/>
    <w:rsid w:val="00A12791"/>
    <w:rsid w:val="00A12A0D"/>
    <w:rsid w:val="00A12C73"/>
    <w:rsid w:val="00A134EB"/>
    <w:rsid w:val="00A1366A"/>
    <w:rsid w:val="00A1418C"/>
    <w:rsid w:val="00A14193"/>
    <w:rsid w:val="00A1438F"/>
    <w:rsid w:val="00A14816"/>
    <w:rsid w:val="00A14F93"/>
    <w:rsid w:val="00A15561"/>
    <w:rsid w:val="00A16152"/>
    <w:rsid w:val="00A16367"/>
    <w:rsid w:val="00A1673B"/>
    <w:rsid w:val="00A16DF2"/>
    <w:rsid w:val="00A16EC8"/>
    <w:rsid w:val="00A1711A"/>
    <w:rsid w:val="00A17177"/>
    <w:rsid w:val="00A177C8"/>
    <w:rsid w:val="00A17F94"/>
    <w:rsid w:val="00A20AD6"/>
    <w:rsid w:val="00A20B27"/>
    <w:rsid w:val="00A20E0F"/>
    <w:rsid w:val="00A2240B"/>
    <w:rsid w:val="00A225A7"/>
    <w:rsid w:val="00A22685"/>
    <w:rsid w:val="00A226FA"/>
    <w:rsid w:val="00A2285D"/>
    <w:rsid w:val="00A22E3A"/>
    <w:rsid w:val="00A22EA3"/>
    <w:rsid w:val="00A22F04"/>
    <w:rsid w:val="00A23232"/>
    <w:rsid w:val="00A2335A"/>
    <w:rsid w:val="00A23675"/>
    <w:rsid w:val="00A23755"/>
    <w:rsid w:val="00A238D7"/>
    <w:rsid w:val="00A23AA1"/>
    <w:rsid w:val="00A23AE2"/>
    <w:rsid w:val="00A23BBD"/>
    <w:rsid w:val="00A23DFA"/>
    <w:rsid w:val="00A23EEE"/>
    <w:rsid w:val="00A247F4"/>
    <w:rsid w:val="00A24AD1"/>
    <w:rsid w:val="00A2505F"/>
    <w:rsid w:val="00A25515"/>
    <w:rsid w:val="00A25D86"/>
    <w:rsid w:val="00A26895"/>
    <w:rsid w:val="00A27137"/>
    <w:rsid w:val="00A2762A"/>
    <w:rsid w:val="00A2774B"/>
    <w:rsid w:val="00A27B4D"/>
    <w:rsid w:val="00A30E9A"/>
    <w:rsid w:val="00A30E9D"/>
    <w:rsid w:val="00A310FE"/>
    <w:rsid w:val="00A31970"/>
    <w:rsid w:val="00A3224D"/>
    <w:rsid w:val="00A3232F"/>
    <w:rsid w:val="00A32886"/>
    <w:rsid w:val="00A32B72"/>
    <w:rsid w:val="00A33FAC"/>
    <w:rsid w:val="00A348A6"/>
    <w:rsid w:val="00A349C3"/>
    <w:rsid w:val="00A34CE4"/>
    <w:rsid w:val="00A34EE4"/>
    <w:rsid w:val="00A35C81"/>
    <w:rsid w:val="00A366D7"/>
    <w:rsid w:val="00A37F82"/>
    <w:rsid w:val="00A40F9E"/>
    <w:rsid w:val="00A41090"/>
    <w:rsid w:val="00A415BF"/>
    <w:rsid w:val="00A41AF2"/>
    <w:rsid w:val="00A41F5E"/>
    <w:rsid w:val="00A424CA"/>
    <w:rsid w:val="00A425B8"/>
    <w:rsid w:val="00A4265B"/>
    <w:rsid w:val="00A42942"/>
    <w:rsid w:val="00A42B66"/>
    <w:rsid w:val="00A42BDC"/>
    <w:rsid w:val="00A42E4D"/>
    <w:rsid w:val="00A430EA"/>
    <w:rsid w:val="00A4361D"/>
    <w:rsid w:val="00A43A6D"/>
    <w:rsid w:val="00A43CBC"/>
    <w:rsid w:val="00A43F0C"/>
    <w:rsid w:val="00A44393"/>
    <w:rsid w:val="00A445B4"/>
    <w:rsid w:val="00A44801"/>
    <w:rsid w:val="00A44B47"/>
    <w:rsid w:val="00A44BB3"/>
    <w:rsid w:val="00A44F45"/>
    <w:rsid w:val="00A454FC"/>
    <w:rsid w:val="00A45610"/>
    <w:rsid w:val="00A4574A"/>
    <w:rsid w:val="00A45B3F"/>
    <w:rsid w:val="00A46AD8"/>
    <w:rsid w:val="00A46EDE"/>
    <w:rsid w:val="00A46F51"/>
    <w:rsid w:val="00A474F2"/>
    <w:rsid w:val="00A5017F"/>
    <w:rsid w:val="00A50525"/>
    <w:rsid w:val="00A50B3A"/>
    <w:rsid w:val="00A50B7A"/>
    <w:rsid w:val="00A50F34"/>
    <w:rsid w:val="00A525A8"/>
    <w:rsid w:val="00A52E8A"/>
    <w:rsid w:val="00A5364A"/>
    <w:rsid w:val="00A54D6B"/>
    <w:rsid w:val="00A55150"/>
    <w:rsid w:val="00A5566C"/>
    <w:rsid w:val="00A556FD"/>
    <w:rsid w:val="00A55965"/>
    <w:rsid w:val="00A55BB3"/>
    <w:rsid w:val="00A55D69"/>
    <w:rsid w:val="00A55F51"/>
    <w:rsid w:val="00A55F70"/>
    <w:rsid w:val="00A56293"/>
    <w:rsid w:val="00A564F3"/>
    <w:rsid w:val="00A56A88"/>
    <w:rsid w:val="00A56E2A"/>
    <w:rsid w:val="00A57281"/>
    <w:rsid w:val="00A57360"/>
    <w:rsid w:val="00A575F1"/>
    <w:rsid w:val="00A5799F"/>
    <w:rsid w:val="00A601F6"/>
    <w:rsid w:val="00A611A2"/>
    <w:rsid w:val="00A61A61"/>
    <w:rsid w:val="00A6215E"/>
    <w:rsid w:val="00A62374"/>
    <w:rsid w:val="00A6246A"/>
    <w:rsid w:val="00A62FB2"/>
    <w:rsid w:val="00A632E7"/>
    <w:rsid w:val="00A63584"/>
    <w:rsid w:val="00A63952"/>
    <w:rsid w:val="00A63B1A"/>
    <w:rsid w:val="00A63E94"/>
    <w:rsid w:val="00A64488"/>
    <w:rsid w:val="00A647CF"/>
    <w:rsid w:val="00A648BA"/>
    <w:rsid w:val="00A652C0"/>
    <w:rsid w:val="00A65328"/>
    <w:rsid w:val="00A65440"/>
    <w:rsid w:val="00A65540"/>
    <w:rsid w:val="00A65649"/>
    <w:rsid w:val="00A65728"/>
    <w:rsid w:val="00A657C1"/>
    <w:rsid w:val="00A657DF"/>
    <w:rsid w:val="00A65BA7"/>
    <w:rsid w:val="00A65CDD"/>
    <w:rsid w:val="00A65E4B"/>
    <w:rsid w:val="00A65E66"/>
    <w:rsid w:val="00A6635F"/>
    <w:rsid w:val="00A66558"/>
    <w:rsid w:val="00A66802"/>
    <w:rsid w:val="00A6680E"/>
    <w:rsid w:val="00A669A0"/>
    <w:rsid w:val="00A66AF5"/>
    <w:rsid w:val="00A66E07"/>
    <w:rsid w:val="00A66E45"/>
    <w:rsid w:val="00A67E39"/>
    <w:rsid w:val="00A7000D"/>
    <w:rsid w:val="00A705E1"/>
    <w:rsid w:val="00A70C51"/>
    <w:rsid w:val="00A70D44"/>
    <w:rsid w:val="00A70E28"/>
    <w:rsid w:val="00A70E41"/>
    <w:rsid w:val="00A7107D"/>
    <w:rsid w:val="00A713B0"/>
    <w:rsid w:val="00A716F0"/>
    <w:rsid w:val="00A7221D"/>
    <w:rsid w:val="00A723F1"/>
    <w:rsid w:val="00A729C4"/>
    <w:rsid w:val="00A72AAB"/>
    <w:rsid w:val="00A73EE2"/>
    <w:rsid w:val="00A74070"/>
    <w:rsid w:val="00A74226"/>
    <w:rsid w:val="00A74739"/>
    <w:rsid w:val="00A74943"/>
    <w:rsid w:val="00A74E7C"/>
    <w:rsid w:val="00A750BA"/>
    <w:rsid w:val="00A75496"/>
    <w:rsid w:val="00A754A9"/>
    <w:rsid w:val="00A75FBC"/>
    <w:rsid w:val="00A769E3"/>
    <w:rsid w:val="00A76C52"/>
    <w:rsid w:val="00A76FBF"/>
    <w:rsid w:val="00A7778C"/>
    <w:rsid w:val="00A803E3"/>
    <w:rsid w:val="00A80714"/>
    <w:rsid w:val="00A80F46"/>
    <w:rsid w:val="00A81714"/>
    <w:rsid w:val="00A8181C"/>
    <w:rsid w:val="00A81E06"/>
    <w:rsid w:val="00A82408"/>
    <w:rsid w:val="00A82698"/>
    <w:rsid w:val="00A828A5"/>
    <w:rsid w:val="00A82B70"/>
    <w:rsid w:val="00A82C07"/>
    <w:rsid w:val="00A82C30"/>
    <w:rsid w:val="00A8361D"/>
    <w:rsid w:val="00A84528"/>
    <w:rsid w:val="00A8452F"/>
    <w:rsid w:val="00A8461D"/>
    <w:rsid w:val="00A84730"/>
    <w:rsid w:val="00A848FD"/>
    <w:rsid w:val="00A84B03"/>
    <w:rsid w:val="00A84F3B"/>
    <w:rsid w:val="00A85247"/>
    <w:rsid w:val="00A856CE"/>
    <w:rsid w:val="00A85D2B"/>
    <w:rsid w:val="00A85E20"/>
    <w:rsid w:val="00A85F1E"/>
    <w:rsid w:val="00A86143"/>
    <w:rsid w:val="00A867E9"/>
    <w:rsid w:val="00A86C0C"/>
    <w:rsid w:val="00A86C1F"/>
    <w:rsid w:val="00A86EB7"/>
    <w:rsid w:val="00A87269"/>
    <w:rsid w:val="00A874D0"/>
    <w:rsid w:val="00A877C4"/>
    <w:rsid w:val="00A87CA7"/>
    <w:rsid w:val="00A87DA7"/>
    <w:rsid w:val="00A90649"/>
    <w:rsid w:val="00A907E6"/>
    <w:rsid w:val="00A91326"/>
    <w:rsid w:val="00A91649"/>
    <w:rsid w:val="00A922F3"/>
    <w:rsid w:val="00A92C6C"/>
    <w:rsid w:val="00A92C95"/>
    <w:rsid w:val="00A93202"/>
    <w:rsid w:val="00A9397E"/>
    <w:rsid w:val="00A93A9E"/>
    <w:rsid w:val="00A93E67"/>
    <w:rsid w:val="00A94806"/>
    <w:rsid w:val="00A94FD8"/>
    <w:rsid w:val="00A95619"/>
    <w:rsid w:val="00A95737"/>
    <w:rsid w:val="00A95770"/>
    <w:rsid w:val="00A958F7"/>
    <w:rsid w:val="00A95A5C"/>
    <w:rsid w:val="00A95CB1"/>
    <w:rsid w:val="00A95DF2"/>
    <w:rsid w:val="00A95F92"/>
    <w:rsid w:val="00A96543"/>
    <w:rsid w:val="00A965E8"/>
    <w:rsid w:val="00A966C4"/>
    <w:rsid w:val="00A97016"/>
    <w:rsid w:val="00A97064"/>
    <w:rsid w:val="00A97263"/>
    <w:rsid w:val="00A97599"/>
    <w:rsid w:val="00A97DF7"/>
    <w:rsid w:val="00A97E2A"/>
    <w:rsid w:val="00AA00D6"/>
    <w:rsid w:val="00AA01EB"/>
    <w:rsid w:val="00AA07CB"/>
    <w:rsid w:val="00AA0D90"/>
    <w:rsid w:val="00AA0FC4"/>
    <w:rsid w:val="00AA1801"/>
    <w:rsid w:val="00AA1B14"/>
    <w:rsid w:val="00AA1B89"/>
    <w:rsid w:val="00AA1DC1"/>
    <w:rsid w:val="00AA1E23"/>
    <w:rsid w:val="00AA251E"/>
    <w:rsid w:val="00AA33E3"/>
    <w:rsid w:val="00AA3893"/>
    <w:rsid w:val="00AA3ACF"/>
    <w:rsid w:val="00AA42F5"/>
    <w:rsid w:val="00AA4332"/>
    <w:rsid w:val="00AA4689"/>
    <w:rsid w:val="00AA4D7E"/>
    <w:rsid w:val="00AA4EC3"/>
    <w:rsid w:val="00AA596E"/>
    <w:rsid w:val="00AA5C23"/>
    <w:rsid w:val="00AA6486"/>
    <w:rsid w:val="00AA66DB"/>
    <w:rsid w:val="00AA69A1"/>
    <w:rsid w:val="00AA6BFF"/>
    <w:rsid w:val="00AA74D4"/>
    <w:rsid w:val="00AA797E"/>
    <w:rsid w:val="00AA7A65"/>
    <w:rsid w:val="00AA7D18"/>
    <w:rsid w:val="00AA7D24"/>
    <w:rsid w:val="00AB060E"/>
    <w:rsid w:val="00AB071C"/>
    <w:rsid w:val="00AB0755"/>
    <w:rsid w:val="00AB08F4"/>
    <w:rsid w:val="00AB0A51"/>
    <w:rsid w:val="00AB0B64"/>
    <w:rsid w:val="00AB114D"/>
    <w:rsid w:val="00AB189F"/>
    <w:rsid w:val="00AB1A72"/>
    <w:rsid w:val="00AB1E48"/>
    <w:rsid w:val="00AB2642"/>
    <w:rsid w:val="00AB279D"/>
    <w:rsid w:val="00AB337D"/>
    <w:rsid w:val="00AB3FBF"/>
    <w:rsid w:val="00AB423B"/>
    <w:rsid w:val="00AB4289"/>
    <w:rsid w:val="00AB4FE0"/>
    <w:rsid w:val="00AB530D"/>
    <w:rsid w:val="00AB551D"/>
    <w:rsid w:val="00AB5669"/>
    <w:rsid w:val="00AB5A60"/>
    <w:rsid w:val="00AB5CA3"/>
    <w:rsid w:val="00AB5D1E"/>
    <w:rsid w:val="00AB5E39"/>
    <w:rsid w:val="00AB6047"/>
    <w:rsid w:val="00AB6BB0"/>
    <w:rsid w:val="00AB7538"/>
    <w:rsid w:val="00AB7B54"/>
    <w:rsid w:val="00AC0BC4"/>
    <w:rsid w:val="00AC0F28"/>
    <w:rsid w:val="00AC1136"/>
    <w:rsid w:val="00AC11F6"/>
    <w:rsid w:val="00AC1202"/>
    <w:rsid w:val="00AC14E9"/>
    <w:rsid w:val="00AC232C"/>
    <w:rsid w:val="00AC266D"/>
    <w:rsid w:val="00AC2862"/>
    <w:rsid w:val="00AC29F2"/>
    <w:rsid w:val="00AC2B3A"/>
    <w:rsid w:val="00AC2D19"/>
    <w:rsid w:val="00AC39B4"/>
    <w:rsid w:val="00AC3B5A"/>
    <w:rsid w:val="00AC3C7B"/>
    <w:rsid w:val="00AC3E5A"/>
    <w:rsid w:val="00AC3EC3"/>
    <w:rsid w:val="00AC4338"/>
    <w:rsid w:val="00AC44C4"/>
    <w:rsid w:val="00AC45D2"/>
    <w:rsid w:val="00AC4649"/>
    <w:rsid w:val="00AC49A1"/>
    <w:rsid w:val="00AC4D4C"/>
    <w:rsid w:val="00AC4DA6"/>
    <w:rsid w:val="00AC5333"/>
    <w:rsid w:val="00AC57FD"/>
    <w:rsid w:val="00AC5905"/>
    <w:rsid w:val="00AC5CED"/>
    <w:rsid w:val="00AC5DA4"/>
    <w:rsid w:val="00AC6405"/>
    <w:rsid w:val="00AC6D0A"/>
    <w:rsid w:val="00AC743A"/>
    <w:rsid w:val="00AC79A3"/>
    <w:rsid w:val="00AC7A2C"/>
    <w:rsid w:val="00AC7DA7"/>
    <w:rsid w:val="00AC7E3B"/>
    <w:rsid w:val="00AC7F24"/>
    <w:rsid w:val="00AD02C8"/>
    <w:rsid w:val="00AD0416"/>
    <w:rsid w:val="00AD0583"/>
    <w:rsid w:val="00AD06CD"/>
    <w:rsid w:val="00AD0F62"/>
    <w:rsid w:val="00AD0F7A"/>
    <w:rsid w:val="00AD10C2"/>
    <w:rsid w:val="00AD19CB"/>
    <w:rsid w:val="00AD1C57"/>
    <w:rsid w:val="00AD2043"/>
    <w:rsid w:val="00AD21E3"/>
    <w:rsid w:val="00AD29D8"/>
    <w:rsid w:val="00AD2F34"/>
    <w:rsid w:val="00AD306A"/>
    <w:rsid w:val="00AD33B0"/>
    <w:rsid w:val="00AD3A0B"/>
    <w:rsid w:val="00AD3B7A"/>
    <w:rsid w:val="00AD3CBC"/>
    <w:rsid w:val="00AD42A8"/>
    <w:rsid w:val="00AD43C1"/>
    <w:rsid w:val="00AD45B0"/>
    <w:rsid w:val="00AD4775"/>
    <w:rsid w:val="00AD4F96"/>
    <w:rsid w:val="00AD510F"/>
    <w:rsid w:val="00AD5280"/>
    <w:rsid w:val="00AD57C5"/>
    <w:rsid w:val="00AD5E8A"/>
    <w:rsid w:val="00AD6075"/>
    <w:rsid w:val="00AD65EE"/>
    <w:rsid w:val="00AD662E"/>
    <w:rsid w:val="00AD6666"/>
    <w:rsid w:val="00AD6B42"/>
    <w:rsid w:val="00AD6CC1"/>
    <w:rsid w:val="00AD6F1F"/>
    <w:rsid w:val="00AD7B81"/>
    <w:rsid w:val="00AD7E56"/>
    <w:rsid w:val="00AE0000"/>
    <w:rsid w:val="00AE0247"/>
    <w:rsid w:val="00AE05E3"/>
    <w:rsid w:val="00AE08FB"/>
    <w:rsid w:val="00AE0975"/>
    <w:rsid w:val="00AE0A33"/>
    <w:rsid w:val="00AE1A57"/>
    <w:rsid w:val="00AE2318"/>
    <w:rsid w:val="00AE23F7"/>
    <w:rsid w:val="00AE2458"/>
    <w:rsid w:val="00AE25DD"/>
    <w:rsid w:val="00AE2A6D"/>
    <w:rsid w:val="00AE2ED1"/>
    <w:rsid w:val="00AE31AF"/>
    <w:rsid w:val="00AE3A07"/>
    <w:rsid w:val="00AE3CE8"/>
    <w:rsid w:val="00AE596A"/>
    <w:rsid w:val="00AE5D4F"/>
    <w:rsid w:val="00AE5E59"/>
    <w:rsid w:val="00AE5E7F"/>
    <w:rsid w:val="00AE6398"/>
    <w:rsid w:val="00AE641F"/>
    <w:rsid w:val="00AE65C8"/>
    <w:rsid w:val="00AE66D1"/>
    <w:rsid w:val="00AE6A78"/>
    <w:rsid w:val="00AE6CEC"/>
    <w:rsid w:val="00AE6EA3"/>
    <w:rsid w:val="00AE6EB7"/>
    <w:rsid w:val="00AE7061"/>
    <w:rsid w:val="00AE744C"/>
    <w:rsid w:val="00AF01B2"/>
    <w:rsid w:val="00AF04F9"/>
    <w:rsid w:val="00AF05ED"/>
    <w:rsid w:val="00AF0B0C"/>
    <w:rsid w:val="00AF0DFD"/>
    <w:rsid w:val="00AF1129"/>
    <w:rsid w:val="00AF12AB"/>
    <w:rsid w:val="00AF1A46"/>
    <w:rsid w:val="00AF1BF9"/>
    <w:rsid w:val="00AF1DF7"/>
    <w:rsid w:val="00AF1E42"/>
    <w:rsid w:val="00AF1F09"/>
    <w:rsid w:val="00AF2925"/>
    <w:rsid w:val="00AF2CBD"/>
    <w:rsid w:val="00AF2F0D"/>
    <w:rsid w:val="00AF2F32"/>
    <w:rsid w:val="00AF3252"/>
    <w:rsid w:val="00AF3373"/>
    <w:rsid w:val="00AF3521"/>
    <w:rsid w:val="00AF3809"/>
    <w:rsid w:val="00AF39E6"/>
    <w:rsid w:val="00AF3CE0"/>
    <w:rsid w:val="00AF4144"/>
    <w:rsid w:val="00AF44B8"/>
    <w:rsid w:val="00AF4631"/>
    <w:rsid w:val="00AF4BE4"/>
    <w:rsid w:val="00AF4CC3"/>
    <w:rsid w:val="00AF55A2"/>
    <w:rsid w:val="00AF59F0"/>
    <w:rsid w:val="00AF5ECE"/>
    <w:rsid w:val="00AF5F5D"/>
    <w:rsid w:val="00AF6989"/>
    <w:rsid w:val="00AF6DC3"/>
    <w:rsid w:val="00AF7CEA"/>
    <w:rsid w:val="00B0008C"/>
    <w:rsid w:val="00B00C96"/>
    <w:rsid w:val="00B011DD"/>
    <w:rsid w:val="00B017DA"/>
    <w:rsid w:val="00B018F6"/>
    <w:rsid w:val="00B01D4A"/>
    <w:rsid w:val="00B01F8F"/>
    <w:rsid w:val="00B021B7"/>
    <w:rsid w:val="00B02C91"/>
    <w:rsid w:val="00B02DC9"/>
    <w:rsid w:val="00B030F1"/>
    <w:rsid w:val="00B03818"/>
    <w:rsid w:val="00B03C3B"/>
    <w:rsid w:val="00B03D71"/>
    <w:rsid w:val="00B03DA3"/>
    <w:rsid w:val="00B03DCF"/>
    <w:rsid w:val="00B03F14"/>
    <w:rsid w:val="00B04110"/>
    <w:rsid w:val="00B0469B"/>
    <w:rsid w:val="00B047CE"/>
    <w:rsid w:val="00B04ADE"/>
    <w:rsid w:val="00B04E39"/>
    <w:rsid w:val="00B0527A"/>
    <w:rsid w:val="00B05C00"/>
    <w:rsid w:val="00B05C38"/>
    <w:rsid w:val="00B06197"/>
    <w:rsid w:val="00B0626D"/>
    <w:rsid w:val="00B0681A"/>
    <w:rsid w:val="00B0727C"/>
    <w:rsid w:val="00B07684"/>
    <w:rsid w:val="00B07F5A"/>
    <w:rsid w:val="00B105EF"/>
    <w:rsid w:val="00B11117"/>
    <w:rsid w:val="00B1156E"/>
    <w:rsid w:val="00B119E4"/>
    <w:rsid w:val="00B12083"/>
    <w:rsid w:val="00B123FD"/>
    <w:rsid w:val="00B12573"/>
    <w:rsid w:val="00B12A9D"/>
    <w:rsid w:val="00B12C63"/>
    <w:rsid w:val="00B12CF5"/>
    <w:rsid w:val="00B137D1"/>
    <w:rsid w:val="00B13C76"/>
    <w:rsid w:val="00B13DF0"/>
    <w:rsid w:val="00B14213"/>
    <w:rsid w:val="00B14378"/>
    <w:rsid w:val="00B143E3"/>
    <w:rsid w:val="00B1494E"/>
    <w:rsid w:val="00B14B30"/>
    <w:rsid w:val="00B14B58"/>
    <w:rsid w:val="00B15486"/>
    <w:rsid w:val="00B16226"/>
    <w:rsid w:val="00B168C8"/>
    <w:rsid w:val="00B16C0B"/>
    <w:rsid w:val="00B16D9F"/>
    <w:rsid w:val="00B16F69"/>
    <w:rsid w:val="00B170B7"/>
    <w:rsid w:val="00B17738"/>
    <w:rsid w:val="00B17EE3"/>
    <w:rsid w:val="00B20504"/>
    <w:rsid w:val="00B20A26"/>
    <w:rsid w:val="00B20BE0"/>
    <w:rsid w:val="00B20E92"/>
    <w:rsid w:val="00B20EDD"/>
    <w:rsid w:val="00B2127D"/>
    <w:rsid w:val="00B223FF"/>
    <w:rsid w:val="00B225A5"/>
    <w:rsid w:val="00B2269C"/>
    <w:rsid w:val="00B226A5"/>
    <w:rsid w:val="00B227B0"/>
    <w:rsid w:val="00B23324"/>
    <w:rsid w:val="00B24764"/>
    <w:rsid w:val="00B25061"/>
    <w:rsid w:val="00B25075"/>
    <w:rsid w:val="00B252F1"/>
    <w:rsid w:val="00B25F89"/>
    <w:rsid w:val="00B26390"/>
    <w:rsid w:val="00B266E6"/>
    <w:rsid w:val="00B26916"/>
    <w:rsid w:val="00B2751D"/>
    <w:rsid w:val="00B278EB"/>
    <w:rsid w:val="00B3043F"/>
    <w:rsid w:val="00B30B25"/>
    <w:rsid w:val="00B30B98"/>
    <w:rsid w:val="00B31687"/>
    <w:rsid w:val="00B316B0"/>
    <w:rsid w:val="00B31C60"/>
    <w:rsid w:val="00B3215F"/>
    <w:rsid w:val="00B324CD"/>
    <w:rsid w:val="00B32693"/>
    <w:rsid w:val="00B32768"/>
    <w:rsid w:val="00B327EE"/>
    <w:rsid w:val="00B328BD"/>
    <w:rsid w:val="00B32B6B"/>
    <w:rsid w:val="00B3345F"/>
    <w:rsid w:val="00B335CC"/>
    <w:rsid w:val="00B33685"/>
    <w:rsid w:val="00B337A0"/>
    <w:rsid w:val="00B33B81"/>
    <w:rsid w:val="00B33F5C"/>
    <w:rsid w:val="00B34303"/>
    <w:rsid w:val="00B343CD"/>
    <w:rsid w:val="00B34420"/>
    <w:rsid w:val="00B34626"/>
    <w:rsid w:val="00B350FE"/>
    <w:rsid w:val="00B35569"/>
    <w:rsid w:val="00B35ADC"/>
    <w:rsid w:val="00B35C86"/>
    <w:rsid w:val="00B35D87"/>
    <w:rsid w:val="00B363C9"/>
    <w:rsid w:val="00B36730"/>
    <w:rsid w:val="00B36752"/>
    <w:rsid w:val="00B36BA3"/>
    <w:rsid w:val="00B3724A"/>
    <w:rsid w:val="00B3753C"/>
    <w:rsid w:val="00B37D4F"/>
    <w:rsid w:val="00B37DB3"/>
    <w:rsid w:val="00B37DB7"/>
    <w:rsid w:val="00B401E5"/>
    <w:rsid w:val="00B40556"/>
    <w:rsid w:val="00B40734"/>
    <w:rsid w:val="00B407DB"/>
    <w:rsid w:val="00B40872"/>
    <w:rsid w:val="00B4088C"/>
    <w:rsid w:val="00B40BE8"/>
    <w:rsid w:val="00B40F26"/>
    <w:rsid w:val="00B40F32"/>
    <w:rsid w:val="00B41294"/>
    <w:rsid w:val="00B413DE"/>
    <w:rsid w:val="00B41D58"/>
    <w:rsid w:val="00B41E84"/>
    <w:rsid w:val="00B4272D"/>
    <w:rsid w:val="00B428DC"/>
    <w:rsid w:val="00B42BDA"/>
    <w:rsid w:val="00B42E47"/>
    <w:rsid w:val="00B43200"/>
    <w:rsid w:val="00B438A5"/>
    <w:rsid w:val="00B45959"/>
    <w:rsid w:val="00B4599A"/>
    <w:rsid w:val="00B46A1B"/>
    <w:rsid w:val="00B46BE0"/>
    <w:rsid w:val="00B46ECD"/>
    <w:rsid w:val="00B473A2"/>
    <w:rsid w:val="00B47C05"/>
    <w:rsid w:val="00B47D89"/>
    <w:rsid w:val="00B50602"/>
    <w:rsid w:val="00B5063E"/>
    <w:rsid w:val="00B50949"/>
    <w:rsid w:val="00B509FF"/>
    <w:rsid w:val="00B50B03"/>
    <w:rsid w:val="00B50C5A"/>
    <w:rsid w:val="00B51331"/>
    <w:rsid w:val="00B514F5"/>
    <w:rsid w:val="00B51A0E"/>
    <w:rsid w:val="00B526BA"/>
    <w:rsid w:val="00B529D6"/>
    <w:rsid w:val="00B53EB7"/>
    <w:rsid w:val="00B53F9C"/>
    <w:rsid w:val="00B5425B"/>
    <w:rsid w:val="00B54559"/>
    <w:rsid w:val="00B54CC4"/>
    <w:rsid w:val="00B54E88"/>
    <w:rsid w:val="00B5587D"/>
    <w:rsid w:val="00B55F0D"/>
    <w:rsid w:val="00B55FF6"/>
    <w:rsid w:val="00B561E6"/>
    <w:rsid w:val="00B562B6"/>
    <w:rsid w:val="00B56B59"/>
    <w:rsid w:val="00B56E85"/>
    <w:rsid w:val="00B56E9E"/>
    <w:rsid w:val="00B56F4D"/>
    <w:rsid w:val="00B5754A"/>
    <w:rsid w:val="00B5780F"/>
    <w:rsid w:val="00B57C01"/>
    <w:rsid w:val="00B57C36"/>
    <w:rsid w:val="00B60305"/>
    <w:rsid w:val="00B60D35"/>
    <w:rsid w:val="00B60DB4"/>
    <w:rsid w:val="00B60F4F"/>
    <w:rsid w:val="00B60F9F"/>
    <w:rsid w:val="00B61074"/>
    <w:rsid w:val="00B61149"/>
    <w:rsid w:val="00B6146D"/>
    <w:rsid w:val="00B6192F"/>
    <w:rsid w:val="00B620CF"/>
    <w:rsid w:val="00B621E2"/>
    <w:rsid w:val="00B6279D"/>
    <w:rsid w:val="00B62AA3"/>
    <w:rsid w:val="00B62C7F"/>
    <w:rsid w:val="00B63138"/>
    <w:rsid w:val="00B636F3"/>
    <w:rsid w:val="00B63BD1"/>
    <w:rsid w:val="00B64060"/>
    <w:rsid w:val="00B640A7"/>
    <w:rsid w:val="00B64279"/>
    <w:rsid w:val="00B642B6"/>
    <w:rsid w:val="00B64698"/>
    <w:rsid w:val="00B650F2"/>
    <w:rsid w:val="00B65EB7"/>
    <w:rsid w:val="00B661C0"/>
    <w:rsid w:val="00B663E6"/>
    <w:rsid w:val="00B66C25"/>
    <w:rsid w:val="00B66D38"/>
    <w:rsid w:val="00B66DB4"/>
    <w:rsid w:val="00B6706C"/>
    <w:rsid w:val="00B67D15"/>
    <w:rsid w:val="00B706DF"/>
    <w:rsid w:val="00B70796"/>
    <w:rsid w:val="00B70C16"/>
    <w:rsid w:val="00B71422"/>
    <w:rsid w:val="00B7186B"/>
    <w:rsid w:val="00B718D5"/>
    <w:rsid w:val="00B71B68"/>
    <w:rsid w:val="00B71FEB"/>
    <w:rsid w:val="00B7261D"/>
    <w:rsid w:val="00B732A4"/>
    <w:rsid w:val="00B73300"/>
    <w:rsid w:val="00B73344"/>
    <w:rsid w:val="00B735FD"/>
    <w:rsid w:val="00B73C27"/>
    <w:rsid w:val="00B73D26"/>
    <w:rsid w:val="00B73D7D"/>
    <w:rsid w:val="00B74ACC"/>
    <w:rsid w:val="00B7531F"/>
    <w:rsid w:val="00B75425"/>
    <w:rsid w:val="00B76001"/>
    <w:rsid w:val="00B7603A"/>
    <w:rsid w:val="00B7675E"/>
    <w:rsid w:val="00B770D5"/>
    <w:rsid w:val="00B7733F"/>
    <w:rsid w:val="00B809B6"/>
    <w:rsid w:val="00B813B2"/>
    <w:rsid w:val="00B81B1C"/>
    <w:rsid w:val="00B81E3F"/>
    <w:rsid w:val="00B82146"/>
    <w:rsid w:val="00B826B1"/>
    <w:rsid w:val="00B8273D"/>
    <w:rsid w:val="00B828BE"/>
    <w:rsid w:val="00B82D62"/>
    <w:rsid w:val="00B82E53"/>
    <w:rsid w:val="00B8320A"/>
    <w:rsid w:val="00B83451"/>
    <w:rsid w:val="00B834A6"/>
    <w:rsid w:val="00B83634"/>
    <w:rsid w:val="00B8388F"/>
    <w:rsid w:val="00B839CD"/>
    <w:rsid w:val="00B83ACD"/>
    <w:rsid w:val="00B83D94"/>
    <w:rsid w:val="00B83F40"/>
    <w:rsid w:val="00B84963"/>
    <w:rsid w:val="00B849D5"/>
    <w:rsid w:val="00B85149"/>
    <w:rsid w:val="00B8561F"/>
    <w:rsid w:val="00B85F89"/>
    <w:rsid w:val="00B86870"/>
    <w:rsid w:val="00B86BF8"/>
    <w:rsid w:val="00B87AEF"/>
    <w:rsid w:val="00B90138"/>
    <w:rsid w:val="00B90418"/>
    <w:rsid w:val="00B90554"/>
    <w:rsid w:val="00B90870"/>
    <w:rsid w:val="00B909EE"/>
    <w:rsid w:val="00B910F3"/>
    <w:rsid w:val="00B91DE5"/>
    <w:rsid w:val="00B92117"/>
    <w:rsid w:val="00B92463"/>
    <w:rsid w:val="00B924B9"/>
    <w:rsid w:val="00B925E4"/>
    <w:rsid w:val="00B927E7"/>
    <w:rsid w:val="00B92DD2"/>
    <w:rsid w:val="00B933EF"/>
    <w:rsid w:val="00B935AF"/>
    <w:rsid w:val="00B937B9"/>
    <w:rsid w:val="00B93B00"/>
    <w:rsid w:val="00B93B5B"/>
    <w:rsid w:val="00B93D91"/>
    <w:rsid w:val="00B94346"/>
    <w:rsid w:val="00B94C34"/>
    <w:rsid w:val="00B94C39"/>
    <w:rsid w:val="00B956E9"/>
    <w:rsid w:val="00B9590F"/>
    <w:rsid w:val="00B964B7"/>
    <w:rsid w:val="00B965A1"/>
    <w:rsid w:val="00B96B52"/>
    <w:rsid w:val="00B96DFF"/>
    <w:rsid w:val="00B973BF"/>
    <w:rsid w:val="00B973F8"/>
    <w:rsid w:val="00B97864"/>
    <w:rsid w:val="00B97F09"/>
    <w:rsid w:val="00BA0181"/>
    <w:rsid w:val="00BA03DE"/>
    <w:rsid w:val="00BA0517"/>
    <w:rsid w:val="00BA06C7"/>
    <w:rsid w:val="00BA0937"/>
    <w:rsid w:val="00BA0CC4"/>
    <w:rsid w:val="00BA14B9"/>
    <w:rsid w:val="00BA1C65"/>
    <w:rsid w:val="00BA225A"/>
    <w:rsid w:val="00BA24D4"/>
    <w:rsid w:val="00BA2558"/>
    <w:rsid w:val="00BA261A"/>
    <w:rsid w:val="00BA3A66"/>
    <w:rsid w:val="00BA3D72"/>
    <w:rsid w:val="00BA4120"/>
    <w:rsid w:val="00BA424F"/>
    <w:rsid w:val="00BA4B8B"/>
    <w:rsid w:val="00BA4E9A"/>
    <w:rsid w:val="00BA5273"/>
    <w:rsid w:val="00BA5368"/>
    <w:rsid w:val="00BA577F"/>
    <w:rsid w:val="00BA5A28"/>
    <w:rsid w:val="00BA5BBA"/>
    <w:rsid w:val="00BA5BD3"/>
    <w:rsid w:val="00BA5E6C"/>
    <w:rsid w:val="00BA6286"/>
    <w:rsid w:val="00BA6616"/>
    <w:rsid w:val="00BA6D96"/>
    <w:rsid w:val="00BA77F8"/>
    <w:rsid w:val="00BA795A"/>
    <w:rsid w:val="00BA7A98"/>
    <w:rsid w:val="00BB008A"/>
    <w:rsid w:val="00BB0268"/>
    <w:rsid w:val="00BB0796"/>
    <w:rsid w:val="00BB0D4F"/>
    <w:rsid w:val="00BB149A"/>
    <w:rsid w:val="00BB1E69"/>
    <w:rsid w:val="00BB1E87"/>
    <w:rsid w:val="00BB1FA1"/>
    <w:rsid w:val="00BB21FD"/>
    <w:rsid w:val="00BB24EF"/>
    <w:rsid w:val="00BB2516"/>
    <w:rsid w:val="00BB3021"/>
    <w:rsid w:val="00BB37B3"/>
    <w:rsid w:val="00BB3852"/>
    <w:rsid w:val="00BB38C3"/>
    <w:rsid w:val="00BB38C5"/>
    <w:rsid w:val="00BB3D69"/>
    <w:rsid w:val="00BB492E"/>
    <w:rsid w:val="00BB4CAF"/>
    <w:rsid w:val="00BB53B0"/>
    <w:rsid w:val="00BB5806"/>
    <w:rsid w:val="00BB5E63"/>
    <w:rsid w:val="00BB6291"/>
    <w:rsid w:val="00BB6A9D"/>
    <w:rsid w:val="00BB6C2A"/>
    <w:rsid w:val="00BB6F9E"/>
    <w:rsid w:val="00BB7062"/>
    <w:rsid w:val="00BB7199"/>
    <w:rsid w:val="00BB7378"/>
    <w:rsid w:val="00BB7BFE"/>
    <w:rsid w:val="00BB7F1C"/>
    <w:rsid w:val="00BC0CCC"/>
    <w:rsid w:val="00BC0E46"/>
    <w:rsid w:val="00BC0E9B"/>
    <w:rsid w:val="00BC0F21"/>
    <w:rsid w:val="00BC142A"/>
    <w:rsid w:val="00BC157A"/>
    <w:rsid w:val="00BC15D8"/>
    <w:rsid w:val="00BC1737"/>
    <w:rsid w:val="00BC1F8A"/>
    <w:rsid w:val="00BC2FC3"/>
    <w:rsid w:val="00BC39AF"/>
    <w:rsid w:val="00BC3C54"/>
    <w:rsid w:val="00BC43E5"/>
    <w:rsid w:val="00BC4A66"/>
    <w:rsid w:val="00BC4ABD"/>
    <w:rsid w:val="00BC58A7"/>
    <w:rsid w:val="00BC6A28"/>
    <w:rsid w:val="00BC6C0C"/>
    <w:rsid w:val="00BC6DB1"/>
    <w:rsid w:val="00BC707C"/>
    <w:rsid w:val="00BD053D"/>
    <w:rsid w:val="00BD06E8"/>
    <w:rsid w:val="00BD07C8"/>
    <w:rsid w:val="00BD0964"/>
    <w:rsid w:val="00BD0A7E"/>
    <w:rsid w:val="00BD0AAA"/>
    <w:rsid w:val="00BD0DA9"/>
    <w:rsid w:val="00BD0E9E"/>
    <w:rsid w:val="00BD1595"/>
    <w:rsid w:val="00BD194D"/>
    <w:rsid w:val="00BD1C74"/>
    <w:rsid w:val="00BD1D19"/>
    <w:rsid w:val="00BD1F1F"/>
    <w:rsid w:val="00BD1FB1"/>
    <w:rsid w:val="00BD21F4"/>
    <w:rsid w:val="00BD22E4"/>
    <w:rsid w:val="00BD2440"/>
    <w:rsid w:val="00BD2642"/>
    <w:rsid w:val="00BD26B9"/>
    <w:rsid w:val="00BD2E44"/>
    <w:rsid w:val="00BD37E3"/>
    <w:rsid w:val="00BD3B78"/>
    <w:rsid w:val="00BD403C"/>
    <w:rsid w:val="00BD40B6"/>
    <w:rsid w:val="00BD4272"/>
    <w:rsid w:val="00BD448A"/>
    <w:rsid w:val="00BD466D"/>
    <w:rsid w:val="00BD4B46"/>
    <w:rsid w:val="00BD4DC3"/>
    <w:rsid w:val="00BD5431"/>
    <w:rsid w:val="00BD581A"/>
    <w:rsid w:val="00BD6322"/>
    <w:rsid w:val="00BD6333"/>
    <w:rsid w:val="00BD6745"/>
    <w:rsid w:val="00BD6CC8"/>
    <w:rsid w:val="00BD6CE7"/>
    <w:rsid w:val="00BD6E25"/>
    <w:rsid w:val="00BD6E45"/>
    <w:rsid w:val="00BD7711"/>
    <w:rsid w:val="00BD7B2A"/>
    <w:rsid w:val="00BD7D2E"/>
    <w:rsid w:val="00BE0F39"/>
    <w:rsid w:val="00BE1631"/>
    <w:rsid w:val="00BE16BB"/>
    <w:rsid w:val="00BE2419"/>
    <w:rsid w:val="00BE2D45"/>
    <w:rsid w:val="00BE2EC4"/>
    <w:rsid w:val="00BE2EDF"/>
    <w:rsid w:val="00BE301A"/>
    <w:rsid w:val="00BE303A"/>
    <w:rsid w:val="00BE30D9"/>
    <w:rsid w:val="00BE3311"/>
    <w:rsid w:val="00BE3347"/>
    <w:rsid w:val="00BE36C4"/>
    <w:rsid w:val="00BE3E09"/>
    <w:rsid w:val="00BE4039"/>
    <w:rsid w:val="00BE472E"/>
    <w:rsid w:val="00BE491A"/>
    <w:rsid w:val="00BE49C2"/>
    <w:rsid w:val="00BE4A8D"/>
    <w:rsid w:val="00BE5484"/>
    <w:rsid w:val="00BE58A2"/>
    <w:rsid w:val="00BE5955"/>
    <w:rsid w:val="00BE5CBE"/>
    <w:rsid w:val="00BE5D33"/>
    <w:rsid w:val="00BE650C"/>
    <w:rsid w:val="00BE6536"/>
    <w:rsid w:val="00BE7077"/>
    <w:rsid w:val="00BE74F6"/>
    <w:rsid w:val="00BF043E"/>
    <w:rsid w:val="00BF0A2C"/>
    <w:rsid w:val="00BF0C9A"/>
    <w:rsid w:val="00BF0E64"/>
    <w:rsid w:val="00BF1548"/>
    <w:rsid w:val="00BF1604"/>
    <w:rsid w:val="00BF1C1B"/>
    <w:rsid w:val="00BF222F"/>
    <w:rsid w:val="00BF2808"/>
    <w:rsid w:val="00BF2BA2"/>
    <w:rsid w:val="00BF30F3"/>
    <w:rsid w:val="00BF318A"/>
    <w:rsid w:val="00BF328F"/>
    <w:rsid w:val="00BF35C8"/>
    <w:rsid w:val="00BF3DBA"/>
    <w:rsid w:val="00BF4484"/>
    <w:rsid w:val="00BF4E6D"/>
    <w:rsid w:val="00BF66F5"/>
    <w:rsid w:val="00BF6D51"/>
    <w:rsid w:val="00BF7940"/>
    <w:rsid w:val="00BF798E"/>
    <w:rsid w:val="00BF7990"/>
    <w:rsid w:val="00BF79DE"/>
    <w:rsid w:val="00BF7C6D"/>
    <w:rsid w:val="00C00301"/>
    <w:rsid w:val="00C00E23"/>
    <w:rsid w:val="00C00EF2"/>
    <w:rsid w:val="00C01A38"/>
    <w:rsid w:val="00C01A78"/>
    <w:rsid w:val="00C022FA"/>
    <w:rsid w:val="00C0259E"/>
    <w:rsid w:val="00C02646"/>
    <w:rsid w:val="00C029F7"/>
    <w:rsid w:val="00C02BA6"/>
    <w:rsid w:val="00C02DC4"/>
    <w:rsid w:val="00C02FBD"/>
    <w:rsid w:val="00C034B9"/>
    <w:rsid w:val="00C03742"/>
    <w:rsid w:val="00C04127"/>
    <w:rsid w:val="00C044EC"/>
    <w:rsid w:val="00C0493D"/>
    <w:rsid w:val="00C04BA8"/>
    <w:rsid w:val="00C04D17"/>
    <w:rsid w:val="00C05629"/>
    <w:rsid w:val="00C057DC"/>
    <w:rsid w:val="00C05E5B"/>
    <w:rsid w:val="00C065B1"/>
    <w:rsid w:val="00C067D6"/>
    <w:rsid w:val="00C07B08"/>
    <w:rsid w:val="00C10B38"/>
    <w:rsid w:val="00C1107E"/>
    <w:rsid w:val="00C11438"/>
    <w:rsid w:val="00C11B95"/>
    <w:rsid w:val="00C11D05"/>
    <w:rsid w:val="00C134EB"/>
    <w:rsid w:val="00C1354E"/>
    <w:rsid w:val="00C137BD"/>
    <w:rsid w:val="00C13B6B"/>
    <w:rsid w:val="00C13C4A"/>
    <w:rsid w:val="00C14961"/>
    <w:rsid w:val="00C14BC9"/>
    <w:rsid w:val="00C14ED5"/>
    <w:rsid w:val="00C15112"/>
    <w:rsid w:val="00C15669"/>
    <w:rsid w:val="00C156B9"/>
    <w:rsid w:val="00C15A3A"/>
    <w:rsid w:val="00C15BDA"/>
    <w:rsid w:val="00C15EC6"/>
    <w:rsid w:val="00C16710"/>
    <w:rsid w:val="00C16A4A"/>
    <w:rsid w:val="00C16B1A"/>
    <w:rsid w:val="00C171F2"/>
    <w:rsid w:val="00C17430"/>
    <w:rsid w:val="00C177BA"/>
    <w:rsid w:val="00C17B3C"/>
    <w:rsid w:val="00C20BC8"/>
    <w:rsid w:val="00C21220"/>
    <w:rsid w:val="00C21773"/>
    <w:rsid w:val="00C21799"/>
    <w:rsid w:val="00C217A5"/>
    <w:rsid w:val="00C21D21"/>
    <w:rsid w:val="00C21E91"/>
    <w:rsid w:val="00C2206E"/>
    <w:rsid w:val="00C22402"/>
    <w:rsid w:val="00C227A5"/>
    <w:rsid w:val="00C22A81"/>
    <w:rsid w:val="00C22D20"/>
    <w:rsid w:val="00C22DA6"/>
    <w:rsid w:val="00C23084"/>
    <w:rsid w:val="00C230F1"/>
    <w:rsid w:val="00C23952"/>
    <w:rsid w:val="00C239F1"/>
    <w:rsid w:val="00C23C3B"/>
    <w:rsid w:val="00C23C7D"/>
    <w:rsid w:val="00C24278"/>
    <w:rsid w:val="00C242E4"/>
    <w:rsid w:val="00C243C1"/>
    <w:rsid w:val="00C2463B"/>
    <w:rsid w:val="00C247AD"/>
    <w:rsid w:val="00C248DB"/>
    <w:rsid w:val="00C25CD8"/>
    <w:rsid w:val="00C26B78"/>
    <w:rsid w:val="00C272E3"/>
    <w:rsid w:val="00C275BE"/>
    <w:rsid w:val="00C278D7"/>
    <w:rsid w:val="00C27D47"/>
    <w:rsid w:val="00C300B0"/>
    <w:rsid w:val="00C303D7"/>
    <w:rsid w:val="00C30990"/>
    <w:rsid w:val="00C30F04"/>
    <w:rsid w:val="00C310AC"/>
    <w:rsid w:val="00C31442"/>
    <w:rsid w:val="00C31E98"/>
    <w:rsid w:val="00C32111"/>
    <w:rsid w:val="00C32299"/>
    <w:rsid w:val="00C322AC"/>
    <w:rsid w:val="00C322F3"/>
    <w:rsid w:val="00C32F39"/>
    <w:rsid w:val="00C337F6"/>
    <w:rsid w:val="00C33A04"/>
    <w:rsid w:val="00C33B85"/>
    <w:rsid w:val="00C33EF7"/>
    <w:rsid w:val="00C34C49"/>
    <w:rsid w:val="00C34CE7"/>
    <w:rsid w:val="00C3538B"/>
    <w:rsid w:val="00C35980"/>
    <w:rsid w:val="00C35BA4"/>
    <w:rsid w:val="00C36C79"/>
    <w:rsid w:val="00C36E17"/>
    <w:rsid w:val="00C3745D"/>
    <w:rsid w:val="00C37593"/>
    <w:rsid w:val="00C3778C"/>
    <w:rsid w:val="00C37868"/>
    <w:rsid w:val="00C3795A"/>
    <w:rsid w:val="00C3798A"/>
    <w:rsid w:val="00C37D59"/>
    <w:rsid w:val="00C4002B"/>
    <w:rsid w:val="00C40881"/>
    <w:rsid w:val="00C40941"/>
    <w:rsid w:val="00C41213"/>
    <w:rsid w:val="00C4130B"/>
    <w:rsid w:val="00C418E0"/>
    <w:rsid w:val="00C41C26"/>
    <w:rsid w:val="00C41CB8"/>
    <w:rsid w:val="00C42B70"/>
    <w:rsid w:val="00C42BAD"/>
    <w:rsid w:val="00C43285"/>
    <w:rsid w:val="00C437BB"/>
    <w:rsid w:val="00C437E4"/>
    <w:rsid w:val="00C43819"/>
    <w:rsid w:val="00C443B4"/>
    <w:rsid w:val="00C44EAF"/>
    <w:rsid w:val="00C46DDC"/>
    <w:rsid w:val="00C47266"/>
    <w:rsid w:val="00C47697"/>
    <w:rsid w:val="00C4787F"/>
    <w:rsid w:val="00C47B63"/>
    <w:rsid w:val="00C50A5D"/>
    <w:rsid w:val="00C50A88"/>
    <w:rsid w:val="00C50B26"/>
    <w:rsid w:val="00C50D5C"/>
    <w:rsid w:val="00C50D79"/>
    <w:rsid w:val="00C514A1"/>
    <w:rsid w:val="00C52369"/>
    <w:rsid w:val="00C526D2"/>
    <w:rsid w:val="00C52A2F"/>
    <w:rsid w:val="00C52FCC"/>
    <w:rsid w:val="00C5315B"/>
    <w:rsid w:val="00C53553"/>
    <w:rsid w:val="00C53718"/>
    <w:rsid w:val="00C5422A"/>
    <w:rsid w:val="00C5440C"/>
    <w:rsid w:val="00C545E8"/>
    <w:rsid w:val="00C54A22"/>
    <w:rsid w:val="00C54D85"/>
    <w:rsid w:val="00C55AE6"/>
    <w:rsid w:val="00C55B1F"/>
    <w:rsid w:val="00C55ED8"/>
    <w:rsid w:val="00C5679D"/>
    <w:rsid w:val="00C56FDE"/>
    <w:rsid w:val="00C57720"/>
    <w:rsid w:val="00C57A93"/>
    <w:rsid w:val="00C57E8C"/>
    <w:rsid w:val="00C57EE9"/>
    <w:rsid w:val="00C60F1F"/>
    <w:rsid w:val="00C61161"/>
    <w:rsid w:val="00C61938"/>
    <w:rsid w:val="00C61C23"/>
    <w:rsid w:val="00C61EBE"/>
    <w:rsid w:val="00C622D4"/>
    <w:rsid w:val="00C628C6"/>
    <w:rsid w:val="00C62AC9"/>
    <w:rsid w:val="00C62B68"/>
    <w:rsid w:val="00C631A8"/>
    <w:rsid w:val="00C636C3"/>
    <w:rsid w:val="00C64C5A"/>
    <w:rsid w:val="00C64EDF"/>
    <w:rsid w:val="00C6526E"/>
    <w:rsid w:val="00C652E9"/>
    <w:rsid w:val="00C656E7"/>
    <w:rsid w:val="00C65C98"/>
    <w:rsid w:val="00C66449"/>
    <w:rsid w:val="00C665C1"/>
    <w:rsid w:val="00C6685A"/>
    <w:rsid w:val="00C66B89"/>
    <w:rsid w:val="00C66BA5"/>
    <w:rsid w:val="00C67504"/>
    <w:rsid w:val="00C676BE"/>
    <w:rsid w:val="00C67E64"/>
    <w:rsid w:val="00C70500"/>
    <w:rsid w:val="00C707D3"/>
    <w:rsid w:val="00C70C3F"/>
    <w:rsid w:val="00C713D7"/>
    <w:rsid w:val="00C7233B"/>
    <w:rsid w:val="00C72723"/>
    <w:rsid w:val="00C72798"/>
    <w:rsid w:val="00C727FF"/>
    <w:rsid w:val="00C72A3F"/>
    <w:rsid w:val="00C72AC1"/>
    <w:rsid w:val="00C72B2C"/>
    <w:rsid w:val="00C730FA"/>
    <w:rsid w:val="00C73177"/>
    <w:rsid w:val="00C73298"/>
    <w:rsid w:val="00C73334"/>
    <w:rsid w:val="00C73CCC"/>
    <w:rsid w:val="00C757DD"/>
    <w:rsid w:val="00C758CE"/>
    <w:rsid w:val="00C75B3A"/>
    <w:rsid w:val="00C75F4A"/>
    <w:rsid w:val="00C760F7"/>
    <w:rsid w:val="00C7626A"/>
    <w:rsid w:val="00C76623"/>
    <w:rsid w:val="00C771FF"/>
    <w:rsid w:val="00C77B31"/>
    <w:rsid w:val="00C77B86"/>
    <w:rsid w:val="00C77E47"/>
    <w:rsid w:val="00C77E6B"/>
    <w:rsid w:val="00C80B72"/>
    <w:rsid w:val="00C80CB5"/>
    <w:rsid w:val="00C81617"/>
    <w:rsid w:val="00C81741"/>
    <w:rsid w:val="00C8197A"/>
    <w:rsid w:val="00C819BC"/>
    <w:rsid w:val="00C81C63"/>
    <w:rsid w:val="00C81CB3"/>
    <w:rsid w:val="00C822E1"/>
    <w:rsid w:val="00C824ED"/>
    <w:rsid w:val="00C82BD9"/>
    <w:rsid w:val="00C83042"/>
    <w:rsid w:val="00C831A0"/>
    <w:rsid w:val="00C8383A"/>
    <w:rsid w:val="00C8392A"/>
    <w:rsid w:val="00C83960"/>
    <w:rsid w:val="00C83964"/>
    <w:rsid w:val="00C84259"/>
    <w:rsid w:val="00C84741"/>
    <w:rsid w:val="00C848A5"/>
    <w:rsid w:val="00C84DDC"/>
    <w:rsid w:val="00C851E9"/>
    <w:rsid w:val="00C85CD0"/>
    <w:rsid w:val="00C8604D"/>
    <w:rsid w:val="00C86383"/>
    <w:rsid w:val="00C865BE"/>
    <w:rsid w:val="00C868DE"/>
    <w:rsid w:val="00C86A17"/>
    <w:rsid w:val="00C86AB0"/>
    <w:rsid w:val="00C86D48"/>
    <w:rsid w:val="00C87062"/>
    <w:rsid w:val="00C8769F"/>
    <w:rsid w:val="00C8783A"/>
    <w:rsid w:val="00C87CBB"/>
    <w:rsid w:val="00C90983"/>
    <w:rsid w:val="00C90ED0"/>
    <w:rsid w:val="00C914BE"/>
    <w:rsid w:val="00C917D8"/>
    <w:rsid w:val="00C91919"/>
    <w:rsid w:val="00C91E6A"/>
    <w:rsid w:val="00C9246A"/>
    <w:rsid w:val="00C927B7"/>
    <w:rsid w:val="00C92F1B"/>
    <w:rsid w:val="00C93681"/>
    <w:rsid w:val="00C941EE"/>
    <w:rsid w:val="00C942C9"/>
    <w:rsid w:val="00C94586"/>
    <w:rsid w:val="00C94912"/>
    <w:rsid w:val="00C949AE"/>
    <w:rsid w:val="00C949D6"/>
    <w:rsid w:val="00C94E82"/>
    <w:rsid w:val="00C950E8"/>
    <w:rsid w:val="00C95513"/>
    <w:rsid w:val="00C95D3C"/>
    <w:rsid w:val="00C95E2E"/>
    <w:rsid w:val="00C9653B"/>
    <w:rsid w:val="00C96D05"/>
    <w:rsid w:val="00C96D7E"/>
    <w:rsid w:val="00C96F51"/>
    <w:rsid w:val="00C973ED"/>
    <w:rsid w:val="00C97426"/>
    <w:rsid w:val="00C9747E"/>
    <w:rsid w:val="00C97537"/>
    <w:rsid w:val="00C975B1"/>
    <w:rsid w:val="00C97D5C"/>
    <w:rsid w:val="00C97F01"/>
    <w:rsid w:val="00CA02E9"/>
    <w:rsid w:val="00CA043D"/>
    <w:rsid w:val="00CA0897"/>
    <w:rsid w:val="00CA0B6C"/>
    <w:rsid w:val="00CA13C0"/>
    <w:rsid w:val="00CA14FE"/>
    <w:rsid w:val="00CA17F7"/>
    <w:rsid w:val="00CA1877"/>
    <w:rsid w:val="00CA1D5E"/>
    <w:rsid w:val="00CA1FFC"/>
    <w:rsid w:val="00CA2357"/>
    <w:rsid w:val="00CA2ED9"/>
    <w:rsid w:val="00CA31AD"/>
    <w:rsid w:val="00CA3E1E"/>
    <w:rsid w:val="00CA3E2C"/>
    <w:rsid w:val="00CA3FA2"/>
    <w:rsid w:val="00CA4271"/>
    <w:rsid w:val="00CA497B"/>
    <w:rsid w:val="00CA4C10"/>
    <w:rsid w:val="00CA57DB"/>
    <w:rsid w:val="00CA5912"/>
    <w:rsid w:val="00CA5EFF"/>
    <w:rsid w:val="00CA60E5"/>
    <w:rsid w:val="00CA6E23"/>
    <w:rsid w:val="00CA77AC"/>
    <w:rsid w:val="00CA7A3B"/>
    <w:rsid w:val="00CB0650"/>
    <w:rsid w:val="00CB0A1F"/>
    <w:rsid w:val="00CB0CEA"/>
    <w:rsid w:val="00CB11A7"/>
    <w:rsid w:val="00CB134D"/>
    <w:rsid w:val="00CB13AC"/>
    <w:rsid w:val="00CB1467"/>
    <w:rsid w:val="00CB15FC"/>
    <w:rsid w:val="00CB181A"/>
    <w:rsid w:val="00CB1B8A"/>
    <w:rsid w:val="00CB25C8"/>
    <w:rsid w:val="00CB2AA3"/>
    <w:rsid w:val="00CB2B12"/>
    <w:rsid w:val="00CB32E8"/>
    <w:rsid w:val="00CB3B98"/>
    <w:rsid w:val="00CB3D66"/>
    <w:rsid w:val="00CB3FCC"/>
    <w:rsid w:val="00CB4145"/>
    <w:rsid w:val="00CB4225"/>
    <w:rsid w:val="00CB42D2"/>
    <w:rsid w:val="00CB5CA5"/>
    <w:rsid w:val="00CB5FDC"/>
    <w:rsid w:val="00CB65CD"/>
    <w:rsid w:val="00CB698A"/>
    <w:rsid w:val="00CB6B40"/>
    <w:rsid w:val="00CB6BA8"/>
    <w:rsid w:val="00CB7031"/>
    <w:rsid w:val="00CB7214"/>
    <w:rsid w:val="00CB731E"/>
    <w:rsid w:val="00CB75C8"/>
    <w:rsid w:val="00CB75EC"/>
    <w:rsid w:val="00CB763A"/>
    <w:rsid w:val="00CB783F"/>
    <w:rsid w:val="00CC06A6"/>
    <w:rsid w:val="00CC0E14"/>
    <w:rsid w:val="00CC0E93"/>
    <w:rsid w:val="00CC1534"/>
    <w:rsid w:val="00CC15D3"/>
    <w:rsid w:val="00CC1641"/>
    <w:rsid w:val="00CC21D2"/>
    <w:rsid w:val="00CC23DA"/>
    <w:rsid w:val="00CC2829"/>
    <w:rsid w:val="00CC2BA4"/>
    <w:rsid w:val="00CC2BD0"/>
    <w:rsid w:val="00CC2F3D"/>
    <w:rsid w:val="00CC31BE"/>
    <w:rsid w:val="00CC3CE9"/>
    <w:rsid w:val="00CC406A"/>
    <w:rsid w:val="00CC40A9"/>
    <w:rsid w:val="00CC4300"/>
    <w:rsid w:val="00CC432D"/>
    <w:rsid w:val="00CC4FD2"/>
    <w:rsid w:val="00CC539E"/>
    <w:rsid w:val="00CC5486"/>
    <w:rsid w:val="00CC56F8"/>
    <w:rsid w:val="00CC5E4A"/>
    <w:rsid w:val="00CC5EC6"/>
    <w:rsid w:val="00CC64B4"/>
    <w:rsid w:val="00CC6BFA"/>
    <w:rsid w:val="00CC6F1B"/>
    <w:rsid w:val="00CC702A"/>
    <w:rsid w:val="00CC72C6"/>
    <w:rsid w:val="00CC76A0"/>
    <w:rsid w:val="00CC7752"/>
    <w:rsid w:val="00CC77D9"/>
    <w:rsid w:val="00CC7A3E"/>
    <w:rsid w:val="00CC7BB9"/>
    <w:rsid w:val="00CD05EA"/>
    <w:rsid w:val="00CD0628"/>
    <w:rsid w:val="00CD0AA2"/>
    <w:rsid w:val="00CD0EE8"/>
    <w:rsid w:val="00CD0F5B"/>
    <w:rsid w:val="00CD1182"/>
    <w:rsid w:val="00CD12CE"/>
    <w:rsid w:val="00CD14BA"/>
    <w:rsid w:val="00CD1755"/>
    <w:rsid w:val="00CD182F"/>
    <w:rsid w:val="00CD29FD"/>
    <w:rsid w:val="00CD3EDC"/>
    <w:rsid w:val="00CD40DA"/>
    <w:rsid w:val="00CD4EC7"/>
    <w:rsid w:val="00CD50C1"/>
    <w:rsid w:val="00CD5850"/>
    <w:rsid w:val="00CD593D"/>
    <w:rsid w:val="00CD5944"/>
    <w:rsid w:val="00CD59CE"/>
    <w:rsid w:val="00CD5DAA"/>
    <w:rsid w:val="00CD5DAE"/>
    <w:rsid w:val="00CD60E5"/>
    <w:rsid w:val="00CD6D30"/>
    <w:rsid w:val="00CD7203"/>
    <w:rsid w:val="00CE015B"/>
    <w:rsid w:val="00CE02E2"/>
    <w:rsid w:val="00CE03C2"/>
    <w:rsid w:val="00CE0476"/>
    <w:rsid w:val="00CE07B1"/>
    <w:rsid w:val="00CE0AFF"/>
    <w:rsid w:val="00CE1129"/>
    <w:rsid w:val="00CE177E"/>
    <w:rsid w:val="00CE17CD"/>
    <w:rsid w:val="00CE17F0"/>
    <w:rsid w:val="00CE1AFE"/>
    <w:rsid w:val="00CE1FB8"/>
    <w:rsid w:val="00CE2978"/>
    <w:rsid w:val="00CE2FE2"/>
    <w:rsid w:val="00CE3548"/>
    <w:rsid w:val="00CE3679"/>
    <w:rsid w:val="00CE3722"/>
    <w:rsid w:val="00CE38DE"/>
    <w:rsid w:val="00CE3BCD"/>
    <w:rsid w:val="00CE3F90"/>
    <w:rsid w:val="00CE3F91"/>
    <w:rsid w:val="00CE4036"/>
    <w:rsid w:val="00CE42AD"/>
    <w:rsid w:val="00CE450A"/>
    <w:rsid w:val="00CE47E4"/>
    <w:rsid w:val="00CE483E"/>
    <w:rsid w:val="00CE4BAA"/>
    <w:rsid w:val="00CE4CEB"/>
    <w:rsid w:val="00CE4F08"/>
    <w:rsid w:val="00CE52F1"/>
    <w:rsid w:val="00CE5412"/>
    <w:rsid w:val="00CE552B"/>
    <w:rsid w:val="00CE5905"/>
    <w:rsid w:val="00CE5993"/>
    <w:rsid w:val="00CE5A24"/>
    <w:rsid w:val="00CE5B0C"/>
    <w:rsid w:val="00CE5D85"/>
    <w:rsid w:val="00CE6916"/>
    <w:rsid w:val="00CE710B"/>
    <w:rsid w:val="00CE7267"/>
    <w:rsid w:val="00CE7410"/>
    <w:rsid w:val="00CE79E4"/>
    <w:rsid w:val="00CF00AB"/>
    <w:rsid w:val="00CF08FF"/>
    <w:rsid w:val="00CF0967"/>
    <w:rsid w:val="00CF0A2C"/>
    <w:rsid w:val="00CF0B4C"/>
    <w:rsid w:val="00CF1EEC"/>
    <w:rsid w:val="00CF2B33"/>
    <w:rsid w:val="00CF2D89"/>
    <w:rsid w:val="00CF2EBD"/>
    <w:rsid w:val="00CF3EB0"/>
    <w:rsid w:val="00CF4056"/>
    <w:rsid w:val="00CF4315"/>
    <w:rsid w:val="00CF433F"/>
    <w:rsid w:val="00CF463B"/>
    <w:rsid w:val="00CF46CE"/>
    <w:rsid w:val="00CF4828"/>
    <w:rsid w:val="00CF4D47"/>
    <w:rsid w:val="00CF4D53"/>
    <w:rsid w:val="00CF63A3"/>
    <w:rsid w:val="00CF6756"/>
    <w:rsid w:val="00CF67D8"/>
    <w:rsid w:val="00CF6824"/>
    <w:rsid w:val="00CF6B0D"/>
    <w:rsid w:val="00CF6D4F"/>
    <w:rsid w:val="00CF6DEE"/>
    <w:rsid w:val="00CF6E4A"/>
    <w:rsid w:val="00CF706C"/>
    <w:rsid w:val="00CF70A4"/>
    <w:rsid w:val="00CF7688"/>
    <w:rsid w:val="00CF77EB"/>
    <w:rsid w:val="00CF78E2"/>
    <w:rsid w:val="00D00FDA"/>
    <w:rsid w:val="00D01575"/>
    <w:rsid w:val="00D01AED"/>
    <w:rsid w:val="00D02028"/>
    <w:rsid w:val="00D0250F"/>
    <w:rsid w:val="00D02856"/>
    <w:rsid w:val="00D02A6A"/>
    <w:rsid w:val="00D02E14"/>
    <w:rsid w:val="00D03346"/>
    <w:rsid w:val="00D037DE"/>
    <w:rsid w:val="00D0380F"/>
    <w:rsid w:val="00D03D34"/>
    <w:rsid w:val="00D0423F"/>
    <w:rsid w:val="00D04ABC"/>
    <w:rsid w:val="00D04F5D"/>
    <w:rsid w:val="00D05427"/>
    <w:rsid w:val="00D05D40"/>
    <w:rsid w:val="00D05F0D"/>
    <w:rsid w:val="00D06243"/>
    <w:rsid w:val="00D07728"/>
    <w:rsid w:val="00D1038D"/>
    <w:rsid w:val="00D10602"/>
    <w:rsid w:val="00D10634"/>
    <w:rsid w:val="00D106B0"/>
    <w:rsid w:val="00D10D14"/>
    <w:rsid w:val="00D12057"/>
    <w:rsid w:val="00D121A4"/>
    <w:rsid w:val="00D12283"/>
    <w:rsid w:val="00D127B4"/>
    <w:rsid w:val="00D12A1D"/>
    <w:rsid w:val="00D12D26"/>
    <w:rsid w:val="00D13179"/>
    <w:rsid w:val="00D135A9"/>
    <w:rsid w:val="00D1384F"/>
    <w:rsid w:val="00D1385A"/>
    <w:rsid w:val="00D139A3"/>
    <w:rsid w:val="00D13A58"/>
    <w:rsid w:val="00D13A78"/>
    <w:rsid w:val="00D13A81"/>
    <w:rsid w:val="00D144EE"/>
    <w:rsid w:val="00D145DF"/>
    <w:rsid w:val="00D14D3A"/>
    <w:rsid w:val="00D15273"/>
    <w:rsid w:val="00D15284"/>
    <w:rsid w:val="00D15289"/>
    <w:rsid w:val="00D155A5"/>
    <w:rsid w:val="00D15C87"/>
    <w:rsid w:val="00D15E33"/>
    <w:rsid w:val="00D160E0"/>
    <w:rsid w:val="00D1620F"/>
    <w:rsid w:val="00D16383"/>
    <w:rsid w:val="00D165B7"/>
    <w:rsid w:val="00D16634"/>
    <w:rsid w:val="00D17692"/>
    <w:rsid w:val="00D17832"/>
    <w:rsid w:val="00D204F5"/>
    <w:rsid w:val="00D205FE"/>
    <w:rsid w:val="00D21CE8"/>
    <w:rsid w:val="00D21DB6"/>
    <w:rsid w:val="00D223D4"/>
    <w:rsid w:val="00D22BD6"/>
    <w:rsid w:val="00D22E9A"/>
    <w:rsid w:val="00D23276"/>
    <w:rsid w:val="00D23347"/>
    <w:rsid w:val="00D234D1"/>
    <w:rsid w:val="00D23A2D"/>
    <w:rsid w:val="00D23B71"/>
    <w:rsid w:val="00D23BA9"/>
    <w:rsid w:val="00D240D0"/>
    <w:rsid w:val="00D24E1C"/>
    <w:rsid w:val="00D24F2F"/>
    <w:rsid w:val="00D251BB"/>
    <w:rsid w:val="00D252B6"/>
    <w:rsid w:val="00D254BA"/>
    <w:rsid w:val="00D2574D"/>
    <w:rsid w:val="00D25A56"/>
    <w:rsid w:val="00D26242"/>
    <w:rsid w:val="00D264C8"/>
    <w:rsid w:val="00D265E1"/>
    <w:rsid w:val="00D27371"/>
    <w:rsid w:val="00D27608"/>
    <w:rsid w:val="00D277DA"/>
    <w:rsid w:val="00D27842"/>
    <w:rsid w:val="00D3023D"/>
    <w:rsid w:val="00D30252"/>
    <w:rsid w:val="00D30277"/>
    <w:rsid w:val="00D30364"/>
    <w:rsid w:val="00D3060F"/>
    <w:rsid w:val="00D30784"/>
    <w:rsid w:val="00D30CC9"/>
    <w:rsid w:val="00D318CA"/>
    <w:rsid w:val="00D31BD5"/>
    <w:rsid w:val="00D31C36"/>
    <w:rsid w:val="00D3246F"/>
    <w:rsid w:val="00D32517"/>
    <w:rsid w:val="00D326A0"/>
    <w:rsid w:val="00D32959"/>
    <w:rsid w:val="00D329D8"/>
    <w:rsid w:val="00D32D5F"/>
    <w:rsid w:val="00D32F27"/>
    <w:rsid w:val="00D34089"/>
    <w:rsid w:val="00D3436C"/>
    <w:rsid w:val="00D3452F"/>
    <w:rsid w:val="00D348B0"/>
    <w:rsid w:val="00D34919"/>
    <w:rsid w:val="00D3492F"/>
    <w:rsid w:val="00D34AF6"/>
    <w:rsid w:val="00D34E49"/>
    <w:rsid w:val="00D3511F"/>
    <w:rsid w:val="00D35447"/>
    <w:rsid w:val="00D35C58"/>
    <w:rsid w:val="00D35D2E"/>
    <w:rsid w:val="00D3621D"/>
    <w:rsid w:val="00D36676"/>
    <w:rsid w:val="00D368BB"/>
    <w:rsid w:val="00D36A99"/>
    <w:rsid w:val="00D36B76"/>
    <w:rsid w:val="00D37683"/>
    <w:rsid w:val="00D37ADD"/>
    <w:rsid w:val="00D37BD0"/>
    <w:rsid w:val="00D403E4"/>
    <w:rsid w:val="00D406FA"/>
    <w:rsid w:val="00D40944"/>
    <w:rsid w:val="00D40D94"/>
    <w:rsid w:val="00D41330"/>
    <w:rsid w:val="00D42619"/>
    <w:rsid w:val="00D42C05"/>
    <w:rsid w:val="00D42C8A"/>
    <w:rsid w:val="00D42EBE"/>
    <w:rsid w:val="00D43050"/>
    <w:rsid w:val="00D43270"/>
    <w:rsid w:val="00D433E9"/>
    <w:rsid w:val="00D4341D"/>
    <w:rsid w:val="00D435C9"/>
    <w:rsid w:val="00D4362B"/>
    <w:rsid w:val="00D436EC"/>
    <w:rsid w:val="00D43E32"/>
    <w:rsid w:val="00D44325"/>
    <w:rsid w:val="00D44E5D"/>
    <w:rsid w:val="00D44F78"/>
    <w:rsid w:val="00D44F82"/>
    <w:rsid w:val="00D451AA"/>
    <w:rsid w:val="00D45B2E"/>
    <w:rsid w:val="00D45B94"/>
    <w:rsid w:val="00D46045"/>
    <w:rsid w:val="00D46CE6"/>
    <w:rsid w:val="00D46D4D"/>
    <w:rsid w:val="00D46DFF"/>
    <w:rsid w:val="00D46E81"/>
    <w:rsid w:val="00D474D5"/>
    <w:rsid w:val="00D4758B"/>
    <w:rsid w:val="00D475BD"/>
    <w:rsid w:val="00D47974"/>
    <w:rsid w:val="00D47CD6"/>
    <w:rsid w:val="00D500E7"/>
    <w:rsid w:val="00D50878"/>
    <w:rsid w:val="00D50CE7"/>
    <w:rsid w:val="00D50E9B"/>
    <w:rsid w:val="00D50FFC"/>
    <w:rsid w:val="00D517CD"/>
    <w:rsid w:val="00D518CC"/>
    <w:rsid w:val="00D522B0"/>
    <w:rsid w:val="00D524B1"/>
    <w:rsid w:val="00D52623"/>
    <w:rsid w:val="00D5294E"/>
    <w:rsid w:val="00D52980"/>
    <w:rsid w:val="00D52B73"/>
    <w:rsid w:val="00D52D1C"/>
    <w:rsid w:val="00D53109"/>
    <w:rsid w:val="00D5321F"/>
    <w:rsid w:val="00D537F8"/>
    <w:rsid w:val="00D53F39"/>
    <w:rsid w:val="00D5422D"/>
    <w:rsid w:val="00D54281"/>
    <w:rsid w:val="00D5444E"/>
    <w:rsid w:val="00D54787"/>
    <w:rsid w:val="00D549DC"/>
    <w:rsid w:val="00D5544E"/>
    <w:rsid w:val="00D5565B"/>
    <w:rsid w:val="00D562E7"/>
    <w:rsid w:val="00D5663A"/>
    <w:rsid w:val="00D56E78"/>
    <w:rsid w:val="00D57020"/>
    <w:rsid w:val="00D574E1"/>
    <w:rsid w:val="00D576CB"/>
    <w:rsid w:val="00D57A4B"/>
    <w:rsid w:val="00D6009C"/>
    <w:rsid w:val="00D601EC"/>
    <w:rsid w:val="00D602A0"/>
    <w:rsid w:val="00D60AF1"/>
    <w:rsid w:val="00D61054"/>
    <w:rsid w:val="00D61116"/>
    <w:rsid w:val="00D6134D"/>
    <w:rsid w:val="00D61C72"/>
    <w:rsid w:val="00D62242"/>
    <w:rsid w:val="00D6271E"/>
    <w:rsid w:val="00D62CD2"/>
    <w:rsid w:val="00D62D63"/>
    <w:rsid w:val="00D62F8C"/>
    <w:rsid w:val="00D63120"/>
    <w:rsid w:val="00D634FC"/>
    <w:rsid w:val="00D63AAD"/>
    <w:rsid w:val="00D63BD1"/>
    <w:rsid w:val="00D6406C"/>
    <w:rsid w:val="00D64244"/>
    <w:rsid w:val="00D655AF"/>
    <w:rsid w:val="00D656FD"/>
    <w:rsid w:val="00D6641A"/>
    <w:rsid w:val="00D665EF"/>
    <w:rsid w:val="00D66821"/>
    <w:rsid w:val="00D66C0D"/>
    <w:rsid w:val="00D67C1C"/>
    <w:rsid w:val="00D67E95"/>
    <w:rsid w:val="00D70B05"/>
    <w:rsid w:val="00D71920"/>
    <w:rsid w:val="00D71A8C"/>
    <w:rsid w:val="00D71AF1"/>
    <w:rsid w:val="00D71E98"/>
    <w:rsid w:val="00D7242D"/>
    <w:rsid w:val="00D7307A"/>
    <w:rsid w:val="00D731A8"/>
    <w:rsid w:val="00D7333A"/>
    <w:rsid w:val="00D735FF"/>
    <w:rsid w:val="00D73D0A"/>
    <w:rsid w:val="00D74752"/>
    <w:rsid w:val="00D74928"/>
    <w:rsid w:val="00D7515E"/>
    <w:rsid w:val="00D75A51"/>
    <w:rsid w:val="00D77411"/>
    <w:rsid w:val="00D77850"/>
    <w:rsid w:val="00D77C23"/>
    <w:rsid w:val="00D77E91"/>
    <w:rsid w:val="00D80101"/>
    <w:rsid w:val="00D80F9C"/>
    <w:rsid w:val="00D8102B"/>
    <w:rsid w:val="00D81503"/>
    <w:rsid w:val="00D81BD6"/>
    <w:rsid w:val="00D82667"/>
    <w:rsid w:val="00D82F2E"/>
    <w:rsid w:val="00D83221"/>
    <w:rsid w:val="00D8342C"/>
    <w:rsid w:val="00D834CB"/>
    <w:rsid w:val="00D836A9"/>
    <w:rsid w:val="00D83712"/>
    <w:rsid w:val="00D83B06"/>
    <w:rsid w:val="00D83F3C"/>
    <w:rsid w:val="00D84AB8"/>
    <w:rsid w:val="00D84C45"/>
    <w:rsid w:val="00D8523A"/>
    <w:rsid w:val="00D858F7"/>
    <w:rsid w:val="00D86222"/>
    <w:rsid w:val="00D87187"/>
    <w:rsid w:val="00D8736B"/>
    <w:rsid w:val="00D874B1"/>
    <w:rsid w:val="00D87F0E"/>
    <w:rsid w:val="00D904DB"/>
    <w:rsid w:val="00D904EE"/>
    <w:rsid w:val="00D909F1"/>
    <w:rsid w:val="00D90E38"/>
    <w:rsid w:val="00D9122E"/>
    <w:rsid w:val="00D916EA"/>
    <w:rsid w:val="00D918ED"/>
    <w:rsid w:val="00D925D3"/>
    <w:rsid w:val="00D926E2"/>
    <w:rsid w:val="00D92B15"/>
    <w:rsid w:val="00D92F07"/>
    <w:rsid w:val="00D92F40"/>
    <w:rsid w:val="00D93175"/>
    <w:rsid w:val="00D93FC9"/>
    <w:rsid w:val="00D94B94"/>
    <w:rsid w:val="00D94C7F"/>
    <w:rsid w:val="00D95A78"/>
    <w:rsid w:val="00D95ADA"/>
    <w:rsid w:val="00D95AF8"/>
    <w:rsid w:val="00D965DA"/>
    <w:rsid w:val="00D967A7"/>
    <w:rsid w:val="00D96CA2"/>
    <w:rsid w:val="00D96FA5"/>
    <w:rsid w:val="00D970D1"/>
    <w:rsid w:val="00D97290"/>
    <w:rsid w:val="00D97524"/>
    <w:rsid w:val="00DA0690"/>
    <w:rsid w:val="00DA0C65"/>
    <w:rsid w:val="00DA0FB1"/>
    <w:rsid w:val="00DA16DF"/>
    <w:rsid w:val="00DA225C"/>
    <w:rsid w:val="00DA2488"/>
    <w:rsid w:val="00DA3092"/>
    <w:rsid w:val="00DA3744"/>
    <w:rsid w:val="00DA3C58"/>
    <w:rsid w:val="00DA3DCE"/>
    <w:rsid w:val="00DA405C"/>
    <w:rsid w:val="00DA53D2"/>
    <w:rsid w:val="00DA54E1"/>
    <w:rsid w:val="00DA5678"/>
    <w:rsid w:val="00DA6699"/>
    <w:rsid w:val="00DA67BE"/>
    <w:rsid w:val="00DA6DAB"/>
    <w:rsid w:val="00DA6E64"/>
    <w:rsid w:val="00DA7F0D"/>
    <w:rsid w:val="00DB05FF"/>
    <w:rsid w:val="00DB0620"/>
    <w:rsid w:val="00DB0EF8"/>
    <w:rsid w:val="00DB0FE0"/>
    <w:rsid w:val="00DB15A5"/>
    <w:rsid w:val="00DB1FD4"/>
    <w:rsid w:val="00DB28F0"/>
    <w:rsid w:val="00DB2E96"/>
    <w:rsid w:val="00DB3023"/>
    <w:rsid w:val="00DB3069"/>
    <w:rsid w:val="00DB334F"/>
    <w:rsid w:val="00DB34FB"/>
    <w:rsid w:val="00DB35BA"/>
    <w:rsid w:val="00DB382F"/>
    <w:rsid w:val="00DB3BFC"/>
    <w:rsid w:val="00DB3D9B"/>
    <w:rsid w:val="00DB40F3"/>
    <w:rsid w:val="00DB4522"/>
    <w:rsid w:val="00DB4533"/>
    <w:rsid w:val="00DB457E"/>
    <w:rsid w:val="00DB47F5"/>
    <w:rsid w:val="00DB4892"/>
    <w:rsid w:val="00DB4913"/>
    <w:rsid w:val="00DB49FC"/>
    <w:rsid w:val="00DB4C33"/>
    <w:rsid w:val="00DB4C51"/>
    <w:rsid w:val="00DB4F47"/>
    <w:rsid w:val="00DB50D4"/>
    <w:rsid w:val="00DB51BA"/>
    <w:rsid w:val="00DB52CC"/>
    <w:rsid w:val="00DB62BE"/>
    <w:rsid w:val="00DB6F5F"/>
    <w:rsid w:val="00DB71B5"/>
    <w:rsid w:val="00DB736F"/>
    <w:rsid w:val="00DB7853"/>
    <w:rsid w:val="00DB7EB6"/>
    <w:rsid w:val="00DC03A0"/>
    <w:rsid w:val="00DC0951"/>
    <w:rsid w:val="00DC0A7A"/>
    <w:rsid w:val="00DC0B31"/>
    <w:rsid w:val="00DC1B46"/>
    <w:rsid w:val="00DC1D3E"/>
    <w:rsid w:val="00DC212A"/>
    <w:rsid w:val="00DC226D"/>
    <w:rsid w:val="00DC2294"/>
    <w:rsid w:val="00DC23D5"/>
    <w:rsid w:val="00DC2BF3"/>
    <w:rsid w:val="00DC34F2"/>
    <w:rsid w:val="00DC3A63"/>
    <w:rsid w:val="00DC3AD8"/>
    <w:rsid w:val="00DC3E9D"/>
    <w:rsid w:val="00DC42DA"/>
    <w:rsid w:val="00DC431A"/>
    <w:rsid w:val="00DC4557"/>
    <w:rsid w:val="00DC471B"/>
    <w:rsid w:val="00DC4977"/>
    <w:rsid w:val="00DC51AF"/>
    <w:rsid w:val="00DC5525"/>
    <w:rsid w:val="00DC575A"/>
    <w:rsid w:val="00DC6865"/>
    <w:rsid w:val="00DC6971"/>
    <w:rsid w:val="00DC6A4E"/>
    <w:rsid w:val="00DC6ACC"/>
    <w:rsid w:val="00DC6C4F"/>
    <w:rsid w:val="00DC73B3"/>
    <w:rsid w:val="00DC764A"/>
    <w:rsid w:val="00DC7A5F"/>
    <w:rsid w:val="00DC7BD2"/>
    <w:rsid w:val="00DD01DB"/>
    <w:rsid w:val="00DD09AF"/>
    <w:rsid w:val="00DD0DCB"/>
    <w:rsid w:val="00DD0F37"/>
    <w:rsid w:val="00DD1289"/>
    <w:rsid w:val="00DD21AF"/>
    <w:rsid w:val="00DD22CA"/>
    <w:rsid w:val="00DD243A"/>
    <w:rsid w:val="00DD3026"/>
    <w:rsid w:val="00DD31D4"/>
    <w:rsid w:val="00DD32A9"/>
    <w:rsid w:val="00DD377B"/>
    <w:rsid w:val="00DD4245"/>
    <w:rsid w:val="00DD44AA"/>
    <w:rsid w:val="00DD46AE"/>
    <w:rsid w:val="00DD4BE2"/>
    <w:rsid w:val="00DD5160"/>
    <w:rsid w:val="00DD517B"/>
    <w:rsid w:val="00DD60C3"/>
    <w:rsid w:val="00DD6778"/>
    <w:rsid w:val="00DD687F"/>
    <w:rsid w:val="00DD6EEC"/>
    <w:rsid w:val="00DD7960"/>
    <w:rsid w:val="00DD7C8E"/>
    <w:rsid w:val="00DE04F6"/>
    <w:rsid w:val="00DE07A6"/>
    <w:rsid w:val="00DE0E80"/>
    <w:rsid w:val="00DE128F"/>
    <w:rsid w:val="00DE15E0"/>
    <w:rsid w:val="00DE1803"/>
    <w:rsid w:val="00DE1A9A"/>
    <w:rsid w:val="00DE2175"/>
    <w:rsid w:val="00DE241A"/>
    <w:rsid w:val="00DE25E6"/>
    <w:rsid w:val="00DE2A08"/>
    <w:rsid w:val="00DE2D96"/>
    <w:rsid w:val="00DE3059"/>
    <w:rsid w:val="00DE3120"/>
    <w:rsid w:val="00DE3199"/>
    <w:rsid w:val="00DE3580"/>
    <w:rsid w:val="00DE3948"/>
    <w:rsid w:val="00DE3B18"/>
    <w:rsid w:val="00DE47C9"/>
    <w:rsid w:val="00DE4B11"/>
    <w:rsid w:val="00DE51B4"/>
    <w:rsid w:val="00DE5370"/>
    <w:rsid w:val="00DE5422"/>
    <w:rsid w:val="00DE56C1"/>
    <w:rsid w:val="00DE5735"/>
    <w:rsid w:val="00DE5A3D"/>
    <w:rsid w:val="00DE5EF0"/>
    <w:rsid w:val="00DE6314"/>
    <w:rsid w:val="00DE641A"/>
    <w:rsid w:val="00DE6746"/>
    <w:rsid w:val="00DE6E3E"/>
    <w:rsid w:val="00DE6EDC"/>
    <w:rsid w:val="00DE718B"/>
    <w:rsid w:val="00DE76E2"/>
    <w:rsid w:val="00DE789E"/>
    <w:rsid w:val="00DF06AB"/>
    <w:rsid w:val="00DF0992"/>
    <w:rsid w:val="00DF109B"/>
    <w:rsid w:val="00DF1EE5"/>
    <w:rsid w:val="00DF202A"/>
    <w:rsid w:val="00DF2268"/>
    <w:rsid w:val="00DF2513"/>
    <w:rsid w:val="00DF2606"/>
    <w:rsid w:val="00DF282C"/>
    <w:rsid w:val="00DF339F"/>
    <w:rsid w:val="00DF349F"/>
    <w:rsid w:val="00DF3B7C"/>
    <w:rsid w:val="00DF3D01"/>
    <w:rsid w:val="00DF4397"/>
    <w:rsid w:val="00DF4C2D"/>
    <w:rsid w:val="00DF4E18"/>
    <w:rsid w:val="00DF5031"/>
    <w:rsid w:val="00DF53D6"/>
    <w:rsid w:val="00DF659F"/>
    <w:rsid w:val="00DF66FD"/>
    <w:rsid w:val="00DF6713"/>
    <w:rsid w:val="00DF6CC2"/>
    <w:rsid w:val="00DF6D6F"/>
    <w:rsid w:val="00DF7323"/>
    <w:rsid w:val="00DF7352"/>
    <w:rsid w:val="00DF73DC"/>
    <w:rsid w:val="00DF76AE"/>
    <w:rsid w:val="00DF7831"/>
    <w:rsid w:val="00DF78BC"/>
    <w:rsid w:val="00DF7CD7"/>
    <w:rsid w:val="00E003CA"/>
    <w:rsid w:val="00E00567"/>
    <w:rsid w:val="00E005BD"/>
    <w:rsid w:val="00E008B7"/>
    <w:rsid w:val="00E00D58"/>
    <w:rsid w:val="00E0155E"/>
    <w:rsid w:val="00E0180E"/>
    <w:rsid w:val="00E01A2D"/>
    <w:rsid w:val="00E01C92"/>
    <w:rsid w:val="00E01D2D"/>
    <w:rsid w:val="00E020C2"/>
    <w:rsid w:val="00E02219"/>
    <w:rsid w:val="00E02BD3"/>
    <w:rsid w:val="00E02CD7"/>
    <w:rsid w:val="00E02E9D"/>
    <w:rsid w:val="00E03217"/>
    <w:rsid w:val="00E033D5"/>
    <w:rsid w:val="00E0399F"/>
    <w:rsid w:val="00E039D6"/>
    <w:rsid w:val="00E03A71"/>
    <w:rsid w:val="00E03E92"/>
    <w:rsid w:val="00E04069"/>
    <w:rsid w:val="00E043F4"/>
    <w:rsid w:val="00E04884"/>
    <w:rsid w:val="00E048D2"/>
    <w:rsid w:val="00E048FB"/>
    <w:rsid w:val="00E04FB2"/>
    <w:rsid w:val="00E051A5"/>
    <w:rsid w:val="00E053A8"/>
    <w:rsid w:val="00E059F4"/>
    <w:rsid w:val="00E0615A"/>
    <w:rsid w:val="00E0640C"/>
    <w:rsid w:val="00E06FB0"/>
    <w:rsid w:val="00E0789A"/>
    <w:rsid w:val="00E07941"/>
    <w:rsid w:val="00E07AAB"/>
    <w:rsid w:val="00E07D7D"/>
    <w:rsid w:val="00E11071"/>
    <w:rsid w:val="00E1122A"/>
    <w:rsid w:val="00E11680"/>
    <w:rsid w:val="00E11E8E"/>
    <w:rsid w:val="00E1393D"/>
    <w:rsid w:val="00E1404D"/>
    <w:rsid w:val="00E1472A"/>
    <w:rsid w:val="00E149A3"/>
    <w:rsid w:val="00E14E6D"/>
    <w:rsid w:val="00E153B0"/>
    <w:rsid w:val="00E154F5"/>
    <w:rsid w:val="00E16511"/>
    <w:rsid w:val="00E16525"/>
    <w:rsid w:val="00E167D0"/>
    <w:rsid w:val="00E1681F"/>
    <w:rsid w:val="00E16903"/>
    <w:rsid w:val="00E1691F"/>
    <w:rsid w:val="00E175D8"/>
    <w:rsid w:val="00E1777F"/>
    <w:rsid w:val="00E20026"/>
    <w:rsid w:val="00E201AB"/>
    <w:rsid w:val="00E20B93"/>
    <w:rsid w:val="00E21775"/>
    <w:rsid w:val="00E21D43"/>
    <w:rsid w:val="00E21EF2"/>
    <w:rsid w:val="00E223EB"/>
    <w:rsid w:val="00E2248E"/>
    <w:rsid w:val="00E2255A"/>
    <w:rsid w:val="00E22629"/>
    <w:rsid w:val="00E22699"/>
    <w:rsid w:val="00E22779"/>
    <w:rsid w:val="00E22C9E"/>
    <w:rsid w:val="00E22E7D"/>
    <w:rsid w:val="00E22EBA"/>
    <w:rsid w:val="00E22F7D"/>
    <w:rsid w:val="00E231D3"/>
    <w:rsid w:val="00E2380E"/>
    <w:rsid w:val="00E23C77"/>
    <w:rsid w:val="00E24232"/>
    <w:rsid w:val="00E24C08"/>
    <w:rsid w:val="00E2524B"/>
    <w:rsid w:val="00E25E75"/>
    <w:rsid w:val="00E2616F"/>
    <w:rsid w:val="00E263EA"/>
    <w:rsid w:val="00E267EA"/>
    <w:rsid w:val="00E2699F"/>
    <w:rsid w:val="00E274FF"/>
    <w:rsid w:val="00E27974"/>
    <w:rsid w:val="00E2798F"/>
    <w:rsid w:val="00E27E49"/>
    <w:rsid w:val="00E30239"/>
    <w:rsid w:val="00E3036C"/>
    <w:rsid w:val="00E30AC1"/>
    <w:rsid w:val="00E30EA2"/>
    <w:rsid w:val="00E31044"/>
    <w:rsid w:val="00E31123"/>
    <w:rsid w:val="00E31BD6"/>
    <w:rsid w:val="00E31CBB"/>
    <w:rsid w:val="00E3205B"/>
    <w:rsid w:val="00E321BD"/>
    <w:rsid w:val="00E32537"/>
    <w:rsid w:val="00E32B2D"/>
    <w:rsid w:val="00E32F58"/>
    <w:rsid w:val="00E33224"/>
    <w:rsid w:val="00E33A73"/>
    <w:rsid w:val="00E33F1B"/>
    <w:rsid w:val="00E34231"/>
    <w:rsid w:val="00E3471F"/>
    <w:rsid w:val="00E34A21"/>
    <w:rsid w:val="00E34AFC"/>
    <w:rsid w:val="00E34D0C"/>
    <w:rsid w:val="00E34E77"/>
    <w:rsid w:val="00E34EA0"/>
    <w:rsid w:val="00E34ED0"/>
    <w:rsid w:val="00E352C0"/>
    <w:rsid w:val="00E3559D"/>
    <w:rsid w:val="00E3595C"/>
    <w:rsid w:val="00E36001"/>
    <w:rsid w:val="00E36047"/>
    <w:rsid w:val="00E362AA"/>
    <w:rsid w:val="00E366AD"/>
    <w:rsid w:val="00E36A57"/>
    <w:rsid w:val="00E36DF7"/>
    <w:rsid w:val="00E37043"/>
    <w:rsid w:val="00E37562"/>
    <w:rsid w:val="00E37796"/>
    <w:rsid w:val="00E37807"/>
    <w:rsid w:val="00E3792F"/>
    <w:rsid w:val="00E40087"/>
    <w:rsid w:val="00E412C5"/>
    <w:rsid w:val="00E414A1"/>
    <w:rsid w:val="00E415D3"/>
    <w:rsid w:val="00E419BB"/>
    <w:rsid w:val="00E4220D"/>
    <w:rsid w:val="00E422E0"/>
    <w:rsid w:val="00E42845"/>
    <w:rsid w:val="00E428F4"/>
    <w:rsid w:val="00E42F6B"/>
    <w:rsid w:val="00E42FF6"/>
    <w:rsid w:val="00E4358F"/>
    <w:rsid w:val="00E43DBD"/>
    <w:rsid w:val="00E442C2"/>
    <w:rsid w:val="00E44490"/>
    <w:rsid w:val="00E448C8"/>
    <w:rsid w:val="00E44A71"/>
    <w:rsid w:val="00E44B51"/>
    <w:rsid w:val="00E450FF"/>
    <w:rsid w:val="00E453E7"/>
    <w:rsid w:val="00E45AB2"/>
    <w:rsid w:val="00E45B98"/>
    <w:rsid w:val="00E45C68"/>
    <w:rsid w:val="00E45C85"/>
    <w:rsid w:val="00E45D85"/>
    <w:rsid w:val="00E45F77"/>
    <w:rsid w:val="00E46152"/>
    <w:rsid w:val="00E46254"/>
    <w:rsid w:val="00E4698E"/>
    <w:rsid w:val="00E46A27"/>
    <w:rsid w:val="00E4706F"/>
    <w:rsid w:val="00E4752C"/>
    <w:rsid w:val="00E5001C"/>
    <w:rsid w:val="00E50036"/>
    <w:rsid w:val="00E51555"/>
    <w:rsid w:val="00E519D9"/>
    <w:rsid w:val="00E51C86"/>
    <w:rsid w:val="00E521F7"/>
    <w:rsid w:val="00E52707"/>
    <w:rsid w:val="00E52CDC"/>
    <w:rsid w:val="00E53494"/>
    <w:rsid w:val="00E53EA8"/>
    <w:rsid w:val="00E53FC2"/>
    <w:rsid w:val="00E5459D"/>
    <w:rsid w:val="00E54A1A"/>
    <w:rsid w:val="00E54A29"/>
    <w:rsid w:val="00E54A45"/>
    <w:rsid w:val="00E54D07"/>
    <w:rsid w:val="00E54DA7"/>
    <w:rsid w:val="00E5524C"/>
    <w:rsid w:val="00E55785"/>
    <w:rsid w:val="00E55CE5"/>
    <w:rsid w:val="00E55CFE"/>
    <w:rsid w:val="00E55D03"/>
    <w:rsid w:val="00E56A6F"/>
    <w:rsid w:val="00E56AA0"/>
    <w:rsid w:val="00E56F0B"/>
    <w:rsid w:val="00E5705E"/>
    <w:rsid w:val="00E572E6"/>
    <w:rsid w:val="00E57557"/>
    <w:rsid w:val="00E57AAA"/>
    <w:rsid w:val="00E601A0"/>
    <w:rsid w:val="00E6025E"/>
    <w:rsid w:val="00E60694"/>
    <w:rsid w:val="00E60922"/>
    <w:rsid w:val="00E613ED"/>
    <w:rsid w:val="00E613EF"/>
    <w:rsid w:val="00E619F4"/>
    <w:rsid w:val="00E61A0C"/>
    <w:rsid w:val="00E61C38"/>
    <w:rsid w:val="00E61D68"/>
    <w:rsid w:val="00E6201E"/>
    <w:rsid w:val="00E620E7"/>
    <w:rsid w:val="00E6358F"/>
    <w:rsid w:val="00E64115"/>
    <w:rsid w:val="00E64122"/>
    <w:rsid w:val="00E64F52"/>
    <w:rsid w:val="00E65309"/>
    <w:rsid w:val="00E65C36"/>
    <w:rsid w:val="00E65CEF"/>
    <w:rsid w:val="00E65F6D"/>
    <w:rsid w:val="00E6622D"/>
    <w:rsid w:val="00E6640E"/>
    <w:rsid w:val="00E66AE7"/>
    <w:rsid w:val="00E66BA0"/>
    <w:rsid w:val="00E66F33"/>
    <w:rsid w:val="00E6708B"/>
    <w:rsid w:val="00E67919"/>
    <w:rsid w:val="00E679B7"/>
    <w:rsid w:val="00E70E1C"/>
    <w:rsid w:val="00E7134E"/>
    <w:rsid w:val="00E71681"/>
    <w:rsid w:val="00E718F5"/>
    <w:rsid w:val="00E71BE3"/>
    <w:rsid w:val="00E71EF0"/>
    <w:rsid w:val="00E7221A"/>
    <w:rsid w:val="00E72C16"/>
    <w:rsid w:val="00E72C54"/>
    <w:rsid w:val="00E72D9C"/>
    <w:rsid w:val="00E734F0"/>
    <w:rsid w:val="00E7359D"/>
    <w:rsid w:val="00E73BE8"/>
    <w:rsid w:val="00E73C27"/>
    <w:rsid w:val="00E74533"/>
    <w:rsid w:val="00E746BA"/>
    <w:rsid w:val="00E747F3"/>
    <w:rsid w:val="00E7497F"/>
    <w:rsid w:val="00E74BFB"/>
    <w:rsid w:val="00E757E9"/>
    <w:rsid w:val="00E7580B"/>
    <w:rsid w:val="00E758FE"/>
    <w:rsid w:val="00E75AC4"/>
    <w:rsid w:val="00E75FAC"/>
    <w:rsid w:val="00E76043"/>
    <w:rsid w:val="00E760C1"/>
    <w:rsid w:val="00E764C1"/>
    <w:rsid w:val="00E764D2"/>
    <w:rsid w:val="00E76555"/>
    <w:rsid w:val="00E7691B"/>
    <w:rsid w:val="00E76E13"/>
    <w:rsid w:val="00E77320"/>
    <w:rsid w:val="00E773FB"/>
    <w:rsid w:val="00E801A1"/>
    <w:rsid w:val="00E802FC"/>
    <w:rsid w:val="00E81398"/>
    <w:rsid w:val="00E817DF"/>
    <w:rsid w:val="00E8193C"/>
    <w:rsid w:val="00E82162"/>
    <w:rsid w:val="00E82851"/>
    <w:rsid w:val="00E82BD0"/>
    <w:rsid w:val="00E82F80"/>
    <w:rsid w:val="00E8388B"/>
    <w:rsid w:val="00E838D0"/>
    <w:rsid w:val="00E83A86"/>
    <w:rsid w:val="00E83D79"/>
    <w:rsid w:val="00E84499"/>
    <w:rsid w:val="00E84AED"/>
    <w:rsid w:val="00E84E7C"/>
    <w:rsid w:val="00E84E9B"/>
    <w:rsid w:val="00E85856"/>
    <w:rsid w:val="00E863AB"/>
    <w:rsid w:val="00E864BF"/>
    <w:rsid w:val="00E86604"/>
    <w:rsid w:val="00E86AAA"/>
    <w:rsid w:val="00E86CE5"/>
    <w:rsid w:val="00E87744"/>
    <w:rsid w:val="00E87DFD"/>
    <w:rsid w:val="00E87FD8"/>
    <w:rsid w:val="00E90059"/>
    <w:rsid w:val="00E90414"/>
    <w:rsid w:val="00E90620"/>
    <w:rsid w:val="00E90BC6"/>
    <w:rsid w:val="00E90D13"/>
    <w:rsid w:val="00E90EF7"/>
    <w:rsid w:val="00E9107F"/>
    <w:rsid w:val="00E913CE"/>
    <w:rsid w:val="00E91544"/>
    <w:rsid w:val="00E915CD"/>
    <w:rsid w:val="00E91D25"/>
    <w:rsid w:val="00E91EED"/>
    <w:rsid w:val="00E9236A"/>
    <w:rsid w:val="00E92826"/>
    <w:rsid w:val="00E9284D"/>
    <w:rsid w:val="00E93356"/>
    <w:rsid w:val="00E93491"/>
    <w:rsid w:val="00E93716"/>
    <w:rsid w:val="00E9397C"/>
    <w:rsid w:val="00E93B81"/>
    <w:rsid w:val="00E94007"/>
    <w:rsid w:val="00E943C6"/>
    <w:rsid w:val="00E94B48"/>
    <w:rsid w:val="00E94C79"/>
    <w:rsid w:val="00E94E0E"/>
    <w:rsid w:val="00E955ED"/>
    <w:rsid w:val="00E95A8F"/>
    <w:rsid w:val="00E95AF7"/>
    <w:rsid w:val="00E95D23"/>
    <w:rsid w:val="00E95D71"/>
    <w:rsid w:val="00E965B2"/>
    <w:rsid w:val="00E968ED"/>
    <w:rsid w:val="00E96D14"/>
    <w:rsid w:val="00E96F3F"/>
    <w:rsid w:val="00E97032"/>
    <w:rsid w:val="00E9741B"/>
    <w:rsid w:val="00E977E9"/>
    <w:rsid w:val="00EA058C"/>
    <w:rsid w:val="00EA06CF"/>
    <w:rsid w:val="00EA0AD9"/>
    <w:rsid w:val="00EA19AF"/>
    <w:rsid w:val="00EA2719"/>
    <w:rsid w:val="00EA27BB"/>
    <w:rsid w:val="00EA2C43"/>
    <w:rsid w:val="00EA2FD2"/>
    <w:rsid w:val="00EA3384"/>
    <w:rsid w:val="00EA3AA8"/>
    <w:rsid w:val="00EA3B6E"/>
    <w:rsid w:val="00EA3BD8"/>
    <w:rsid w:val="00EA3DDD"/>
    <w:rsid w:val="00EA44D2"/>
    <w:rsid w:val="00EA45B2"/>
    <w:rsid w:val="00EA4B25"/>
    <w:rsid w:val="00EA4C01"/>
    <w:rsid w:val="00EA4CBA"/>
    <w:rsid w:val="00EA4E11"/>
    <w:rsid w:val="00EA4F5A"/>
    <w:rsid w:val="00EA58FF"/>
    <w:rsid w:val="00EA5B6E"/>
    <w:rsid w:val="00EA5F87"/>
    <w:rsid w:val="00EA619A"/>
    <w:rsid w:val="00EA667D"/>
    <w:rsid w:val="00EA68A3"/>
    <w:rsid w:val="00EA68E2"/>
    <w:rsid w:val="00EA7933"/>
    <w:rsid w:val="00EB0B35"/>
    <w:rsid w:val="00EB0BC8"/>
    <w:rsid w:val="00EB0D79"/>
    <w:rsid w:val="00EB0E88"/>
    <w:rsid w:val="00EB1045"/>
    <w:rsid w:val="00EB12C6"/>
    <w:rsid w:val="00EB14CD"/>
    <w:rsid w:val="00EB152F"/>
    <w:rsid w:val="00EB15F9"/>
    <w:rsid w:val="00EB18B0"/>
    <w:rsid w:val="00EB1B07"/>
    <w:rsid w:val="00EB1CB6"/>
    <w:rsid w:val="00EB1D4E"/>
    <w:rsid w:val="00EB2085"/>
    <w:rsid w:val="00EB20C6"/>
    <w:rsid w:val="00EB244A"/>
    <w:rsid w:val="00EB24B2"/>
    <w:rsid w:val="00EB2610"/>
    <w:rsid w:val="00EB2716"/>
    <w:rsid w:val="00EB27C5"/>
    <w:rsid w:val="00EB28B0"/>
    <w:rsid w:val="00EB2F7C"/>
    <w:rsid w:val="00EB3608"/>
    <w:rsid w:val="00EB3D92"/>
    <w:rsid w:val="00EB3EDE"/>
    <w:rsid w:val="00EB4564"/>
    <w:rsid w:val="00EB61BF"/>
    <w:rsid w:val="00EB6509"/>
    <w:rsid w:val="00EB66A6"/>
    <w:rsid w:val="00EB6C13"/>
    <w:rsid w:val="00EB7555"/>
    <w:rsid w:val="00EB7D5A"/>
    <w:rsid w:val="00EB7E1F"/>
    <w:rsid w:val="00EB7F46"/>
    <w:rsid w:val="00EC0327"/>
    <w:rsid w:val="00EC0989"/>
    <w:rsid w:val="00EC099D"/>
    <w:rsid w:val="00EC0FCD"/>
    <w:rsid w:val="00EC2E77"/>
    <w:rsid w:val="00EC312F"/>
    <w:rsid w:val="00EC35CD"/>
    <w:rsid w:val="00EC3644"/>
    <w:rsid w:val="00EC36E6"/>
    <w:rsid w:val="00EC3A8D"/>
    <w:rsid w:val="00EC4441"/>
    <w:rsid w:val="00EC502B"/>
    <w:rsid w:val="00EC503F"/>
    <w:rsid w:val="00EC50FF"/>
    <w:rsid w:val="00EC541B"/>
    <w:rsid w:val="00EC5C01"/>
    <w:rsid w:val="00EC5E99"/>
    <w:rsid w:val="00EC6330"/>
    <w:rsid w:val="00EC6960"/>
    <w:rsid w:val="00EC6D82"/>
    <w:rsid w:val="00EC70F5"/>
    <w:rsid w:val="00EC71BB"/>
    <w:rsid w:val="00EC7803"/>
    <w:rsid w:val="00EC7F7D"/>
    <w:rsid w:val="00EC7F8E"/>
    <w:rsid w:val="00ED04CD"/>
    <w:rsid w:val="00ED0603"/>
    <w:rsid w:val="00ED0783"/>
    <w:rsid w:val="00ED0BE7"/>
    <w:rsid w:val="00ED0D1D"/>
    <w:rsid w:val="00ED0E1B"/>
    <w:rsid w:val="00ED0F85"/>
    <w:rsid w:val="00ED0F9E"/>
    <w:rsid w:val="00ED1368"/>
    <w:rsid w:val="00ED147D"/>
    <w:rsid w:val="00ED17CE"/>
    <w:rsid w:val="00ED1886"/>
    <w:rsid w:val="00ED1B57"/>
    <w:rsid w:val="00ED1CA0"/>
    <w:rsid w:val="00ED1E1A"/>
    <w:rsid w:val="00ED288D"/>
    <w:rsid w:val="00ED2AA3"/>
    <w:rsid w:val="00ED3CDB"/>
    <w:rsid w:val="00ED4251"/>
    <w:rsid w:val="00ED435C"/>
    <w:rsid w:val="00ED44BB"/>
    <w:rsid w:val="00ED45D5"/>
    <w:rsid w:val="00ED4CA9"/>
    <w:rsid w:val="00ED53A7"/>
    <w:rsid w:val="00ED56F3"/>
    <w:rsid w:val="00ED5B3E"/>
    <w:rsid w:val="00ED67D5"/>
    <w:rsid w:val="00ED6A99"/>
    <w:rsid w:val="00ED6B11"/>
    <w:rsid w:val="00ED702B"/>
    <w:rsid w:val="00ED71E0"/>
    <w:rsid w:val="00ED7688"/>
    <w:rsid w:val="00ED7D64"/>
    <w:rsid w:val="00EE00C9"/>
    <w:rsid w:val="00EE01BA"/>
    <w:rsid w:val="00EE07BE"/>
    <w:rsid w:val="00EE0FA7"/>
    <w:rsid w:val="00EE1063"/>
    <w:rsid w:val="00EE128B"/>
    <w:rsid w:val="00EE187F"/>
    <w:rsid w:val="00EE1F88"/>
    <w:rsid w:val="00EE229A"/>
    <w:rsid w:val="00EE2886"/>
    <w:rsid w:val="00EE29D5"/>
    <w:rsid w:val="00EE2BDF"/>
    <w:rsid w:val="00EE2E10"/>
    <w:rsid w:val="00EE348C"/>
    <w:rsid w:val="00EE3F81"/>
    <w:rsid w:val="00EE414A"/>
    <w:rsid w:val="00EE4E20"/>
    <w:rsid w:val="00EE568B"/>
    <w:rsid w:val="00EE5978"/>
    <w:rsid w:val="00EE5AD9"/>
    <w:rsid w:val="00EE657B"/>
    <w:rsid w:val="00EE68A6"/>
    <w:rsid w:val="00EE6DD2"/>
    <w:rsid w:val="00EE78DB"/>
    <w:rsid w:val="00EE7C4D"/>
    <w:rsid w:val="00EE7D00"/>
    <w:rsid w:val="00EE7D23"/>
    <w:rsid w:val="00EF007A"/>
    <w:rsid w:val="00EF0BB2"/>
    <w:rsid w:val="00EF0C8A"/>
    <w:rsid w:val="00EF0DED"/>
    <w:rsid w:val="00EF105B"/>
    <w:rsid w:val="00EF112E"/>
    <w:rsid w:val="00EF119A"/>
    <w:rsid w:val="00EF1323"/>
    <w:rsid w:val="00EF1998"/>
    <w:rsid w:val="00EF2729"/>
    <w:rsid w:val="00EF27B0"/>
    <w:rsid w:val="00EF2C2D"/>
    <w:rsid w:val="00EF2D76"/>
    <w:rsid w:val="00EF2FEF"/>
    <w:rsid w:val="00EF31B0"/>
    <w:rsid w:val="00EF3508"/>
    <w:rsid w:val="00EF3A7F"/>
    <w:rsid w:val="00EF47AD"/>
    <w:rsid w:val="00EF4967"/>
    <w:rsid w:val="00EF4A09"/>
    <w:rsid w:val="00EF5D25"/>
    <w:rsid w:val="00EF630C"/>
    <w:rsid w:val="00EF63B8"/>
    <w:rsid w:val="00EF69A9"/>
    <w:rsid w:val="00EF7222"/>
    <w:rsid w:val="00EF7349"/>
    <w:rsid w:val="00EF746E"/>
    <w:rsid w:val="00EF7BBE"/>
    <w:rsid w:val="00F00094"/>
    <w:rsid w:val="00F0050C"/>
    <w:rsid w:val="00F006A1"/>
    <w:rsid w:val="00F006C1"/>
    <w:rsid w:val="00F01330"/>
    <w:rsid w:val="00F01938"/>
    <w:rsid w:val="00F01E1E"/>
    <w:rsid w:val="00F02039"/>
    <w:rsid w:val="00F025DC"/>
    <w:rsid w:val="00F0275B"/>
    <w:rsid w:val="00F027F1"/>
    <w:rsid w:val="00F0297F"/>
    <w:rsid w:val="00F0338B"/>
    <w:rsid w:val="00F0340E"/>
    <w:rsid w:val="00F03CC3"/>
    <w:rsid w:val="00F047FB"/>
    <w:rsid w:val="00F04E16"/>
    <w:rsid w:val="00F0588C"/>
    <w:rsid w:val="00F05D31"/>
    <w:rsid w:val="00F060B3"/>
    <w:rsid w:val="00F06446"/>
    <w:rsid w:val="00F0657D"/>
    <w:rsid w:val="00F0691F"/>
    <w:rsid w:val="00F06C77"/>
    <w:rsid w:val="00F07069"/>
    <w:rsid w:val="00F101E6"/>
    <w:rsid w:val="00F1025C"/>
    <w:rsid w:val="00F10A21"/>
    <w:rsid w:val="00F10D5C"/>
    <w:rsid w:val="00F11600"/>
    <w:rsid w:val="00F11830"/>
    <w:rsid w:val="00F118F9"/>
    <w:rsid w:val="00F12A17"/>
    <w:rsid w:val="00F12B28"/>
    <w:rsid w:val="00F12CC6"/>
    <w:rsid w:val="00F12FD7"/>
    <w:rsid w:val="00F134FB"/>
    <w:rsid w:val="00F13BE7"/>
    <w:rsid w:val="00F13D85"/>
    <w:rsid w:val="00F15C59"/>
    <w:rsid w:val="00F15DBE"/>
    <w:rsid w:val="00F15DC2"/>
    <w:rsid w:val="00F1637E"/>
    <w:rsid w:val="00F165E6"/>
    <w:rsid w:val="00F16B2F"/>
    <w:rsid w:val="00F16BA3"/>
    <w:rsid w:val="00F16C2F"/>
    <w:rsid w:val="00F17164"/>
    <w:rsid w:val="00F17E3A"/>
    <w:rsid w:val="00F17E4B"/>
    <w:rsid w:val="00F17E8E"/>
    <w:rsid w:val="00F20232"/>
    <w:rsid w:val="00F20737"/>
    <w:rsid w:val="00F20786"/>
    <w:rsid w:val="00F20A85"/>
    <w:rsid w:val="00F20C37"/>
    <w:rsid w:val="00F212C0"/>
    <w:rsid w:val="00F215E8"/>
    <w:rsid w:val="00F2164E"/>
    <w:rsid w:val="00F21F28"/>
    <w:rsid w:val="00F22C2F"/>
    <w:rsid w:val="00F22D28"/>
    <w:rsid w:val="00F22DEF"/>
    <w:rsid w:val="00F22E89"/>
    <w:rsid w:val="00F24181"/>
    <w:rsid w:val="00F24700"/>
    <w:rsid w:val="00F24C7C"/>
    <w:rsid w:val="00F24E42"/>
    <w:rsid w:val="00F25671"/>
    <w:rsid w:val="00F257B4"/>
    <w:rsid w:val="00F2589E"/>
    <w:rsid w:val="00F261B2"/>
    <w:rsid w:val="00F26C14"/>
    <w:rsid w:val="00F26C80"/>
    <w:rsid w:val="00F26FAF"/>
    <w:rsid w:val="00F2749A"/>
    <w:rsid w:val="00F2765C"/>
    <w:rsid w:val="00F300A2"/>
    <w:rsid w:val="00F30C1B"/>
    <w:rsid w:val="00F3134E"/>
    <w:rsid w:val="00F3193F"/>
    <w:rsid w:val="00F319C3"/>
    <w:rsid w:val="00F31CC5"/>
    <w:rsid w:val="00F3247B"/>
    <w:rsid w:val="00F3286E"/>
    <w:rsid w:val="00F32FC3"/>
    <w:rsid w:val="00F330A5"/>
    <w:rsid w:val="00F337D9"/>
    <w:rsid w:val="00F3395F"/>
    <w:rsid w:val="00F33E41"/>
    <w:rsid w:val="00F3464C"/>
    <w:rsid w:val="00F346C8"/>
    <w:rsid w:val="00F347D9"/>
    <w:rsid w:val="00F3491E"/>
    <w:rsid w:val="00F35A27"/>
    <w:rsid w:val="00F35B8F"/>
    <w:rsid w:val="00F36178"/>
    <w:rsid w:val="00F363E7"/>
    <w:rsid w:val="00F36B15"/>
    <w:rsid w:val="00F37931"/>
    <w:rsid w:val="00F37AD9"/>
    <w:rsid w:val="00F37B3A"/>
    <w:rsid w:val="00F40074"/>
    <w:rsid w:val="00F400C9"/>
    <w:rsid w:val="00F40216"/>
    <w:rsid w:val="00F40940"/>
    <w:rsid w:val="00F40F01"/>
    <w:rsid w:val="00F40FAB"/>
    <w:rsid w:val="00F4146E"/>
    <w:rsid w:val="00F415D7"/>
    <w:rsid w:val="00F418A2"/>
    <w:rsid w:val="00F42059"/>
    <w:rsid w:val="00F42888"/>
    <w:rsid w:val="00F42A0D"/>
    <w:rsid w:val="00F42CD6"/>
    <w:rsid w:val="00F42CDC"/>
    <w:rsid w:val="00F42DF9"/>
    <w:rsid w:val="00F43850"/>
    <w:rsid w:val="00F43866"/>
    <w:rsid w:val="00F43CA7"/>
    <w:rsid w:val="00F443A2"/>
    <w:rsid w:val="00F45116"/>
    <w:rsid w:val="00F455C2"/>
    <w:rsid w:val="00F45956"/>
    <w:rsid w:val="00F45F31"/>
    <w:rsid w:val="00F46469"/>
    <w:rsid w:val="00F465BE"/>
    <w:rsid w:val="00F4666C"/>
    <w:rsid w:val="00F469AF"/>
    <w:rsid w:val="00F47788"/>
    <w:rsid w:val="00F47F6E"/>
    <w:rsid w:val="00F505A4"/>
    <w:rsid w:val="00F50A2D"/>
    <w:rsid w:val="00F50FB6"/>
    <w:rsid w:val="00F51493"/>
    <w:rsid w:val="00F51AD6"/>
    <w:rsid w:val="00F51C69"/>
    <w:rsid w:val="00F51D12"/>
    <w:rsid w:val="00F51EEE"/>
    <w:rsid w:val="00F52071"/>
    <w:rsid w:val="00F521B4"/>
    <w:rsid w:val="00F5247E"/>
    <w:rsid w:val="00F524BD"/>
    <w:rsid w:val="00F524FE"/>
    <w:rsid w:val="00F52B1F"/>
    <w:rsid w:val="00F52B6B"/>
    <w:rsid w:val="00F52BB1"/>
    <w:rsid w:val="00F52ED6"/>
    <w:rsid w:val="00F53420"/>
    <w:rsid w:val="00F53465"/>
    <w:rsid w:val="00F53586"/>
    <w:rsid w:val="00F53AF1"/>
    <w:rsid w:val="00F53BB1"/>
    <w:rsid w:val="00F53D7F"/>
    <w:rsid w:val="00F53FE5"/>
    <w:rsid w:val="00F546C2"/>
    <w:rsid w:val="00F54B4E"/>
    <w:rsid w:val="00F54CE3"/>
    <w:rsid w:val="00F552F1"/>
    <w:rsid w:val="00F55F11"/>
    <w:rsid w:val="00F56874"/>
    <w:rsid w:val="00F568BE"/>
    <w:rsid w:val="00F56ACE"/>
    <w:rsid w:val="00F57191"/>
    <w:rsid w:val="00F57611"/>
    <w:rsid w:val="00F57897"/>
    <w:rsid w:val="00F579AB"/>
    <w:rsid w:val="00F57AAF"/>
    <w:rsid w:val="00F60061"/>
    <w:rsid w:val="00F609F3"/>
    <w:rsid w:val="00F60E11"/>
    <w:rsid w:val="00F610E2"/>
    <w:rsid w:val="00F6118E"/>
    <w:rsid w:val="00F61949"/>
    <w:rsid w:val="00F61BC7"/>
    <w:rsid w:val="00F6224C"/>
    <w:rsid w:val="00F622E7"/>
    <w:rsid w:val="00F62540"/>
    <w:rsid w:val="00F62AD5"/>
    <w:rsid w:val="00F62D11"/>
    <w:rsid w:val="00F6347A"/>
    <w:rsid w:val="00F637C0"/>
    <w:rsid w:val="00F63B25"/>
    <w:rsid w:val="00F63BD7"/>
    <w:rsid w:val="00F64283"/>
    <w:rsid w:val="00F64344"/>
    <w:rsid w:val="00F6470B"/>
    <w:rsid w:val="00F647BF"/>
    <w:rsid w:val="00F64890"/>
    <w:rsid w:val="00F64BF2"/>
    <w:rsid w:val="00F6537F"/>
    <w:rsid w:val="00F6575B"/>
    <w:rsid w:val="00F65B0B"/>
    <w:rsid w:val="00F65F55"/>
    <w:rsid w:val="00F664E6"/>
    <w:rsid w:val="00F66702"/>
    <w:rsid w:val="00F66E0C"/>
    <w:rsid w:val="00F67D6B"/>
    <w:rsid w:val="00F67EDD"/>
    <w:rsid w:val="00F7011B"/>
    <w:rsid w:val="00F708DE"/>
    <w:rsid w:val="00F718A5"/>
    <w:rsid w:val="00F71902"/>
    <w:rsid w:val="00F71EA4"/>
    <w:rsid w:val="00F7237A"/>
    <w:rsid w:val="00F72996"/>
    <w:rsid w:val="00F72A4F"/>
    <w:rsid w:val="00F73AC7"/>
    <w:rsid w:val="00F73E6B"/>
    <w:rsid w:val="00F740E9"/>
    <w:rsid w:val="00F74559"/>
    <w:rsid w:val="00F74615"/>
    <w:rsid w:val="00F7461D"/>
    <w:rsid w:val="00F74A23"/>
    <w:rsid w:val="00F752F7"/>
    <w:rsid w:val="00F758A2"/>
    <w:rsid w:val="00F75C04"/>
    <w:rsid w:val="00F75D25"/>
    <w:rsid w:val="00F7655C"/>
    <w:rsid w:val="00F7655F"/>
    <w:rsid w:val="00F7687D"/>
    <w:rsid w:val="00F7798E"/>
    <w:rsid w:val="00F77A12"/>
    <w:rsid w:val="00F77A22"/>
    <w:rsid w:val="00F77A52"/>
    <w:rsid w:val="00F77AB1"/>
    <w:rsid w:val="00F77ABB"/>
    <w:rsid w:val="00F77CB6"/>
    <w:rsid w:val="00F77DB8"/>
    <w:rsid w:val="00F8017A"/>
    <w:rsid w:val="00F802E6"/>
    <w:rsid w:val="00F806B6"/>
    <w:rsid w:val="00F8075F"/>
    <w:rsid w:val="00F8097B"/>
    <w:rsid w:val="00F80A9F"/>
    <w:rsid w:val="00F80CCB"/>
    <w:rsid w:val="00F80E3A"/>
    <w:rsid w:val="00F80EFA"/>
    <w:rsid w:val="00F81146"/>
    <w:rsid w:val="00F81200"/>
    <w:rsid w:val="00F816DF"/>
    <w:rsid w:val="00F81786"/>
    <w:rsid w:val="00F81B3E"/>
    <w:rsid w:val="00F81DD6"/>
    <w:rsid w:val="00F82013"/>
    <w:rsid w:val="00F8210E"/>
    <w:rsid w:val="00F823E1"/>
    <w:rsid w:val="00F8243D"/>
    <w:rsid w:val="00F82825"/>
    <w:rsid w:val="00F834D8"/>
    <w:rsid w:val="00F837D4"/>
    <w:rsid w:val="00F83CB4"/>
    <w:rsid w:val="00F841C9"/>
    <w:rsid w:val="00F8448F"/>
    <w:rsid w:val="00F846D1"/>
    <w:rsid w:val="00F857DA"/>
    <w:rsid w:val="00F85CB5"/>
    <w:rsid w:val="00F8661D"/>
    <w:rsid w:val="00F874D2"/>
    <w:rsid w:val="00F87944"/>
    <w:rsid w:val="00F90491"/>
    <w:rsid w:val="00F90787"/>
    <w:rsid w:val="00F90A37"/>
    <w:rsid w:val="00F90BA1"/>
    <w:rsid w:val="00F90D26"/>
    <w:rsid w:val="00F910D8"/>
    <w:rsid w:val="00F91366"/>
    <w:rsid w:val="00F91367"/>
    <w:rsid w:val="00F914BC"/>
    <w:rsid w:val="00F91711"/>
    <w:rsid w:val="00F91943"/>
    <w:rsid w:val="00F91D06"/>
    <w:rsid w:val="00F920D0"/>
    <w:rsid w:val="00F92199"/>
    <w:rsid w:val="00F9234E"/>
    <w:rsid w:val="00F925EA"/>
    <w:rsid w:val="00F929DD"/>
    <w:rsid w:val="00F9308B"/>
    <w:rsid w:val="00F931D3"/>
    <w:rsid w:val="00F93569"/>
    <w:rsid w:val="00F93B7D"/>
    <w:rsid w:val="00F94464"/>
    <w:rsid w:val="00F94C9D"/>
    <w:rsid w:val="00F95CF8"/>
    <w:rsid w:val="00F9686F"/>
    <w:rsid w:val="00F96901"/>
    <w:rsid w:val="00F96CB6"/>
    <w:rsid w:val="00F96D2E"/>
    <w:rsid w:val="00F9703D"/>
    <w:rsid w:val="00F97757"/>
    <w:rsid w:val="00F97B37"/>
    <w:rsid w:val="00F97D72"/>
    <w:rsid w:val="00F97E0A"/>
    <w:rsid w:val="00F97E14"/>
    <w:rsid w:val="00F97FA1"/>
    <w:rsid w:val="00FA0E34"/>
    <w:rsid w:val="00FA0FE6"/>
    <w:rsid w:val="00FA11B8"/>
    <w:rsid w:val="00FA1217"/>
    <w:rsid w:val="00FA1227"/>
    <w:rsid w:val="00FA17B9"/>
    <w:rsid w:val="00FA1A43"/>
    <w:rsid w:val="00FA1A9D"/>
    <w:rsid w:val="00FA1ED5"/>
    <w:rsid w:val="00FA2E38"/>
    <w:rsid w:val="00FA338A"/>
    <w:rsid w:val="00FA345D"/>
    <w:rsid w:val="00FA3A15"/>
    <w:rsid w:val="00FA3AB1"/>
    <w:rsid w:val="00FA3F9D"/>
    <w:rsid w:val="00FA4188"/>
    <w:rsid w:val="00FA49F2"/>
    <w:rsid w:val="00FA4CB8"/>
    <w:rsid w:val="00FA5279"/>
    <w:rsid w:val="00FA54D0"/>
    <w:rsid w:val="00FA5590"/>
    <w:rsid w:val="00FA5A54"/>
    <w:rsid w:val="00FA5C04"/>
    <w:rsid w:val="00FA5FEA"/>
    <w:rsid w:val="00FA6008"/>
    <w:rsid w:val="00FA6175"/>
    <w:rsid w:val="00FA64F4"/>
    <w:rsid w:val="00FA6873"/>
    <w:rsid w:val="00FA6947"/>
    <w:rsid w:val="00FA6A53"/>
    <w:rsid w:val="00FA6EB3"/>
    <w:rsid w:val="00FA720E"/>
    <w:rsid w:val="00FA7BC9"/>
    <w:rsid w:val="00FB0CCA"/>
    <w:rsid w:val="00FB0D13"/>
    <w:rsid w:val="00FB0D65"/>
    <w:rsid w:val="00FB0E01"/>
    <w:rsid w:val="00FB131A"/>
    <w:rsid w:val="00FB1392"/>
    <w:rsid w:val="00FB14ED"/>
    <w:rsid w:val="00FB15E2"/>
    <w:rsid w:val="00FB1DD4"/>
    <w:rsid w:val="00FB1EA0"/>
    <w:rsid w:val="00FB2756"/>
    <w:rsid w:val="00FB2BA2"/>
    <w:rsid w:val="00FB3333"/>
    <w:rsid w:val="00FB3377"/>
    <w:rsid w:val="00FB33C1"/>
    <w:rsid w:val="00FB3A75"/>
    <w:rsid w:val="00FB49DE"/>
    <w:rsid w:val="00FB4E79"/>
    <w:rsid w:val="00FB5D8E"/>
    <w:rsid w:val="00FB6ADB"/>
    <w:rsid w:val="00FB6E11"/>
    <w:rsid w:val="00FB70AF"/>
    <w:rsid w:val="00FB742C"/>
    <w:rsid w:val="00FB7988"/>
    <w:rsid w:val="00FC008B"/>
    <w:rsid w:val="00FC039B"/>
    <w:rsid w:val="00FC0409"/>
    <w:rsid w:val="00FC0513"/>
    <w:rsid w:val="00FC0B14"/>
    <w:rsid w:val="00FC1475"/>
    <w:rsid w:val="00FC181B"/>
    <w:rsid w:val="00FC19BA"/>
    <w:rsid w:val="00FC1B01"/>
    <w:rsid w:val="00FC1F8F"/>
    <w:rsid w:val="00FC251E"/>
    <w:rsid w:val="00FC2AC3"/>
    <w:rsid w:val="00FC2D3F"/>
    <w:rsid w:val="00FC30EC"/>
    <w:rsid w:val="00FC327E"/>
    <w:rsid w:val="00FC379B"/>
    <w:rsid w:val="00FC3CC6"/>
    <w:rsid w:val="00FC3DDD"/>
    <w:rsid w:val="00FC408B"/>
    <w:rsid w:val="00FC42B7"/>
    <w:rsid w:val="00FC4DEE"/>
    <w:rsid w:val="00FC539F"/>
    <w:rsid w:val="00FC58C1"/>
    <w:rsid w:val="00FC649C"/>
    <w:rsid w:val="00FC67C8"/>
    <w:rsid w:val="00FC7026"/>
    <w:rsid w:val="00FC7395"/>
    <w:rsid w:val="00FC7968"/>
    <w:rsid w:val="00FC7FB8"/>
    <w:rsid w:val="00FC7FF0"/>
    <w:rsid w:val="00FD0270"/>
    <w:rsid w:val="00FD05C9"/>
    <w:rsid w:val="00FD06E9"/>
    <w:rsid w:val="00FD0773"/>
    <w:rsid w:val="00FD0CFE"/>
    <w:rsid w:val="00FD0F2A"/>
    <w:rsid w:val="00FD0F66"/>
    <w:rsid w:val="00FD12F2"/>
    <w:rsid w:val="00FD144E"/>
    <w:rsid w:val="00FD1590"/>
    <w:rsid w:val="00FD1891"/>
    <w:rsid w:val="00FD1A0F"/>
    <w:rsid w:val="00FD1B39"/>
    <w:rsid w:val="00FD20D8"/>
    <w:rsid w:val="00FD241B"/>
    <w:rsid w:val="00FD2D68"/>
    <w:rsid w:val="00FD2EC4"/>
    <w:rsid w:val="00FD3321"/>
    <w:rsid w:val="00FD35A0"/>
    <w:rsid w:val="00FD36E2"/>
    <w:rsid w:val="00FD37A8"/>
    <w:rsid w:val="00FD3901"/>
    <w:rsid w:val="00FD3AF5"/>
    <w:rsid w:val="00FD4093"/>
    <w:rsid w:val="00FD46D9"/>
    <w:rsid w:val="00FD46DE"/>
    <w:rsid w:val="00FD482F"/>
    <w:rsid w:val="00FD4B74"/>
    <w:rsid w:val="00FD53AC"/>
    <w:rsid w:val="00FD561F"/>
    <w:rsid w:val="00FD5721"/>
    <w:rsid w:val="00FD58EC"/>
    <w:rsid w:val="00FD5985"/>
    <w:rsid w:val="00FD5C7A"/>
    <w:rsid w:val="00FD671A"/>
    <w:rsid w:val="00FD6BDD"/>
    <w:rsid w:val="00FD6E50"/>
    <w:rsid w:val="00FD745B"/>
    <w:rsid w:val="00FD7834"/>
    <w:rsid w:val="00FE00B7"/>
    <w:rsid w:val="00FE00CE"/>
    <w:rsid w:val="00FE0107"/>
    <w:rsid w:val="00FE0622"/>
    <w:rsid w:val="00FE08EF"/>
    <w:rsid w:val="00FE0916"/>
    <w:rsid w:val="00FE0E7A"/>
    <w:rsid w:val="00FE15AC"/>
    <w:rsid w:val="00FE17FB"/>
    <w:rsid w:val="00FE19C1"/>
    <w:rsid w:val="00FE1BDD"/>
    <w:rsid w:val="00FE2010"/>
    <w:rsid w:val="00FE2739"/>
    <w:rsid w:val="00FE3537"/>
    <w:rsid w:val="00FE35BE"/>
    <w:rsid w:val="00FE3B52"/>
    <w:rsid w:val="00FE44A1"/>
    <w:rsid w:val="00FE4A5C"/>
    <w:rsid w:val="00FE4E3C"/>
    <w:rsid w:val="00FE4F57"/>
    <w:rsid w:val="00FE5401"/>
    <w:rsid w:val="00FE5894"/>
    <w:rsid w:val="00FE5F3A"/>
    <w:rsid w:val="00FE62CF"/>
    <w:rsid w:val="00FE728C"/>
    <w:rsid w:val="00FE747C"/>
    <w:rsid w:val="00FE793D"/>
    <w:rsid w:val="00FE7AFB"/>
    <w:rsid w:val="00FE7F2F"/>
    <w:rsid w:val="00FE7F3C"/>
    <w:rsid w:val="00FF00AD"/>
    <w:rsid w:val="00FF11CD"/>
    <w:rsid w:val="00FF1356"/>
    <w:rsid w:val="00FF1633"/>
    <w:rsid w:val="00FF1654"/>
    <w:rsid w:val="00FF16FE"/>
    <w:rsid w:val="00FF170E"/>
    <w:rsid w:val="00FF18FB"/>
    <w:rsid w:val="00FF1FAD"/>
    <w:rsid w:val="00FF20EF"/>
    <w:rsid w:val="00FF2633"/>
    <w:rsid w:val="00FF2B9C"/>
    <w:rsid w:val="00FF2F9F"/>
    <w:rsid w:val="00FF344A"/>
    <w:rsid w:val="00FF377A"/>
    <w:rsid w:val="00FF4202"/>
    <w:rsid w:val="00FF46C9"/>
    <w:rsid w:val="00FF4B3B"/>
    <w:rsid w:val="00FF50D0"/>
    <w:rsid w:val="00FF532D"/>
    <w:rsid w:val="00FF53D0"/>
    <w:rsid w:val="00FF573F"/>
    <w:rsid w:val="00FF599D"/>
    <w:rsid w:val="00FF65C2"/>
    <w:rsid w:val="00FF65F3"/>
    <w:rsid w:val="00FF6A74"/>
    <w:rsid w:val="00FF7736"/>
    <w:rsid w:val="00FF78B0"/>
    <w:rsid w:val="0279007E"/>
    <w:rsid w:val="0285204B"/>
    <w:rsid w:val="037E2A26"/>
    <w:rsid w:val="03EB441B"/>
    <w:rsid w:val="04060AB8"/>
    <w:rsid w:val="0468B03E"/>
    <w:rsid w:val="0488AF45"/>
    <w:rsid w:val="04C4C7EE"/>
    <w:rsid w:val="0508BC07"/>
    <w:rsid w:val="055F4EE3"/>
    <w:rsid w:val="05703DE0"/>
    <w:rsid w:val="060F48F8"/>
    <w:rsid w:val="063769D6"/>
    <w:rsid w:val="06BD735D"/>
    <w:rsid w:val="078199FC"/>
    <w:rsid w:val="08904B49"/>
    <w:rsid w:val="08B318B1"/>
    <w:rsid w:val="08BF3D34"/>
    <w:rsid w:val="08CC631F"/>
    <w:rsid w:val="091B1728"/>
    <w:rsid w:val="095E3C58"/>
    <w:rsid w:val="09A8267F"/>
    <w:rsid w:val="09AEBE8B"/>
    <w:rsid w:val="09F547BA"/>
    <w:rsid w:val="09FBBE2E"/>
    <w:rsid w:val="09FC21FD"/>
    <w:rsid w:val="0A0163E9"/>
    <w:rsid w:val="0A34CA81"/>
    <w:rsid w:val="0A5479CC"/>
    <w:rsid w:val="0A82F43B"/>
    <w:rsid w:val="0AD7E016"/>
    <w:rsid w:val="0B6A206A"/>
    <w:rsid w:val="0B845699"/>
    <w:rsid w:val="0BEF6515"/>
    <w:rsid w:val="0BFF3713"/>
    <w:rsid w:val="0C548F5B"/>
    <w:rsid w:val="0C5CABD1"/>
    <w:rsid w:val="0C634AA3"/>
    <w:rsid w:val="0C713400"/>
    <w:rsid w:val="0C72D5CB"/>
    <w:rsid w:val="0C7C6E21"/>
    <w:rsid w:val="0CBBB684"/>
    <w:rsid w:val="0D01E576"/>
    <w:rsid w:val="0D1EEFC8"/>
    <w:rsid w:val="0DD61E8E"/>
    <w:rsid w:val="0E443EA6"/>
    <w:rsid w:val="0E68D976"/>
    <w:rsid w:val="0FEEF643"/>
    <w:rsid w:val="0FF84BB5"/>
    <w:rsid w:val="100FF3A3"/>
    <w:rsid w:val="10712AEF"/>
    <w:rsid w:val="10814D6C"/>
    <w:rsid w:val="10982D29"/>
    <w:rsid w:val="10CA175A"/>
    <w:rsid w:val="11777DD6"/>
    <w:rsid w:val="11A3DBC5"/>
    <w:rsid w:val="11AB4A7A"/>
    <w:rsid w:val="11C7D5F7"/>
    <w:rsid w:val="125810A8"/>
    <w:rsid w:val="1269C507"/>
    <w:rsid w:val="128BCF73"/>
    <w:rsid w:val="12A83FE0"/>
    <w:rsid w:val="12CA64F2"/>
    <w:rsid w:val="142E7FCE"/>
    <w:rsid w:val="1485900A"/>
    <w:rsid w:val="14A76003"/>
    <w:rsid w:val="14BD2AAA"/>
    <w:rsid w:val="14FFC224"/>
    <w:rsid w:val="15456553"/>
    <w:rsid w:val="15566772"/>
    <w:rsid w:val="1595E67E"/>
    <w:rsid w:val="15A7C60F"/>
    <w:rsid w:val="15E78102"/>
    <w:rsid w:val="15E79BC0"/>
    <w:rsid w:val="15ECD741"/>
    <w:rsid w:val="1648AE2E"/>
    <w:rsid w:val="167DEAD8"/>
    <w:rsid w:val="16B8455F"/>
    <w:rsid w:val="16CF725F"/>
    <w:rsid w:val="17576A30"/>
    <w:rsid w:val="175FB5D3"/>
    <w:rsid w:val="17C92084"/>
    <w:rsid w:val="1801EF9B"/>
    <w:rsid w:val="18196C5B"/>
    <w:rsid w:val="184D71B2"/>
    <w:rsid w:val="185C66A9"/>
    <w:rsid w:val="18A7B6AD"/>
    <w:rsid w:val="1933AE84"/>
    <w:rsid w:val="196182A6"/>
    <w:rsid w:val="19A493CD"/>
    <w:rsid w:val="19CD9D39"/>
    <w:rsid w:val="1A07F00F"/>
    <w:rsid w:val="1A226440"/>
    <w:rsid w:val="1A35A96D"/>
    <w:rsid w:val="1A361A21"/>
    <w:rsid w:val="1A44543A"/>
    <w:rsid w:val="1A60BB94"/>
    <w:rsid w:val="1BBAF95E"/>
    <w:rsid w:val="1BDCE62B"/>
    <w:rsid w:val="1BE50D6F"/>
    <w:rsid w:val="1BE9E159"/>
    <w:rsid w:val="1CB8F8DB"/>
    <w:rsid w:val="1D3BFFB9"/>
    <w:rsid w:val="1D539DF9"/>
    <w:rsid w:val="1D83F40D"/>
    <w:rsid w:val="1DBAB067"/>
    <w:rsid w:val="1E141335"/>
    <w:rsid w:val="1F78B599"/>
    <w:rsid w:val="1FAF8227"/>
    <w:rsid w:val="1FC30A5E"/>
    <w:rsid w:val="1FDB8BB3"/>
    <w:rsid w:val="209E42CE"/>
    <w:rsid w:val="20BAB7F0"/>
    <w:rsid w:val="218CEBD9"/>
    <w:rsid w:val="2197147F"/>
    <w:rsid w:val="21C48937"/>
    <w:rsid w:val="21CFAB61"/>
    <w:rsid w:val="21D848AD"/>
    <w:rsid w:val="2243B611"/>
    <w:rsid w:val="228D786F"/>
    <w:rsid w:val="22B6E1A2"/>
    <w:rsid w:val="22EA6431"/>
    <w:rsid w:val="23661E43"/>
    <w:rsid w:val="236849FB"/>
    <w:rsid w:val="239B35E2"/>
    <w:rsid w:val="23ACC2EC"/>
    <w:rsid w:val="23CF4844"/>
    <w:rsid w:val="24482AF6"/>
    <w:rsid w:val="244EB992"/>
    <w:rsid w:val="24DA1E68"/>
    <w:rsid w:val="24E589CF"/>
    <w:rsid w:val="25784C08"/>
    <w:rsid w:val="25C82480"/>
    <w:rsid w:val="27004DA6"/>
    <w:rsid w:val="2759F1E7"/>
    <w:rsid w:val="27898C42"/>
    <w:rsid w:val="27C63CD6"/>
    <w:rsid w:val="28708653"/>
    <w:rsid w:val="287B57B5"/>
    <w:rsid w:val="2911FBCB"/>
    <w:rsid w:val="29516136"/>
    <w:rsid w:val="29735C5B"/>
    <w:rsid w:val="29D31CB4"/>
    <w:rsid w:val="2A22BDCC"/>
    <w:rsid w:val="2A3562CD"/>
    <w:rsid w:val="2A6CCD3E"/>
    <w:rsid w:val="2A7F70D9"/>
    <w:rsid w:val="2A996C06"/>
    <w:rsid w:val="2B55F5E3"/>
    <w:rsid w:val="2BA33496"/>
    <w:rsid w:val="2C1D4F11"/>
    <w:rsid w:val="2C4FBF9A"/>
    <w:rsid w:val="2C7C7B55"/>
    <w:rsid w:val="2C7DE337"/>
    <w:rsid w:val="2CAAA815"/>
    <w:rsid w:val="2CF489E2"/>
    <w:rsid w:val="2D6372FC"/>
    <w:rsid w:val="2DC5ECB4"/>
    <w:rsid w:val="2DCCEA4E"/>
    <w:rsid w:val="2DFDA7B4"/>
    <w:rsid w:val="2E5C1F63"/>
    <w:rsid w:val="2EDB6DC2"/>
    <w:rsid w:val="2F09C671"/>
    <w:rsid w:val="2F579C59"/>
    <w:rsid w:val="2F5A16BC"/>
    <w:rsid w:val="2F89DF35"/>
    <w:rsid w:val="2FA5066E"/>
    <w:rsid w:val="3065DA53"/>
    <w:rsid w:val="307C6D3B"/>
    <w:rsid w:val="30D5EC90"/>
    <w:rsid w:val="30E1C4C4"/>
    <w:rsid w:val="317A4B07"/>
    <w:rsid w:val="3194C8C8"/>
    <w:rsid w:val="319C2EA4"/>
    <w:rsid w:val="31C53047"/>
    <w:rsid w:val="32A59467"/>
    <w:rsid w:val="32BDB829"/>
    <w:rsid w:val="330E4A94"/>
    <w:rsid w:val="332ED89B"/>
    <w:rsid w:val="3370F526"/>
    <w:rsid w:val="338E36E9"/>
    <w:rsid w:val="3415877B"/>
    <w:rsid w:val="342D061C"/>
    <w:rsid w:val="34661E32"/>
    <w:rsid w:val="3472D558"/>
    <w:rsid w:val="3486C481"/>
    <w:rsid w:val="34FE5617"/>
    <w:rsid w:val="34FEF160"/>
    <w:rsid w:val="35B5A086"/>
    <w:rsid w:val="35DDE4F3"/>
    <w:rsid w:val="361A6E7A"/>
    <w:rsid w:val="367AF77E"/>
    <w:rsid w:val="36D83C71"/>
    <w:rsid w:val="3738FC76"/>
    <w:rsid w:val="375E7BE1"/>
    <w:rsid w:val="376FD0A2"/>
    <w:rsid w:val="37718BB7"/>
    <w:rsid w:val="37FA18F4"/>
    <w:rsid w:val="387B713F"/>
    <w:rsid w:val="38B388B6"/>
    <w:rsid w:val="38DBDEE1"/>
    <w:rsid w:val="395DBC8F"/>
    <w:rsid w:val="39AB9AD6"/>
    <w:rsid w:val="39D70E6A"/>
    <w:rsid w:val="3A1B8FD5"/>
    <w:rsid w:val="3A46136A"/>
    <w:rsid w:val="3A5167A5"/>
    <w:rsid w:val="3A54F405"/>
    <w:rsid w:val="3A89B9D6"/>
    <w:rsid w:val="3AD27FE7"/>
    <w:rsid w:val="3AF5CE71"/>
    <w:rsid w:val="3B3011A0"/>
    <w:rsid w:val="3B4E7D64"/>
    <w:rsid w:val="3B5ED955"/>
    <w:rsid w:val="3B8999AA"/>
    <w:rsid w:val="3BED8334"/>
    <w:rsid w:val="3C00DC25"/>
    <w:rsid w:val="3C163AA9"/>
    <w:rsid w:val="3C2BB8DB"/>
    <w:rsid w:val="3D4FF23B"/>
    <w:rsid w:val="3E1C8F3B"/>
    <w:rsid w:val="3E958C55"/>
    <w:rsid w:val="3EB5C37C"/>
    <w:rsid w:val="3EE9AA4A"/>
    <w:rsid w:val="3F58F853"/>
    <w:rsid w:val="3F64C336"/>
    <w:rsid w:val="3FB5723F"/>
    <w:rsid w:val="404971C5"/>
    <w:rsid w:val="4079EEDA"/>
    <w:rsid w:val="407CAB49"/>
    <w:rsid w:val="40C210BB"/>
    <w:rsid w:val="40D3B8AC"/>
    <w:rsid w:val="40FB9EDF"/>
    <w:rsid w:val="416CEBFE"/>
    <w:rsid w:val="41F41B19"/>
    <w:rsid w:val="423DAA2C"/>
    <w:rsid w:val="42C9603C"/>
    <w:rsid w:val="43021A08"/>
    <w:rsid w:val="43AC6773"/>
    <w:rsid w:val="43D1BEA5"/>
    <w:rsid w:val="44119E95"/>
    <w:rsid w:val="442065C7"/>
    <w:rsid w:val="44209472"/>
    <w:rsid w:val="442BD321"/>
    <w:rsid w:val="447CB61D"/>
    <w:rsid w:val="44A592F1"/>
    <w:rsid w:val="45076261"/>
    <w:rsid w:val="455735A9"/>
    <w:rsid w:val="46597754"/>
    <w:rsid w:val="46C86100"/>
    <w:rsid w:val="46E6FE1A"/>
    <w:rsid w:val="47336E68"/>
    <w:rsid w:val="4743BE29"/>
    <w:rsid w:val="479B26BC"/>
    <w:rsid w:val="47DCC9C0"/>
    <w:rsid w:val="48001A28"/>
    <w:rsid w:val="4852AC85"/>
    <w:rsid w:val="4859C29B"/>
    <w:rsid w:val="489EC7E2"/>
    <w:rsid w:val="48A946AB"/>
    <w:rsid w:val="48F8C9A2"/>
    <w:rsid w:val="4907BCA2"/>
    <w:rsid w:val="4A258F98"/>
    <w:rsid w:val="4A8ED4B3"/>
    <w:rsid w:val="4A9DEB63"/>
    <w:rsid w:val="4B8B549C"/>
    <w:rsid w:val="4BA25E73"/>
    <w:rsid w:val="4C0C7401"/>
    <w:rsid w:val="4C840B53"/>
    <w:rsid w:val="4CAFEEA8"/>
    <w:rsid w:val="4CE7F97C"/>
    <w:rsid w:val="4D16A73A"/>
    <w:rsid w:val="4D34930B"/>
    <w:rsid w:val="4D425127"/>
    <w:rsid w:val="4DC2EA09"/>
    <w:rsid w:val="4DF84CEB"/>
    <w:rsid w:val="4E2F4D0D"/>
    <w:rsid w:val="4E41C4C4"/>
    <w:rsid w:val="4E423C3A"/>
    <w:rsid w:val="4ED3FCA8"/>
    <w:rsid w:val="4F2E5AE2"/>
    <w:rsid w:val="4F47281B"/>
    <w:rsid w:val="4FE99200"/>
    <w:rsid w:val="4FF3645C"/>
    <w:rsid w:val="50043D4E"/>
    <w:rsid w:val="50DAAC98"/>
    <w:rsid w:val="5139F076"/>
    <w:rsid w:val="5199A245"/>
    <w:rsid w:val="51A46B5A"/>
    <w:rsid w:val="520304E0"/>
    <w:rsid w:val="527D039A"/>
    <w:rsid w:val="52D656A2"/>
    <w:rsid w:val="52E4A452"/>
    <w:rsid w:val="530ECFC7"/>
    <w:rsid w:val="535F632B"/>
    <w:rsid w:val="537CD190"/>
    <w:rsid w:val="5386830B"/>
    <w:rsid w:val="54049E7C"/>
    <w:rsid w:val="5489A7C9"/>
    <w:rsid w:val="54C5F0CB"/>
    <w:rsid w:val="55159756"/>
    <w:rsid w:val="555C3165"/>
    <w:rsid w:val="55B6727F"/>
    <w:rsid w:val="55C47D6D"/>
    <w:rsid w:val="56319F53"/>
    <w:rsid w:val="56607C56"/>
    <w:rsid w:val="56AD1443"/>
    <w:rsid w:val="570173D3"/>
    <w:rsid w:val="574CBA65"/>
    <w:rsid w:val="574D6593"/>
    <w:rsid w:val="5763BD33"/>
    <w:rsid w:val="57D7DEEC"/>
    <w:rsid w:val="57FF6746"/>
    <w:rsid w:val="5860CC7C"/>
    <w:rsid w:val="586C0670"/>
    <w:rsid w:val="58B9A42C"/>
    <w:rsid w:val="5944A4FA"/>
    <w:rsid w:val="5945B3E1"/>
    <w:rsid w:val="5989D28A"/>
    <w:rsid w:val="599CCA6D"/>
    <w:rsid w:val="59B6ABE5"/>
    <w:rsid w:val="59CFA0BD"/>
    <w:rsid w:val="59EE22C0"/>
    <w:rsid w:val="5A2369E3"/>
    <w:rsid w:val="5A25FB8C"/>
    <w:rsid w:val="5A26793E"/>
    <w:rsid w:val="5A49160C"/>
    <w:rsid w:val="5A97849F"/>
    <w:rsid w:val="5AA19C00"/>
    <w:rsid w:val="5AFADCF2"/>
    <w:rsid w:val="5B7D7D91"/>
    <w:rsid w:val="5BABAACE"/>
    <w:rsid w:val="5BF57BCB"/>
    <w:rsid w:val="5C119939"/>
    <w:rsid w:val="5DF2E3F1"/>
    <w:rsid w:val="5E0B0626"/>
    <w:rsid w:val="5EADED66"/>
    <w:rsid w:val="5ED5F9CD"/>
    <w:rsid w:val="5EE84DA7"/>
    <w:rsid w:val="5F39AAAA"/>
    <w:rsid w:val="5FB4FFC0"/>
    <w:rsid w:val="6003A855"/>
    <w:rsid w:val="605F7F9D"/>
    <w:rsid w:val="6067C6A2"/>
    <w:rsid w:val="60B7D5F9"/>
    <w:rsid w:val="612F436C"/>
    <w:rsid w:val="6271F130"/>
    <w:rsid w:val="62A0804B"/>
    <w:rsid w:val="62BC9C04"/>
    <w:rsid w:val="6334A137"/>
    <w:rsid w:val="63BE762E"/>
    <w:rsid w:val="63EA8ADD"/>
    <w:rsid w:val="64FFC667"/>
    <w:rsid w:val="651F08B2"/>
    <w:rsid w:val="6584D926"/>
    <w:rsid w:val="6596CB41"/>
    <w:rsid w:val="65EABFCD"/>
    <w:rsid w:val="65F26A10"/>
    <w:rsid w:val="65FEC11B"/>
    <w:rsid w:val="66632CAB"/>
    <w:rsid w:val="66C4CE61"/>
    <w:rsid w:val="671EC69C"/>
    <w:rsid w:val="672845A5"/>
    <w:rsid w:val="67896E84"/>
    <w:rsid w:val="67D61268"/>
    <w:rsid w:val="689436FD"/>
    <w:rsid w:val="691923E6"/>
    <w:rsid w:val="69262B40"/>
    <w:rsid w:val="699A3D07"/>
    <w:rsid w:val="69CF20D5"/>
    <w:rsid w:val="6AE6CE36"/>
    <w:rsid w:val="6B236D21"/>
    <w:rsid w:val="6B29E46C"/>
    <w:rsid w:val="6B4DF537"/>
    <w:rsid w:val="6B775BFC"/>
    <w:rsid w:val="6B96EAF7"/>
    <w:rsid w:val="6BE98142"/>
    <w:rsid w:val="6BF534FF"/>
    <w:rsid w:val="6C2271FD"/>
    <w:rsid w:val="6CB4C152"/>
    <w:rsid w:val="6D0C6F72"/>
    <w:rsid w:val="6D2A7066"/>
    <w:rsid w:val="6DC963F3"/>
    <w:rsid w:val="6E9B9599"/>
    <w:rsid w:val="6EAB58F5"/>
    <w:rsid w:val="6EB1248D"/>
    <w:rsid w:val="6EE43153"/>
    <w:rsid w:val="6F1FB5DA"/>
    <w:rsid w:val="6F3BCBE8"/>
    <w:rsid w:val="6F920B64"/>
    <w:rsid w:val="6FBFD79F"/>
    <w:rsid w:val="6FD0784D"/>
    <w:rsid w:val="6FE6B834"/>
    <w:rsid w:val="7005259B"/>
    <w:rsid w:val="706A61BF"/>
    <w:rsid w:val="7097450F"/>
    <w:rsid w:val="712C003A"/>
    <w:rsid w:val="713D0BCC"/>
    <w:rsid w:val="71B40D24"/>
    <w:rsid w:val="71E4383B"/>
    <w:rsid w:val="7256BD23"/>
    <w:rsid w:val="730082E6"/>
    <w:rsid w:val="73059DBC"/>
    <w:rsid w:val="73231BC1"/>
    <w:rsid w:val="738DB532"/>
    <w:rsid w:val="73A7525D"/>
    <w:rsid w:val="73E48934"/>
    <w:rsid w:val="74251B53"/>
    <w:rsid w:val="74DF1572"/>
    <w:rsid w:val="750123F1"/>
    <w:rsid w:val="7577955C"/>
    <w:rsid w:val="75D58821"/>
    <w:rsid w:val="76071838"/>
    <w:rsid w:val="7679A113"/>
    <w:rsid w:val="76BF350A"/>
    <w:rsid w:val="76F9EAEC"/>
    <w:rsid w:val="771D347E"/>
    <w:rsid w:val="77325932"/>
    <w:rsid w:val="775D5EAB"/>
    <w:rsid w:val="779D7627"/>
    <w:rsid w:val="77BB8F84"/>
    <w:rsid w:val="77DBA3F0"/>
    <w:rsid w:val="77DE8C95"/>
    <w:rsid w:val="78014F28"/>
    <w:rsid w:val="784630BC"/>
    <w:rsid w:val="785E9DB3"/>
    <w:rsid w:val="78BAB4F4"/>
    <w:rsid w:val="78F5BD70"/>
    <w:rsid w:val="78F727E6"/>
    <w:rsid w:val="790AF918"/>
    <w:rsid w:val="793AD165"/>
    <w:rsid w:val="79518176"/>
    <w:rsid w:val="79E8895B"/>
    <w:rsid w:val="7A089051"/>
    <w:rsid w:val="7A12A398"/>
    <w:rsid w:val="7A88AEBB"/>
    <w:rsid w:val="7ACDC40E"/>
    <w:rsid w:val="7ADB9C2F"/>
    <w:rsid w:val="7B1AC451"/>
    <w:rsid w:val="7B3D735A"/>
    <w:rsid w:val="7B71D6C7"/>
    <w:rsid w:val="7BC96459"/>
    <w:rsid w:val="7BF15839"/>
    <w:rsid w:val="7C120E7B"/>
    <w:rsid w:val="7C1E73F5"/>
    <w:rsid w:val="7CB99B01"/>
    <w:rsid w:val="7CBFB164"/>
    <w:rsid w:val="7CF2C427"/>
    <w:rsid w:val="7D6A0833"/>
    <w:rsid w:val="7DEDC77A"/>
    <w:rsid w:val="7E472712"/>
    <w:rsid w:val="7E4F6A73"/>
    <w:rsid w:val="7E559D7A"/>
    <w:rsid w:val="7EDBB3CD"/>
    <w:rsid w:val="7F0A95E1"/>
    <w:rsid w:val="7F1CAF81"/>
    <w:rsid w:val="7F273913"/>
    <w:rsid w:val="7F788FD6"/>
    <w:rsid w:val="7FFB0E6B"/>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E9453"/>
  <w15:chartTrackingRefBased/>
  <w15:docId w15:val="{1344F23E-8E16-4DA3-AD0C-EDD5C8C3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47542"/>
    <w:pPr>
      <w:spacing w:after="200" w:line="276" w:lineRule="auto"/>
    </w:pPr>
    <w:rPr>
      <w:rFonts w:ascii="Arial Narrow" w:eastAsia="Times New Roman" w:hAnsi="Arial Narrow" w:cs="Times New Roman"/>
      <w:kern w:val="0"/>
      <w:szCs w:val="36"/>
      <w14:ligatures w14:val="none"/>
    </w:rPr>
  </w:style>
  <w:style w:type="paragraph" w:styleId="Nadpis1">
    <w:name w:val="heading 1"/>
    <w:basedOn w:val="Normlny"/>
    <w:next w:val="Normlny"/>
    <w:link w:val="Nadpis1Char"/>
    <w:uiPriority w:val="99"/>
    <w:qFormat/>
    <w:rsid w:val="00D95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Hlavny 2"/>
    <w:basedOn w:val="Normlny"/>
    <w:link w:val="Nadpis2Char"/>
    <w:autoRedefine/>
    <w:uiPriority w:val="99"/>
    <w:unhideWhenUsed/>
    <w:qFormat/>
    <w:rsid w:val="00E40087"/>
    <w:pPr>
      <w:keepNext/>
      <w:keepLines/>
      <w:spacing w:before="160" w:after="80"/>
      <w:outlineLvl w:val="1"/>
    </w:pPr>
    <w:rPr>
      <w:rFonts w:ascii="Times New Roman" w:eastAsiaTheme="majorEastAsia" w:hAnsi="Times New Roman" w:cstheme="majorBidi"/>
      <w:b/>
      <w:sz w:val="24"/>
      <w:szCs w:val="32"/>
    </w:rPr>
  </w:style>
  <w:style w:type="paragraph" w:styleId="Nadpis3">
    <w:name w:val="heading 3"/>
    <w:aliases w:val="hlavny"/>
    <w:basedOn w:val="Normlny"/>
    <w:next w:val="Normlny"/>
    <w:link w:val="Nadpis3Char"/>
    <w:uiPriority w:val="99"/>
    <w:unhideWhenUsed/>
    <w:qFormat/>
    <w:rsid w:val="00582871"/>
    <w:pPr>
      <w:keepNext/>
      <w:keepLines/>
      <w:spacing w:before="160" w:after="80"/>
      <w:outlineLvl w:val="2"/>
    </w:pPr>
    <w:rPr>
      <w:rFonts w:ascii="Times New Roman" w:eastAsiaTheme="majorEastAsia" w:hAnsi="Times New Roman" w:cstheme="majorBidi"/>
      <w:b/>
      <w:szCs w:val="28"/>
    </w:rPr>
  </w:style>
  <w:style w:type="paragraph" w:styleId="Nadpis4">
    <w:name w:val="heading 4"/>
    <w:aliases w:val="Hlavny"/>
    <w:basedOn w:val="Normlny"/>
    <w:next w:val="Normlny"/>
    <w:link w:val="Nadpis4Char"/>
    <w:uiPriority w:val="99"/>
    <w:unhideWhenUsed/>
    <w:qFormat/>
    <w:rsid w:val="00C973ED"/>
    <w:pPr>
      <w:keepNext/>
      <w:keepLines/>
      <w:spacing w:before="80" w:after="40"/>
      <w:outlineLvl w:val="3"/>
    </w:pPr>
    <w:rPr>
      <w:rFonts w:ascii="Times New Roman" w:eastAsiaTheme="majorEastAsia" w:hAnsi="Times New Roman" w:cstheme="majorBidi"/>
      <w:b/>
      <w:i/>
      <w:iCs/>
      <w:u w:val="single"/>
    </w:rPr>
  </w:style>
  <w:style w:type="paragraph" w:styleId="Nadpis5">
    <w:name w:val="heading 5"/>
    <w:basedOn w:val="Normlny"/>
    <w:next w:val="Normlny"/>
    <w:link w:val="Nadpis5Char"/>
    <w:uiPriority w:val="99"/>
    <w:unhideWhenUsed/>
    <w:qFormat/>
    <w:rsid w:val="00D95ADA"/>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9"/>
    <w:unhideWhenUsed/>
    <w:qFormat/>
    <w:rsid w:val="00D95AD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9"/>
    <w:unhideWhenUsed/>
    <w:qFormat/>
    <w:rsid w:val="00D95ADA"/>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9"/>
    <w:unhideWhenUsed/>
    <w:qFormat/>
    <w:rsid w:val="00D95ADA"/>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9"/>
    <w:unhideWhenUsed/>
    <w:qFormat/>
    <w:rsid w:val="00D95ADA"/>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D95ADA"/>
    <w:rPr>
      <w:rFonts w:asciiTheme="majorHAnsi" w:eastAsiaTheme="majorEastAsia" w:hAnsiTheme="majorHAnsi" w:cstheme="majorBidi"/>
      <w:color w:val="0F4761" w:themeColor="accent1" w:themeShade="BF"/>
      <w:sz w:val="40"/>
      <w:szCs w:val="40"/>
      <w:lang w:val="en-US"/>
    </w:rPr>
  </w:style>
  <w:style w:type="character" w:customStyle="1" w:styleId="Nadpis2Char">
    <w:name w:val="Nadpis 2 Char"/>
    <w:aliases w:val="Hlavny 2 Char"/>
    <w:basedOn w:val="Predvolenpsmoodseku"/>
    <w:link w:val="Nadpis2"/>
    <w:uiPriority w:val="99"/>
    <w:rsid w:val="00D95ADA"/>
    <w:rPr>
      <w:rFonts w:ascii="Times New Roman" w:eastAsiaTheme="majorEastAsia" w:hAnsi="Times New Roman" w:cstheme="majorBidi"/>
      <w:b/>
      <w:kern w:val="0"/>
      <w:sz w:val="24"/>
      <w:szCs w:val="32"/>
      <w14:ligatures w14:val="none"/>
    </w:rPr>
  </w:style>
  <w:style w:type="character" w:customStyle="1" w:styleId="Nadpis3Char">
    <w:name w:val="Nadpis 3 Char"/>
    <w:aliases w:val="hlavny Char"/>
    <w:basedOn w:val="Predvolenpsmoodseku"/>
    <w:link w:val="Nadpis3"/>
    <w:uiPriority w:val="99"/>
    <w:rsid w:val="00D95ADA"/>
    <w:rPr>
      <w:rFonts w:ascii="Times New Roman" w:eastAsiaTheme="majorEastAsia" w:hAnsi="Times New Roman" w:cstheme="majorBidi"/>
      <w:b/>
      <w:kern w:val="0"/>
      <w:szCs w:val="28"/>
      <w14:ligatures w14:val="none"/>
    </w:rPr>
  </w:style>
  <w:style w:type="character" w:customStyle="1" w:styleId="Nadpis4Char">
    <w:name w:val="Nadpis 4 Char"/>
    <w:aliases w:val="Hlavny Char"/>
    <w:basedOn w:val="Predvolenpsmoodseku"/>
    <w:link w:val="Nadpis4"/>
    <w:uiPriority w:val="99"/>
    <w:rsid w:val="00D95ADA"/>
    <w:rPr>
      <w:rFonts w:ascii="Times New Roman" w:eastAsiaTheme="majorEastAsia" w:hAnsi="Times New Roman" w:cstheme="majorBidi"/>
      <w:b/>
      <w:i/>
      <w:iCs/>
      <w:kern w:val="0"/>
      <w:szCs w:val="36"/>
      <w:u w:val="single"/>
      <w14:ligatures w14:val="none"/>
    </w:rPr>
  </w:style>
  <w:style w:type="character" w:customStyle="1" w:styleId="Nadpis5Char">
    <w:name w:val="Nadpis 5 Char"/>
    <w:basedOn w:val="Predvolenpsmoodseku"/>
    <w:link w:val="Nadpis5"/>
    <w:uiPriority w:val="99"/>
    <w:rsid w:val="00D95ADA"/>
    <w:rPr>
      <w:rFonts w:eastAsiaTheme="majorEastAsia" w:cstheme="majorBidi"/>
      <w:color w:val="0F4761" w:themeColor="accent1" w:themeShade="BF"/>
      <w:lang w:val="en-US"/>
    </w:rPr>
  </w:style>
  <w:style w:type="character" w:customStyle="1" w:styleId="Nadpis6Char">
    <w:name w:val="Nadpis 6 Char"/>
    <w:basedOn w:val="Predvolenpsmoodseku"/>
    <w:link w:val="Nadpis6"/>
    <w:uiPriority w:val="99"/>
    <w:rsid w:val="00D95ADA"/>
    <w:rPr>
      <w:rFonts w:eastAsiaTheme="majorEastAsia" w:cstheme="majorBidi"/>
      <w:i/>
      <w:iCs/>
      <w:color w:val="595959" w:themeColor="text1" w:themeTint="A6"/>
      <w:lang w:val="en-US"/>
    </w:rPr>
  </w:style>
  <w:style w:type="character" w:customStyle="1" w:styleId="Nadpis7Char">
    <w:name w:val="Nadpis 7 Char"/>
    <w:basedOn w:val="Predvolenpsmoodseku"/>
    <w:link w:val="Nadpis7"/>
    <w:uiPriority w:val="99"/>
    <w:rsid w:val="00D95ADA"/>
    <w:rPr>
      <w:rFonts w:eastAsiaTheme="majorEastAsia" w:cstheme="majorBidi"/>
      <w:color w:val="595959" w:themeColor="text1" w:themeTint="A6"/>
      <w:lang w:val="en-US"/>
    </w:rPr>
  </w:style>
  <w:style w:type="character" w:customStyle="1" w:styleId="Nadpis8Char">
    <w:name w:val="Nadpis 8 Char"/>
    <w:basedOn w:val="Predvolenpsmoodseku"/>
    <w:link w:val="Nadpis8"/>
    <w:uiPriority w:val="99"/>
    <w:rsid w:val="00D95ADA"/>
    <w:rPr>
      <w:rFonts w:eastAsiaTheme="majorEastAsia" w:cstheme="majorBidi"/>
      <w:i/>
      <w:iCs/>
      <w:color w:val="272727" w:themeColor="text1" w:themeTint="D8"/>
      <w:lang w:val="en-US"/>
    </w:rPr>
  </w:style>
  <w:style w:type="character" w:customStyle="1" w:styleId="Nadpis9Char">
    <w:name w:val="Nadpis 9 Char"/>
    <w:basedOn w:val="Predvolenpsmoodseku"/>
    <w:link w:val="Nadpis9"/>
    <w:uiPriority w:val="99"/>
    <w:rsid w:val="00D95ADA"/>
    <w:rPr>
      <w:rFonts w:eastAsiaTheme="majorEastAsia" w:cstheme="majorBidi"/>
      <w:color w:val="272727" w:themeColor="text1" w:themeTint="D8"/>
      <w:lang w:val="en-US"/>
    </w:rPr>
  </w:style>
  <w:style w:type="paragraph" w:styleId="Nzov">
    <w:name w:val="Title"/>
    <w:basedOn w:val="Normlny"/>
    <w:next w:val="Normlny"/>
    <w:link w:val="NzovChar"/>
    <w:qFormat/>
    <w:rsid w:val="00D95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D95ADA"/>
    <w:rPr>
      <w:rFonts w:asciiTheme="majorHAnsi" w:eastAsiaTheme="majorEastAsia" w:hAnsiTheme="majorHAnsi" w:cstheme="majorBidi"/>
      <w:spacing w:val="-10"/>
      <w:kern w:val="28"/>
      <w:sz w:val="56"/>
      <w:szCs w:val="56"/>
      <w:lang w:val="en-US"/>
    </w:rPr>
  </w:style>
  <w:style w:type="paragraph" w:styleId="Podtitul">
    <w:name w:val="Subtitle"/>
    <w:basedOn w:val="Normlny"/>
    <w:next w:val="Normlny"/>
    <w:link w:val="PodtitulChar"/>
    <w:uiPriority w:val="11"/>
    <w:qFormat/>
    <w:rsid w:val="00D95ADA"/>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95ADA"/>
    <w:rPr>
      <w:rFonts w:eastAsiaTheme="majorEastAsia" w:cstheme="majorBidi"/>
      <w:color w:val="595959" w:themeColor="text1" w:themeTint="A6"/>
      <w:spacing w:val="15"/>
      <w:sz w:val="28"/>
      <w:szCs w:val="28"/>
      <w:lang w:val="en-US"/>
    </w:rPr>
  </w:style>
  <w:style w:type="paragraph" w:styleId="Citcia">
    <w:name w:val="Quote"/>
    <w:basedOn w:val="Normlny"/>
    <w:next w:val="Normlny"/>
    <w:link w:val="CitciaChar"/>
    <w:uiPriority w:val="29"/>
    <w:qFormat/>
    <w:rsid w:val="00D95ADA"/>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95ADA"/>
    <w:rPr>
      <w:i/>
      <w:iCs/>
      <w:color w:val="404040" w:themeColor="text1" w:themeTint="BF"/>
      <w:lang w:val="en-US"/>
    </w:rPr>
  </w:style>
  <w:style w:type="paragraph" w:styleId="Odsekzoznamu">
    <w:name w:val="List Paragraph"/>
    <w:basedOn w:val="Normlny"/>
    <w:link w:val="OdsekzoznamuChar"/>
    <w:uiPriority w:val="34"/>
    <w:qFormat/>
    <w:rsid w:val="00D95ADA"/>
    <w:pPr>
      <w:ind w:left="720"/>
      <w:contextualSpacing/>
    </w:pPr>
  </w:style>
  <w:style w:type="character" w:styleId="Intenzvnezvraznenie">
    <w:name w:val="Intense Emphasis"/>
    <w:basedOn w:val="Predvolenpsmoodseku"/>
    <w:uiPriority w:val="21"/>
    <w:qFormat/>
    <w:rsid w:val="00D95ADA"/>
    <w:rPr>
      <w:i/>
      <w:iCs/>
      <w:color w:val="0F4761" w:themeColor="accent1" w:themeShade="BF"/>
    </w:rPr>
  </w:style>
  <w:style w:type="paragraph" w:styleId="Zvraznencitcia">
    <w:name w:val="Intense Quote"/>
    <w:basedOn w:val="Normlny"/>
    <w:next w:val="Normlny"/>
    <w:link w:val="ZvraznencitciaChar"/>
    <w:uiPriority w:val="30"/>
    <w:qFormat/>
    <w:rsid w:val="00D95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95ADA"/>
    <w:rPr>
      <w:i/>
      <w:iCs/>
      <w:color w:val="0F4761" w:themeColor="accent1" w:themeShade="BF"/>
      <w:lang w:val="en-US"/>
    </w:rPr>
  </w:style>
  <w:style w:type="character" w:styleId="Zvraznenodkaz">
    <w:name w:val="Intense Reference"/>
    <w:basedOn w:val="Predvolenpsmoodseku"/>
    <w:uiPriority w:val="32"/>
    <w:qFormat/>
    <w:rsid w:val="00D95ADA"/>
    <w:rPr>
      <w:b/>
      <w:bCs/>
      <w:smallCaps/>
      <w:color w:val="0F4761" w:themeColor="accent1" w:themeShade="BF"/>
      <w:spacing w:val="5"/>
    </w:rPr>
  </w:style>
  <w:style w:type="paragraph" w:styleId="Textbubliny">
    <w:name w:val="Balloon Text"/>
    <w:basedOn w:val="Normlny"/>
    <w:link w:val="TextbublinyChar"/>
    <w:uiPriority w:val="99"/>
    <w:semiHidden/>
    <w:rsid w:val="00647542"/>
    <w:pPr>
      <w:spacing w:after="0" w:line="240" w:lineRule="auto"/>
    </w:pPr>
    <w:rPr>
      <w:rFonts w:ascii="Tahoma" w:hAnsi="Tahoma"/>
      <w:sz w:val="16"/>
      <w:szCs w:val="16"/>
      <w:lang w:eastAsia="sk-SK"/>
    </w:rPr>
  </w:style>
  <w:style w:type="character" w:customStyle="1" w:styleId="TextbublinyChar">
    <w:name w:val="Text bubliny Char"/>
    <w:basedOn w:val="Predvolenpsmoodseku"/>
    <w:link w:val="Textbubliny"/>
    <w:uiPriority w:val="99"/>
    <w:semiHidden/>
    <w:rsid w:val="00647542"/>
    <w:rPr>
      <w:rFonts w:ascii="Tahoma" w:eastAsia="Times New Roman" w:hAnsi="Tahoma" w:cs="Times New Roman"/>
      <w:kern w:val="0"/>
      <w:sz w:val="16"/>
      <w:szCs w:val="16"/>
      <w:lang w:eastAsia="sk-SK"/>
      <w14:ligatures w14:val="none"/>
    </w:rPr>
  </w:style>
  <w:style w:type="paragraph" w:styleId="Normlnywebov">
    <w:name w:val="Normal (Web)"/>
    <w:basedOn w:val="Normlny"/>
    <w:uiPriority w:val="99"/>
    <w:rsid w:val="00647542"/>
    <w:pPr>
      <w:spacing w:after="100" w:afterAutospacing="1" w:line="240" w:lineRule="auto"/>
    </w:pPr>
    <w:rPr>
      <w:rFonts w:ascii="Times New Roman" w:hAnsi="Times New Roman"/>
      <w:sz w:val="24"/>
      <w:szCs w:val="24"/>
      <w:lang w:eastAsia="sk-SK"/>
    </w:rPr>
  </w:style>
  <w:style w:type="paragraph" w:styleId="Hlavika">
    <w:name w:val="header"/>
    <w:basedOn w:val="Normlny"/>
    <w:link w:val="HlavikaChar"/>
    <w:uiPriority w:val="99"/>
    <w:rsid w:val="006475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47542"/>
    <w:rPr>
      <w:rFonts w:ascii="Arial Narrow" w:eastAsia="Times New Roman" w:hAnsi="Arial Narrow" w:cs="Times New Roman"/>
      <w:kern w:val="0"/>
      <w:szCs w:val="36"/>
      <w14:ligatures w14:val="none"/>
    </w:rPr>
  </w:style>
  <w:style w:type="paragraph" w:styleId="Pta">
    <w:name w:val="footer"/>
    <w:basedOn w:val="Normlny"/>
    <w:link w:val="PtaChar"/>
    <w:uiPriority w:val="99"/>
    <w:rsid w:val="00647542"/>
    <w:pPr>
      <w:tabs>
        <w:tab w:val="center" w:pos="4536"/>
        <w:tab w:val="right" w:pos="9072"/>
      </w:tabs>
      <w:spacing w:after="0" w:line="240" w:lineRule="auto"/>
    </w:pPr>
  </w:style>
  <w:style w:type="character" w:customStyle="1" w:styleId="PtaChar">
    <w:name w:val="Päta Char"/>
    <w:basedOn w:val="Predvolenpsmoodseku"/>
    <w:link w:val="Pta"/>
    <w:uiPriority w:val="99"/>
    <w:rsid w:val="00647542"/>
    <w:rPr>
      <w:rFonts w:ascii="Arial Narrow" w:eastAsia="Times New Roman" w:hAnsi="Arial Narrow" w:cs="Times New Roman"/>
      <w:kern w:val="0"/>
      <w:szCs w:val="36"/>
      <w14:ligatures w14:val="none"/>
    </w:rPr>
  </w:style>
  <w:style w:type="character" w:styleId="Hypertextovprepojenie">
    <w:name w:val="Hyperlink"/>
    <w:basedOn w:val="Predvolenpsmoodseku"/>
    <w:uiPriority w:val="99"/>
    <w:rsid w:val="00647542"/>
    <w:rPr>
      <w:rFonts w:cs="Times New Roman"/>
      <w:color w:val="9E150F"/>
      <w:u w:val="single"/>
    </w:rPr>
  </w:style>
  <w:style w:type="character" w:styleId="Vrazn">
    <w:name w:val="Strong"/>
    <w:basedOn w:val="Predvolenpsmoodseku"/>
    <w:uiPriority w:val="22"/>
    <w:qFormat/>
    <w:rsid w:val="00647542"/>
    <w:rPr>
      <w:rFonts w:cs="Times New Roman"/>
      <w:b/>
    </w:rPr>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Footnote Text Char1,Plonk,f"/>
    <w:basedOn w:val="Normlny"/>
    <w:link w:val="TextpoznmkypodiarouChar"/>
    <w:uiPriority w:val="99"/>
    <w:qFormat/>
    <w:rsid w:val="00647542"/>
    <w:rPr>
      <w:sz w:val="20"/>
      <w:szCs w:val="20"/>
      <w:lang w:eastAsia="sk-SK"/>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ootnote Text Char1 Char1,Plonk Char,f Char"/>
    <w:basedOn w:val="Predvolenpsmoodseku"/>
    <w:link w:val="Textpoznmkypodiarou"/>
    <w:uiPriority w:val="99"/>
    <w:rsid w:val="00647542"/>
    <w:rPr>
      <w:rFonts w:ascii="Arial Narrow" w:eastAsia="Times New Roman" w:hAnsi="Arial Narrow" w:cs="Times New Roman"/>
      <w:kern w:val="0"/>
      <w:sz w:val="20"/>
      <w:szCs w:val="20"/>
      <w:lang w:eastAsia="sk-SK"/>
      <w14:ligatures w14:val="none"/>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Footnote symbol"/>
    <w:basedOn w:val="Predvolenpsmoodseku"/>
    <w:link w:val="Char2"/>
    <w:uiPriority w:val="99"/>
    <w:qFormat/>
    <w:rsid w:val="00647542"/>
    <w:rPr>
      <w:rFonts w:cs="Times New Roman"/>
      <w:vertAlign w:val="superscript"/>
    </w:rPr>
  </w:style>
  <w:style w:type="table" w:styleId="Mriekatabuky">
    <w:name w:val="Table Grid"/>
    <w:basedOn w:val="Normlnatabuka"/>
    <w:uiPriority w:val="99"/>
    <w:rsid w:val="00647542"/>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647542"/>
    <w:rPr>
      <w:rFonts w:cs="Times New Roman"/>
    </w:rPr>
  </w:style>
  <w:style w:type="paragraph" w:customStyle="1" w:styleId="Zkladntext1">
    <w:name w:val="Základní text1"/>
    <w:uiPriority w:val="99"/>
    <w:rsid w:val="00647542"/>
    <w:pPr>
      <w:spacing w:before="144" w:after="144" w:line="240" w:lineRule="auto"/>
      <w:ind w:firstLine="709"/>
      <w:jc w:val="both"/>
    </w:pPr>
    <w:rPr>
      <w:rFonts w:ascii="Times New Roman" w:eastAsia="Times New Roman" w:hAnsi="Times New Roman" w:cs="Times New Roman"/>
      <w:color w:val="000000"/>
      <w:kern w:val="0"/>
      <w:sz w:val="24"/>
      <w:szCs w:val="24"/>
      <w:lang w:eastAsia="sk-SK"/>
      <w14:ligatures w14:val="none"/>
    </w:rPr>
  </w:style>
  <w:style w:type="paragraph" w:styleId="Zkladntext">
    <w:name w:val="Body Text"/>
    <w:basedOn w:val="Normlny"/>
    <w:link w:val="ZkladntextChar"/>
    <w:uiPriority w:val="99"/>
    <w:rsid w:val="00647542"/>
    <w:pPr>
      <w:spacing w:after="0" w:line="240" w:lineRule="auto"/>
      <w:ind w:left="426"/>
      <w:jc w:val="both"/>
    </w:pPr>
    <w:rPr>
      <w:rFonts w:ascii="Times New Roman" w:hAnsi="Times New Roman"/>
      <w:sz w:val="18"/>
      <w:szCs w:val="18"/>
      <w:lang w:eastAsia="sk-SK"/>
    </w:rPr>
  </w:style>
  <w:style w:type="character" w:customStyle="1" w:styleId="ZkladntextChar">
    <w:name w:val="Základný text Char"/>
    <w:basedOn w:val="Predvolenpsmoodseku"/>
    <w:link w:val="Zkladntext"/>
    <w:uiPriority w:val="99"/>
    <w:rsid w:val="00647542"/>
    <w:rPr>
      <w:rFonts w:ascii="Times New Roman" w:eastAsia="Times New Roman" w:hAnsi="Times New Roman" w:cs="Times New Roman"/>
      <w:kern w:val="0"/>
      <w:sz w:val="18"/>
      <w:szCs w:val="18"/>
      <w:lang w:eastAsia="sk-SK"/>
      <w14:ligatures w14:val="none"/>
    </w:rPr>
  </w:style>
  <w:style w:type="paragraph" w:customStyle="1" w:styleId="Pismenka">
    <w:name w:val="Pismenka"/>
    <w:basedOn w:val="Zkladntext"/>
    <w:uiPriority w:val="99"/>
    <w:rsid w:val="00647542"/>
    <w:pPr>
      <w:tabs>
        <w:tab w:val="num" w:pos="426"/>
      </w:tabs>
      <w:ind w:hanging="426"/>
    </w:pPr>
    <w:rPr>
      <w:b/>
      <w:bCs/>
    </w:rPr>
  </w:style>
  <w:style w:type="paragraph" w:customStyle="1" w:styleId="odstavec">
    <w:name w:val="odstavec"/>
    <w:basedOn w:val="Normlny"/>
    <w:link w:val="odstavecChar"/>
    <w:autoRedefine/>
    <w:uiPriority w:val="99"/>
    <w:rsid w:val="00647542"/>
    <w:pPr>
      <w:spacing w:after="0" w:line="240" w:lineRule="auto"/>
      <w:ind w:right="-79"/>
      <w:jc w:val="both"/>
    </w:pPr>
    <w:rPr>
      <w:rFonts w:ascii="Times New Roman" w:hAnsi="Times New Roman"/>
      <w:sz w:val="20"/>
      <w:szCs w:val="24"/>
      <w:lang w:eastAsia="sk-SK"/>
    </w:rPr>
  </w:style>
  <w:style w:type="paragraph" w:customStyle="1" w:styleId="abc">
    <w:name w:val="abc"/>
    <w:basedOn w:val="Normlny"/>
    <w:autoRedefine/>
    <w:uiPriority w:val="99"/>
    <w:rsid w:val="00647542"/>
    <w:pPr>
      <w:numPr>
        <w:numId w:val="3"/>
      </w:numPr>
      <w:tabs>
        <w:tab w:val="clear" w:pos="465"/>
      </w:tabs>
      <w:spacing w:before="60" w:after="120" w:line="240" w:lineRule="auto"/>
      <w:ind w:left="0" w:firstLine="0"/>
      <w:jc w:val="both"/>
    </w:pPr>
    <w:rPr>
      <w:rFonts w:ascii="Times New Roman" w:hAnsi="Times New Roman"/>
      <w:b/>
      <w:sz w:val="20"/>
      <w:szCs w:val="20"/>
      <w:lang w:eastAsia="sk-SK"/>
    </w:rPr>
  </w:style>
  <w:style w:type="character" w:customStyle="1" w:styleId="spanr">
    <w:name w:val="span_r"/>
    <w:uiPriority w:val="99"/>
    <w:rsid w:val="00647542"/>
  </w:style>
  <w:style w:type="paragraph" w:customStyle="1" w:styleId="CharChar1">
    <w:name w:val="Char Char1"/>
    <w:basedOn w:val="Normlny"/>
    <w:uiPriority w:val="99"/>
    <w:rsid w:val="00647542"/>
    <w:pPr>
      <w:spacing w:after="160" w:line="240" w:lineRule="exact"/>
    </w:pPr>
    <w:rPr>
      <w:rFonts w:ascii="Tahoma" w:hAnsi="Tahoma"/>
      <w:sz w:val="20"/>
      <w:szCs w:val="20"/>
    </w:rPr>
  </w:style>
  <w:style w:type="paragraph" w:customStyle="1" w:styleId="CharChar11">
    <w:name w:val="Char Char11"/>
    <w:basedOn w:val="Normlny"/>
    <w:uiPriority w:val="99"/>
    <w:rsid w:val="00647542"/>
    <w:pPr>
      <w:spacing w:after="160" w:line="240" w:lineRule="exact"/>
    </w:pPr>
    <w:rPr>
      <w:rFonts w:ascii="Tahoma" w:hAnsi="Tahoma" w:cs="Tahoma"/>
      <w:sz w:val="20"/>
      <w:szCs w:val="20"/>
    </w:rPr>
  </w:style>
  <w:style w:type="character" w:customStyle="1" w:styleId="poradna-tl-reaguj1">
    <w:name w:val="poradna-tl-reaguj1"/>
    <w:uiPriority w:val="99"/>
    <w:rsid w:val="00647542"/>
    <w:rPr>
      <w:color w:val="A55570"/>
      <w:sz w:val="20"/>
    </w:rPr>
  </w:style>
  <w:style w:type="paragraph" w:customStyle="1" w:styleId="Zakladnmtext">
    <w:name w:val="Z&lt;/a&gt;kladn&lt;/m&gt; text"/>
    <w:uiPriority w:val="99"/>
    <w:rsid w:val="00647542"/>
    <w:pPr>
      <w:spacing w:after="0" w:line="240" w:lineRule="auto"/>
    </w:pPr>
    <w:rPr>
      <w:rFonts w:ascii="Times New Roman" w:eastAsia="Times New Roman" w:hAnsi="Times New Roman" w:cs="Times New Roman"/>
      <w:color w:val="000000"/>
      <w:kern w:val="0"/>
      <w:sz w:val="24"/>
      <w:szCs w:val="20"/>
      <w:lang w:val="en-US" w:eastAsia="sk-SK"/>
      <w14:ligatures w14:val="none"/>
    </w:rPr>
  </w:style>
  <w:style w:type="paragraph" w:customStyle="1" w:styleId="Xadka">
    <w:name w:val="&lt;/X&gt;&lt;/a&gt;dka"/>
    <w:uiPriority w:val="99"/>
    <w:rsid w:val="00647542"/>
    <w:pPr>
      <w:spacing w:after="0" w:line="240" w:lineRule="auto"/>
    </w:pPr>
    <w:rPr>
      <w:rFonts w:ascii="Times New Roman" w:eastAsia="Times New Roman" w:hAnsi="Times New Roman" w:cs="Times New Roman"/>
      <w:color w:val="000000"/>
      <w:kern w:val="0"/>
      <w:sz w:val="24"/>
      <w:szCs w:val="20"/>
      <w:lang w:val="en-US" w:eastAsia="sk-SK"/>
      <w14:ligatures w14:val="none"/>
    </w:rPr>
  </w:style>
  <w:style w:type="paragraph" w:customStyle="1" w:styleId="Znahka">
    <w:name w:val="Zna&lt;/h&gt;ka"/>
    <w:uiPriority w:val="99"/>
    <w:rsid w:val="00647542"/>
    <w:pPr>
      <w:spacing w:after="0" w:line="240" w:lineRule="auto"/>
      <w:ind w:left="288" w:hanging="288"/>
    </w:pPr>
    <w:rPr>
      <w:rFonts w:ascii="Times New Roman" w:eastAsia="Times New Roman" w:hAnsi="Times New Roman" w:cs="Times New Roman"/>
      <w:color w:val="000000"/>
      <w:kern w:val="0"/>
      <w:sz w:val="24"/>
      <w:szCs w:val="20"/>
      <w:lang w:val="en-US" w:eastAsia="sk-SK"/>
      <w14:ligatures w14:val="none"/>
    </w:rPr>
  </w:style>
  <w:style w:type="paragraph" w:customStyle="1" w:styleId="Znahka1">
    <w:name w:val="Zna&lt;/h&gt;ka 1"/>
    <w:uiPriority w:val="99"/>
    <w:rsid w:val="00647542"/>
    <w:pPr>
      <w:spacing w:after="0" w:line="240" w:lineRule="auto"/>
    </w:pPr>
    <w:rPr>
      <w:rFonts w:ascii="Times New Roman" w:eastAsia="Times New Roman" w:hAnsi="Times New Roman" w:cs="Times New Roman"/>
      <w:color w:val="000000"/>
      <w:kern w:val="0"/>
      <w:sz w:val="24"/>
      <w:szCs w:val="20"/>
      <w:lang w:val="en-US" w:eastAsia="sk-SK"/>
      <w14:ligatures w14:val="none"/>
    </w:rPr>
  </w:style>
  <w:style w:type="paragraph" w:customStyle="1" w:styleId="Hmsloseznamu">
    <w:name w:val="&lt;/H&gt;&lt;/m&gt;slo seznamu"/>
    <w:uiPriority w:val="99"/>
    <w:rsid w:val="00647542"/>
    <w:pPr>
      <w:tabs>
        <w:tab w:val="left" w:pos="576"/>
      </w:tabs>
      <w:spacing w:after="0" w:line="240" w:lineRule="auto"/>
    </w:pPr>
    <w:rPr>
      <w:rFonts w:ascii="Times New Roman" w:eastAsia="Times New Roman" w:hAnsi="Times New Roman" w:cs="Times New Roman"/>
      <w:color w:val="000000"/>
      <w:kern w:val="0"/>
      <w:sz w:val="24"/>
      <w:szCs w:val="20"/>
      <w:lang w:val="en-US" w:eastAsia="sk-SK"/>
      <w14:ligatures w14:val="none"/>
    </w:rPr>
  </w:style>
  <w:style w:type="paragraph" w:customStyle="1" w:styleId="Podnadpis">
    <w:name w:val="Podnadpis"/>
    <w:uiPriority w:val="99"/>
    <w:rsid w:val="00647542"/>
    <w:pPr>
      <w:spacing w:after="0" w:line="240" w:lineRule="auto"/>
    </w:pPr>
    <w:rPr>
      <w:rFonts w:ascii="Times New Roman" w:eastAsia="Times New Roman" w:hAnsi="Times New Roman" w:cs="Times New Roman"/>
      <w:b/>
      <w:i/>
      <w:color w:val="000000"/>
      <w:kern w:val="0"/>
      <w:sz w:val="24"/>
      <w:szCs w:val="20"/>
      <w:lang w:val="en-US" w:eastAsia="sk-SK"/>
      <w14:ligatures w14:val="none"/>
    </w:rPr>
  </w:style>
  <w:style w:type="paragraph" w:customStyle="1" w:styleId="Nadpis">
    <w:name w:val="Nadpis"/>
    <w:uiPriority w:val="99"/>
    <w:rsid w:val="00647542"/>
    <w:pPr>
      <w:spacing w:after="0" w:line="240" w:lineRule="auto"/>
      <w:jc w:val="center"/>
    </w:pPr>
    <w:rPr>
      <w:rFonts w:ascii="Arial" w:eastAsia="Times New Roman" w:hAnsi="Arial" w:cs="Times New Roman"/>
      <w:b/>
      <w:color w:val="000000"/>
      <w:kern w:val="0"/>
      <w:sz w:val="36"/>
      <w:szCs w:val="20"/>
      <w:lang w:val="en-US" w:eastAsia="sk-SK"/>
      <w14:ligatures w14:val="none"/>
    </w:rPr>
  </w:style>
  <w:style w:type="paragraph" w:customStyle="1" w:styleId="Zahlavm">
    <w:name w:val="Z&lt;/a&gt;hlav&lt;/m&gt;"/>
    <w:uiPriority w:val="99"/>
    <w:rsid w:val="00647542"/>
    <w:pPr>
      <w:spacing w:after="0" w:line="240" w:lineRule="auto"/>
    </w:pPr>
    <w:rPr>
      <w:rFonts w:ascii="Times New Roman" w:eastAsia="Times New Roman" w:hAnsi="Times New Roman" w:cs="Times New Roman"/>
      <w:color w:val="000000"/>
      <w:kern w:val="0"/>
      <w:sz w:val="24"/>
      <w:szCs w:val="20"/>
      <w:lang w:val="en-US" w:eastAsia="sk-SK"/>
      <w14:ligatures w14:val="none"/>
    </w:rPr>
  </w:style>
  <w:style w:type="paragraph" w:customStyle="1" w:styleId="Pata">
    <w:name w:val="Pata"/>
    <w:uiPriority w:val="99"/>
    <w:rsid w:val="00647542"/>
    <w:pPr>
      <w:spacing w:after="0" w:line="240" w:lineRule="auto"/>
    </w:pPr>
    <w:rPr>
      <w:rFonts w:ascii="Times New Roman" w:eastAsia="Times New Roman" w:hAnsi="Times New Roman" w:cs="Times New Roman"/>
      <w:color w:val="000000"/>
      <w:kern w:val="0"/>
      <w:sz w:val="24"/>
      <w:szCs w:val="20"/>
      <w:lang w:val="en-US" w:eastAsia="sk-SK"/>
      <w14:ligatures w14:val="none"/>
    </w:rPr>
  </w:style>
  <w:style w:type="paragraph" w:customStyle="1" w:styleId="Texttabulky">
    <w:name w:val="Text tabulky"/>
    <w:uiPriority w:val="99"/>
    <w:rsid w:val="00647542"/>
    <w:pPr>
      <w:spacing w:after="0" w:line="240" w:lineRule="auto"/>
    </w:pPr>
    <w:rPr>
      <w:rFonts w:ascii="Times New Roman" w:eastAsia="Times New Roman" w:hAnsi="Times New Roman" w:cs="Times New Roman"/>
      <w:color w:val="000000"/>
      <w:kern w:val="0"/>
      <w:sz w:val="24"/>
      <w:szCs w:val="20"/>
      <w:lang w:val="en-US" w:eastAsia="sk-SK"/>
      <w14:ligatures w14:val="none"/>
    </w:rPr>
  </w:style>
  <w:style w:type="paragraph" w:customStyle="1" w:styleId="Zkladntext10">
    <w:name w:val="Základný text1"/>
    <w:uiPriority w:val="99"/>
    <w:rsid w:val="00647542"/>
    <w:pPr>
      <w:spacing w:after="0" w:line="240" w:lineRule="auto"/>
    </w:pPr>
    <w:rPr>
      <w:rFonts w:ascii="Dutch801 SWC" w:eastAsia="Times New Roman" w:hAnsi="Dutch801 SWC" w:cs="Times New Roman"/>
      <w:color w:val="000000"/>
      <w:kern w:val="0"/>
      <w:sz w:val="24"/>
      <w:szCs w:val="20"/>
      <w:lang w:val="en-US" w:eastAsia="sk-SK"/>
      <w14:ligatures w14:val="none"/>
    </w:rPr>
  </w:style>
  <w:style w:type="paragraph" w:customStyle="1" w:styleId="Zkladntext0">
    <w:name w:val="Základní text"/>
    <w:uiPriority w:val="99"/>
    <w:rsid w:val="00647542"/>
    <w:pPr>
      <w:autoSpaceDE w:val="0"/>
      <w:autoSpaceDN w:val="0"/>
      <w:adjustRightInd w:val="0"/>
      <w:spacing w:after="0" w:line="240" w:lineRule="auto"/>
    </w:pPr>
    <w:rPr>
      <w:rFonts w:ascii="Times New Roman" w:eastAsia="Times New Roman" w:hAnsi="Times New Roman" w:cs="Times New Roman"/>
      <w:color w:val="000000"/>
      <w:kern w:val="0"/>
      <w:sz w:val="20"/>
      <w:szCs w:val="24"/>
      <w:lang w:eastAsia="sk-SK"/>
      <w14:ligatures w14:val="none"/>
    </w:rPr>
  </w:style>
  <w:style w:type="paragraph" w:styleId="Zkladntext2">
    <w:name w:val="Body Text 2"/>
    <w:aliases w:val="Char"/>
    <w:basedOn w:val="Normlny"/>
    <w:link w:val="Zkladntext2Char"/>
    <w:uiPriority w:val="99"/>
    <w:rsid w:val="00647542"/>
    <w:pPr>
      <w:spacing w:after="160" w:line="240" w:lineRule="exact"/>
    </w:pPr>
    <w:rPr>
      <w:rFonts w:ascii="Tahoma" w:hAnsi="Tahoma" w:cs="Tahoma"/>
      <w:sz w:val="20"/>
      <w:szCs w:val="20"/>
      <w:lang w:val="en-US"/>
    </w:rPr>
  </w:style>
  <w:style w:type="character" w:customStyle="1" w:styleId="Zkladntext2Char">
    <w:name w:val="Základný text 2 Char"/>
    <w:aliases w:val="Char Char"/>
    <w:basedOn w:val="Predvolenpsmoodseku"/>
    <w:link w:val="Zkladntext2"/>
    <w:uiPriority w:val="99"/>
    <w:rsid w:val="00647542"/>
    <w:rPr>
      <w:rFonts w:ascii="Tahoma" w:eastAsia="Times New Roman" w:hAnsi="Tahoma" w:cs="Tahoma"/>
      <w:kern w:val="0"/>
      <w:sz w:val="20"/>
      <w:szCs w:val="20"/>
      <w:lang w:val="en-US"/>
      <w14:ligatures w14:val="none"/>
    </w:rPr>
  </w:style>
  <w:style w:type="paragraph" w:styleId="Zarkazkladnhotextu">
    <w:name w:val="Body Text Indent"/>
    <w:basedOn w:val="Normlny"/>
    <w:link w:val="ZarkazkladnhotextuChar"/>
    <w:uiPriority w:val="99"/>
    <w:rsid w:val="00647542"/>
    <w:pPr>
      <w:spacing w:after="0" w:line="240" w:lineRule="auto"/>
      <w:ind w:firstLine="708"/>
      <w:jc w:val="both"/>
    </w:pPr>
    <w:rPr>
      <w:rFonts w:ascii="Dutch801 SWC" w:hAnsi="Dutch801 SWC"/>
      <w:sz w:val="24"/>
      <w:szCs w:val="20"/>
      <w:lang w:eastAsia="sk-SK"/>
    </w:rPr>
  </w:style>
  <w:style w:type="character" w:customStyle="1" w:styleId="ZarkazkladnhotextuChar">
    <w:name w:val="Zarážka základného textu Char"/>
    <w:basedOn w:val="Predvolenpsmoodseku"/>
    <w:link w:val="Zarkazkladnhotextu"/>
    <w:uiPriority w:val="99"/>
    <w:rsid w:val="00647542"/>
    <w:rPr>
      <w:rFonts w:ascii="Dutch801 SWC" w:eastAsia="Times New Roman" w:hAnsi="Dutch801 SWC" w:cs="Times New Roman"/>
      <w:kern w:val="0"/>
      <w:sz w:val="24"/>
      <w:szCs w:val="20"/>
      <w:lang w:eastAsia="sk-SK"/>
      <w14:ligatures w14:val="none"/>
    </w:rPr>
  </w:style>
  <w:style w:type="paragraph" w:styleId="Zkladntext3">
    <w:name w:val="Body Text 3"/>
    <w:basedOn w:val="Normlny"/>
    <w:link w:val="Zkladntext3Char"/>
    <w:uiPriority w:val="99"/>
    <w:rsid w:val="0064754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21" w:lineRule="atLeast"/>
    </w:pPr>
    <w:rPr>
      <w:rFonts w:ascii="Times New Roman" w:hAnsi="Times New Roman"/>
      <w:b/>
      <w:bCs/>
      <w:sz w:val="28"/>
      <w:szCs w:val="24"/>
      <w:lang w:eastAsia="sk-SK"/>
    </w:rPr>
  </w:style>
  <w:style w:type="character" w:customStyle="1" w:styleId="Zkladntext3Char">
    <w:name w:val="Základný text 3 Char"/>
    <w:basedOn w:val="Predvolenpsmoodseku"/>
    <w:link w:val="Zkladntext3"/>
    <w:uiPriority w:val="99"/>
    <w:rsid w:val="00647542"/>
    <w:rPr>
      <w:rFonts w:ascii="Times New Roman" w:eastAsia="Times New Roman" w:hAnsi="Times New Roman" w:cs="Times New Roman"/>
      <w:b/>
      <w:bCs/>
      <w:kern w:val="0"/>
      <w:sz w:val="28"/>
      <w:szCs w:val="24"/>
      <w:lang w:eastAsia="sk-SK"/>
      <w14:ligatures w14:val="none"/>
    </w:rPr>
  </w:style>
  <w:style w:type="paragraph" w:customStyle="1" w:styleId="Zkladntext21">
    <w:name w:val="Základný text 21"/>
    <w:basedOn w:val="Normlny"/>
    <w:uiPriority w:val="99"/>
    <w:rsid w:val="00647542"/>
    <w:pPr>
      <w:widowControl w:val="0"/>
      <w:spacing w:before="120" w:after="120" w:line="240" w:lineRule="auto"/>
      <w:ind w:left="426"/>
      <w:jc w:val="both"/>
    </w:pPr>
    <w:rPr>
      <w:rFonts w:ascii="Times New Roman" w:hAnsi="Times New Roman"/>
      <w:sz w:val="24"/>
      <w:szCs w:val="20"/>
      <w:lang w:val="cs-CZ"/>
    </w:rPr>
  </w:style>
  <w:style w:type="paragraph" w:customStyle="1" w:styleId="08Textsprvy">
    <w:name w:val="08. Text správy"/>
    <w:basedOn w:val="Normlny"/>
    <w:uiPriority w:val="99"/>
    <w:rsid w:val="00647542"/>
    <w:pPr>
      <w:spacing w:after="0" w:line="240" w:lineRule="auto"/>
      <w:jc w:val="both"/>
    </w:pPr>
    <w:rPr>
      <w:rFonts w:ascii="Times New Roman" w:hAnsi="Times New Roman"/>
      <w:sz w:val="24"/>
      <w:szCs w:val="20"/>
      <w:lang w:eastAsia="cs-CZ"/>
    </w:rPr>
  </w:style>
  <w:style w:type="table" w:customStyle="1" w:styleId="Mriekatabuky1">
    <w:name w:val="Mriežka tabuľky1"/>
    <w:uiPriority w:val="99"/>
    <w:rsid w:val="00647542"/>
    <w:pPr>
      <w:spacing w:after="0" w:line="240" w:lineRule="auto"/>
    </w:pPr>
    <w:rPr>
      <w:rFonts w:ascii="Times New Roman" w:eastAsia="Times New Roman" w:hAnsi="Times New Roman" w:cs="Times New Roman"/>
      <w:kern w:val="0"/>
      <w:sz w:val="20"/>
      <w:szCs w:val="20"/>
      <w:lang w:eastAsia="sk-SK"/>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
    <w:name w:val="Char Char Char Char Char Char"/>
    <w:basedOn w:val="Normlny"/>
    <w:uiPriority w:val="99"/>
    <w:rsid w:val="00647542"/>
    <w:pPr>
      <w:spacing w:after="160" w:line="240" w:lineRule="exact"/>
    </w:pPr>
    <w:rPr>
      <w:rFonts w:ascii="Tahoma" w:hAnsi="Tahoma"/>
      <w:sz w:val="20"/>
      <w:szCs w:val="20"/>
    </w:rPr>
  </w:style>
  <w:style w:type="paragraph" w:customStyle="1" w:styleId="titulok">
    <w:name w:val="titulok"/>
    <w:basedOn w:val="Normlny"/>
    <w:uiPriority w:val="99"/>
    <w:rsid w:val="00647542"/>
    <w:pPr>
      <w:spacing w:before="100" w:beforeAutospacing="1" w:after="100" w:afterAutospacing="1" w:line="240" w:lineRule="auto"/>
      <w:jc w:val="center"/>
    </w:pPr>
    <w:rPr>
      <w:rFonts w:ascii="Arial" w:hAnsi="Arial" w:cs="Arial"/>
      <w:b/>
      <w:bCs/>
      <w:color w:val="007060"/>
      <w:sz w:val="24"/>
      <w:szCs w:val="24"/>
      <w:lang w:eastAsia="sk-SK"/>
    </w:rPr>
  </w:style>
  <w:style w:type="paragraph" w:customStyle="1" w:styleId="CharCharCharCharCharCharCharCharChar1Char">
    <w:name w:val="Char Char Char Char Char Char Char Char Char1 Char"/>
    <w:basedOn w:val="Normlny"/>
    <w:uiPriority w:val="99"/>
    <w:rsid w:val="00647542"/>
    <w:pPr>
      <w:spacing w:after="160" w:line="240" w:lineRule="exact"/>
    </w:pPr>
    <w:rPr>
      <w:rFonts w:ascii="Tahoma" w:hAnsi="Tahoma"/>
      <w:sz w:val="20"/>
      <w:szCs w:val="20"/>
      <w:lang w:val="en-US"/>
    </w:rPr>
  </w:style>
  <w:style w:type="paragraph" w:customStyle="1" w:styleId="Char1">
    <w:name w:val="Char1"/>
    <w:basedOn w:val="Normlny"/>
    <w:uiPriority w:val="99"/>
    <w:rsid w:val="00647542"/>
    <w:pPr>
      <w:spacing w:after="160" w:line="240" w:lineRule="exact"/>
    </w:pPr>
    <w:rPr>
      <w:rFonts w:ascii="Tahoma" w:hAnsi="Tahoma" w:cs="Tahoma"/>
      <w:sz w:val="20"/>
      <w:szCs w:val="20"/>
      <w:lang w:val="en-US"/>
    </w:rPr>
  </w:style>
  <w:style w:type="paragraph" w:customStyle="1" w:styleId="tlCharCharChar1CharCharCharChar">
    <w:name w:val="Štýl Char Char Char1 Char Char Char Char"/>
    <w:basedOn w:val="Normlny"/>
    <w:uiPriority w:val="99"/>
    <w:rsid w:val="00647542"/>
    <w:pPr>
      <w:spacing w:after="160" w:line="240" w:lineRule="exact"/>
    </w:pPr>
    <w:rPr>
      <w:rFonts w:ascii="Tahoma" w:hAnsi="Tahoma" w:cs="Tahoma"/>
      <w:sz w:val="20"/>
      <w:szCs w:val="20"/>
      <w:lang w:val="en-US"/>
    </w:rPr>
  </w:style>
  <w:style w:type="character" w:styleId="Odkaznakomentr">
    <w:name w:val="annotation reference"/>
    <w:basedOn w:val="Predvolenpsmoodseku"/>
    <w:uiPriority w:val="99"/>
    <w:semiHidden/>
    <w:rsid w:val="00647542"/>
    <w:rPr>
      <w:rFonts w:cs="Times New Roman"/>
      <w:sz w:val="16"/>
    </w:rPr>
  </w:style>
  <w:style w:type="paragraph" w:styleId="Textkomentra">
    <w:name w:val="annotation text"/>
    <w:basedOn w:val="Normlny"/>
    <w:link w:val="TextkomentraChar"/>
    <w:uiPriority w:val="99"/>
    <w:rsid w:val="00647542"/>
    <w:pPr>
      <w:spacing w:after="0" w:line="240" w:lineRule="auto"/>
    </w:pPr>
    <w:rPr>
      <w:rFonts w:ascii="Times New Roman" w:hAnsi="Times New Roman"/>
      <w:sz w:val="20"/>
      <w:szCs w:val="20"/>
      <w:lang w:eastAsia="sk-SK"/>
    </w:rPr>
  </w:style>
  <w:style w:type="character" w:customStyle="1" w:styleId="TextkomentraChar">
    <w:name w:val="Text komentára Char"/>
    <w:basedOn w:val="Predvolenpsmoodseku"/>
    <w:link w:val="Textkomentra"/>
    <w:uiPriority w:val="99"/>
    <w:rsid w:val="00647542"/>
    <w:rPr>
      <w:rFonts w:ascii="Times New Roman" w:eastAsia="Times New Roman" w:hAnsi="Times New Roman" w:cs="Times New Roman"/>
      <w:kern w:val="0"/>
      <w:sz w:val="20"/>
      <w:szCs w:val="20"/>
      <w:lang w:eastAsia="sk-SK"/>
      <w14:ligatures w14:val="none"/>
    </w:rPr>
  </w:style>
  <w:style w:type="paragraph" w:styleId="Predmetkomentra">
    <w:name w:val="annotation subject"/>
    <w:basedOn w:val="Textkomentra"/>
    <w:next w:val="Textkomentra"/>
    <w:link w:val="PredmetkomentraChar"/>
    <w:uiPriority w:val="99"/>
    <w:semiHidden/>
    <w:rsid w:val="00647542"/>
    <w:rPr>
      <w:b/>
      <w:bCs/>
    </w:rPr>
  </w:style>
  <w:style w:type="character" w:customStyle="1" w:styleId="PredmetkomentraChar">
    <w:name w:val="Predmet komentára Char"/>
    <w:basedOn w:val="TextkomentraChar"/>
    <w:link w:val="Predmetkomentra"/>
    <w:uiPriority w:val="99"/>
    <w:semiHidden/>
    <w:rsid w:val="00647542"/>
    <w:rPr>
      <w:rFonts w:ascii="Times New Roman" w:eastAsia="Times New Roman" w:hAnsi="Times New Roman" w:cs="Times New Roman"/>
      <w:b/>
      <w:bCs/>
      <w:kern w:val="0"/>
      <w:sz w:val="20"/>
      <w:szCs w:val="20"/>
      <w:lang w:eastAsia="sk-SK"/>
      <w14:ligatures w14:val="none"/>
    </w:rPr>
  </w:style>
  <w:style w:type="paragraph" w:customStyle="1" w:styleId="AUTunVycentrovan">
    <w:name w:val="AU Tučné Vycentrované"/>
    <w:basedOn w:val="Normlny"/>
    <w:uiPriority w:val="99"/>
    <w:rsid w:val="00647542"/>
    <w:pPr>
      <w:spacing w:after="0" w:line="240" w:lineRule="auto"/>
      <w:jc w:val="center"/>
    </w:pPr>
    <w:rPr>
      <w:rFonts w:ascii="Times New Roman" w:hAnsi="Times New Roman"/>
      <w:b/>
      <w:bCs/>
      <w:sz w:val="24"/>
      <w:szCs w:val="20"/>
      <w:lang w:eastAsia="cs-CZ"/>
    </w:rPr>
  </w:style>
  <w:style w:type="paragraph" w:customStyle="1" w:styleId="AUODRAKA">
    <w:name w:val="AU ODRAŽKA"/>
    <w:basedOn w:val="Normlny"/>
    <w:uiPriority w:val="99"/>
    <w:rsid w:val="00647542"/>
    <w:pPr>
      <w:numPr>
        <w:numId w:val="6"/>
      </w:numPr>
      <w:tabs>
        <w:tab w:val="clear" w:pos="284"/>
      </w:tabs>
      <w:spacing w:before="120" w:after="0" w:line="240" w:lineRule="auto"/>
      <w:ind w:left="0" w:firstLine="0"/>
      <w:jc w:val="both"/>
    </w:pPr>
    <w:rPr>
      <w:rFonts w:ascii="Times New Roman" w:hAnsi="Times New Roman"/>
      <w:sz w:val="24"/>
      <w:szCs w:val="20"/>
      <w:lang w:eastAsia="cs-CZ"/>
    </w:rPr>
  </w:style>
  <w:style w:type="paragraph" w:customStyle="1" w:styleId="CharCharCharCharCharChar1">
    <w:name w:val="Char Char Char Char Char Char1"/>
    <w:basedOn w:val="Normlny"/>
    <w:uiPriority w:val="99"/>
    <w:rsid w:val="00647542"/>
    <w:pPr>
      <w:spacing w:after="160" w:line="240" w:lineRule="exact"/>
    </w:pPr>
    <w:rPr>
      <w:rFonts w:ascii="Tahoma" w:hAnsi="Tahoma" w:cs="Tahoma"/>
      <w:sz w:val="20"/>
      <w:szCs w:val="20"/>
      <w:lang w:val="en-US"/>
    </w:rPr>
  </w:style>
  <w:style w:type="paragraph" w:customStyle="1" w:styleId="Zarkazkladnhotextu21">
    <w:name w:val="Zarážka základného textu 21"/>
    <w:basedOn w:val="Normlny"/>
    <w:uiPriority w:val="99"/>
    <w:rsid w:val="00647542"/>
    <w:pPr>
      <w:overflowPunct w:val="0"/>
      <w:autoSpaceDE w:val="0"/>
      <w:autoSpaceDN w:val="0"/>
      <w:adjustRightInd w:val="0"/>
      <w:spacing w:before="120" w:after="0" w:line="240" w:lineRule="auto"/>
      <w:ind w:left="284" w:hanging="284"/>
      <w:jc w:val="both"/>
      <w:textAlignment w:val="baseline"/>
    </w:pPr>
    <w:rPr>
      <w:sz w:val="24"/>
      <w:szCs w:val="20"/>
      <w:lang w:eastAsia="cs-CZ"/>
    </w:rPr>
  </w:style>
  <w:style w:type="paragraph" w:styleId="Zoznamsodrkami2">
    <w:name w:val="List Bullet 2"/>
    <w:basedOn w:val="Normlny"/>
    <w:autoRedefine/>
    <w:uiPriority w:val="99"/>
    <w:rsid w:val="00647542"/>
    <w:pPr>
      <w:numPr>
        <w:numId w:val="1"/>
      </w:numPr>
      <w:tabs>
        <w:tab w:val="clear" w:pos="643"/>
        <w:tab w:val="num" w:pos="284"/>
        <w:tab w:val="num" w:pos="465"/>
      </w:tabs>
      <w:spacing w:after="0" w:line="240" w:lineRule="auto"/>
      <w:ind w:left="0" w:firstLine="0"/>
    </w:pPr>
    <w:rPr>
      <w:rFonts w:ascii="Courier" w:hAnsi="Courier" w:cs="Courier"/>
      <w:sz w:val="24"/>
      <w:szCs w:val="24"/>
      <w:lang w:eastAsia="cs-CZ"/>
    </w:rPr>
  </w:style>
  <w:style w:type="paragraph" w:customStyle="1" w:styleId="CharCharChar2CharCharCharCharChar">
    <w:name w:val="Char Char Char2 Char Char Char Char Char"/>
    <w:basedOn w:val="Normlny"/>
    <w:uiPriority w:val="99"/>
    <w:rsid w:val="00647542"/>
    <w:pPr>
      <w:spacing w:after="160" w:line="240" w:lineRule="exact"/>
    </w:pPr>
    <w:rPr>
      <w:rFonts w:ascii="Tahoma" w:hAnsi="Tahoma"/>
      <w:sz w:val="20"/>
      <w:szCs w:val="20"/>
      <w:lang w:val="en-US"/>
    </w:rPr>
  </w:style>
  <w:style w:type="table" w:customStyle="1" w:styleId="Normlnatabuka1">
    <w:name w:val="Normálna tabuľka1"/>
    <w:uiPriority w:val="99"/>
    <w:semiHidden/>
    <w:rsid w:val="00647542"/>
    <w:pPr>
      <w:spacing w:after="0" w:line="240" w:lineRule="auto"/>
    </w:pPr>
    <w:rPr>
      <w:rFonts w:ascii="Dutch801 SWC" w:eastAsia="Times New Roman" w:hAnsi="Dutch801 SWC" w:cs="Times New Roman"/>
      <w:kern w:val="0"/>
      <w:sz w:val="20"/>
      <w:szCs w:val="20"/>
      <w:lang w:eastAsia="sk-SK"/>
      <w14:ligatures w14:val="none"/>
    </w:rPr>
    <w:tblPr>
      <w:tblInd w:w="0" w:type="dxa"/>
      <w:tblCellMar>
        <w:top w:w="0" w:type="dxa"/>
        <w:left w:w="108" w:type="dxa"/>
        <w:bottom w:w="0" w:type="dxa"/>
        <w:right w:w="108" w:type="dxa"/>
      </w:tblCellMar>
    </w:tblPr>
  </w:style>
  <w:style w:type="character" w:customStyle="1" w:styleId="ZkladntextodsazenChar">
    <w:name w:val="Základní text odsazený Char"/>
    <w:uiPriority w:val="99"/>
    <w:rsid w:val="00647542"/>
    <w:rPr>
      <w:rFonts w:ascii="AT* Times New Roman" w:hAnsi="AT* Times New Roman"/>
      <w:sz w:val="24"/>
      <w:lang w:val="sk-SK" w:eastAsia="cs-CZ"/>
    </w:rPr>
  </w:style>
  <w:style w:type="table" w:customStyle="1" w:styleId="Normlnatabuka2">
    <w:name w:val="Normálna tabuľka2"/>
    <w:uiPriority w:val="99"/>
    <w:semiHidden/>
    <w:rsid w:val="00647542"/>
    <w:pPr>
      <w:spacing w:after="0" w:line="240" w:lineRule="auto"/>
    </w:pPr>
    <w:rPr>
      <w:rFonts w:ascii="Calibri" w:eastAsia="Times New Roman" w:hAnsi="Calibri" w:cs="Times New Roman"/>
      <w:kern w:val="0"/>
      <w:sz w:val="20"/>
      <w:szCs w:val="20"/>
      <w:lang w:eastAsia="sk-SK"/>
      <w14:ligatures w14:val="none"/>
    </w:rPr>
    <w:tblPr>
      <w:tblInd w:w="0" w:type="dxa"/>
      <w:tblCellMar>
        <w:top w:w="0" w:type="dxa"/>
        <w:left w:w="108" w:type="dxa"/>
        <w:bottom w:w="0" w:type="dxa"/>
        <w:right w:w="108" w:type="dxa"/>
      </w:tblCellMar>
    </w:tblPr>
  </w:style>
  <w:style w:type="table" w:customStyle="1" w:styleId="Normlnatabuka3">
    <w:name w:val="Normálna tabuľka3"/>
    <w:uiPriority w:val="99"/>
    <w:semiHidden/>
    <w:rsid w:val="00647542"/>
    <w:pPr>
      <w:spacing w:after="0" w:line="240" w:lineRule="auto"/>
    </w:pPr>
    <w:rPr>
      <w:rFonts w:ascii="Calibri" w:eastAsia="Times New Roman" w:hAnsi="Calibri" w:cs="Times New Roman"/>
      <w:kern w:val="0"/>
      <w:sz w:val="20"/>
      <w:szCs w:val="20"/>
      <w:lang w:eastAsia="sk-SK"/>
      <w14:ligatures w14:val="none"/>
    </w:rPr>
    <w:tblPr>
      <w:tblInd w:w="0" w:type="dxa"/>
      <w:tblCellMar>
        <w:top w:w="0" w:type="dxa"/>
        <w:left w:w="108" w:type="dxa"/>
        <w:bottom w:w="0" w:type="dxa"/>
        <w:right w:w="108" w:type="dxa"/>
      </w:tblCellMar>
    </w:tblPr>
  </w:style>
  <w:style w:type="table" w:customStyle="1" w:styleId="Normlnatabuka4">
    <w:name w:val="Normálna tabuľka4"/>
    <w:uiPriority w:val="99"/>
    <w:semiHidden/>
    <w:rsid w:val="00647542"/>
    <w:pPr>
      <w:spacing w:after="0" w:line="240" w:lineRule="auto"/>
    </w:pPr>
    <w:rPr>
      <w:rFonts w:ascii="Calibri" w:eastAsia="Times New Roman" w:hAnsi="Calibri" w:cs="Times New Roman"/>
      <w:kern w:val="0"/>
      <w:sz w:val="20"/>
      <w:szCs w:val="20"/>
      <w:lang w:eastAsia="sk-SK"/>
      <w14:ligatures w14:val="none"/>
    </w:rPr>
    <w:tblPr>
      <w:tblInd w:w="0" w:type="dxa"/>
      <w:tblCellMar>
        <w:top w:w="0" w:type="dxa"/>
        <w:left w:w="108" w:type="dxa"/>
        <w:bottom w:w="0" w:type="dxa"/>
        <w:right w:w="108" w:type="dxa"/>
      </w:tblCellMar>
    </w:tblPr>
  </w:style>
  <w:style w:type="table" w:customStyle="1" w:styleId="Normlnatabuka5">
    <w:name w:val="Normálna tabuľka5"/>
    <w:uiPriority w:val="99"/>
    <w:semiHidden/>
    <w:rsid w:val="00647542"/>
    <w:pPr>
      <w:spacing w:after="0" w:line="240" w:lineRule="auto"/>
    </w:pPr>
    <w:rPr>
      <w:rFonts w:ascii="Calibri" w:eastAsia="Times New Roman" w:hAnsi="Calibri" w:cs="Times New Roman"/>
      <w:kern w:val="0"/>
      <w:sz w:val="20"/>
      <w:szCs w:val="20"/>
      <w:lang w:eastAsia="sk-SK"/>
      <w14:ligatures w14:val="none"/>
    </w:rPr>
    <w:tblPr>
      <w:tblInd w:w="0" w:type="dxa"/>
      <w:tblCellMar>
        <w:top w:w="0" w:type="dxa"/>
        <w:left w:w="108" w:type="dxa"/>
        <w:bottom w:w="0" w:type="dxa"/>
        <w:right w:w="108" w:type="dxa"/>
      </w:tblCellMar>
    </w:tblPr>
  </w:style>
  <w:style w:type="table" w:customStyle="1" w:styleId="Normlnatabuka6">
    <w:name w:val="Normálna tabuľka6"/>
    <w:uiPriority w:val="99"/>
    <w:semiHidden/>
    <w:rsid w:val="00647542"/>
    <w:pPr>
      <w:spacing w:after="0" w:line="240" w:lineRule="auto"/>
    </w:pPr>
    <w:rPr>
      <w:rFonts w:ascii="Calibri" w:eastAsia="Times New Roman" w:hAnsi="Calibri" w:cs="Times New Roman"/>
      <w:kern w:val="0"/>
      <w:sz w:val="20"/>
      <w:szCs w:val="20"/>
      <w:lang w:eastAsia="sk-SK"/>
      <w14:ligatures w14:val="none"/>
    </w:rPr>
    <w:tblPr>
      <w:tblInd w:w="0" w:type="dxa"/>
      <w:tblCellMar>
        <w:top w:w="0" w:type="dxa"/>
        <w:left w:w="108" w:type="dxa"/>
        <w:bottom w:w="0" w:type="dxa"/>
        <w:right w:w="108" w:type="dxa"/>
      </w:tblCellMar>
    </w:tblPr>
  </w:style>
  <w:style w:type="table" w:customStyle="1" w:styleId="Normlnatabuka7">
    <w:name w:val="Normálna tabuľka7"/>
    <w:uiPriority w:val="99"/>
    <w:semiHidden/>
    <w:rsid w:val="00647542"/>
    <w:pPr>
      <w:spacing w:after="0" w:line="240" w:lineRule="auto"/>
    </w:pPr>
    <w:rPr>
      <w:rFonts w:ascii="Calibri" w:eastAsia="Times New Roman" w:hAnsi="Calibri" w:cs="Times New Roman"/>
      <w:kern w:val="0"/>
      <w:sz w:val="20"/>
      <w:szCs w:val="20"/>
      <w:lang w:eastAsia="sk-SK"/>
      <w14:ligatures w14:val="none"/>
    </w:rPr>
    <w:tblPr>
      <w:tblInd w:w="0" w:type="dxa"/>
      <w:tblCellMar>
        <w:top w:w="0" w:type="dxa"/>
        <w:left w:w="108" w:type="dxa"/>
        <w:bottom w:w="0" w:type="dxa"/>
        <w:right w:w="108" w:type="dxa"/>
      </w:tblCellMar>
    </w:tblPr>
  </w:style>
  <w:style w:type="table" w:customStyle="1" w:styleId="Normlnatabuka8">
    <w:name w:val="Normálna tabuľka8"/>
    <w:uiPriority w:val="99"/>
    <w:semiHidden/>
    <w:rsid w:val="00647542"/>
    <w:pPr>
      <w:spacing w:after="0" w:line="240" w:lineRule="auto"/>
    </w:pPr>
    <w:rPr>
      <w:rFonts w:ascii="Calibri" w:eastAsia="Times New Roman" w:hAnsi="Calibri" w:cs="Times New Roman"/>
      <w:kern w:val="0"/>
      <w:sz w:val="20"/>
      <w:szCs w:val="20"/>
      <w:lang w:eastAsia="sk-SK"/>
      <w14:ligatures w14:val="none"/>
    </w:rPr>
    <w:tblPr>
      <w:tblInd w:w="0" w:type="dxa"/>
      <w:tblCellMar>
        <w:top w:w="0" w:type="dxa"/>
        <w:left w:w="108" w:type="dxa"/>
        <w:bottom w:w="0" w:type="dxa"/>
        <w:right w:w="108" w:type="dxa"/>
      </w:tblCellMar>
    </w:tblPr>
  </w:style>
  <w:style w:type="table" w:customStyle="1" w:styleId="Normlnatabuka9">
    <w:name w:val="Normálna tabuľka9"/>
    <w:uiPriority w:val="99"/>
    <w:semiHidden/>
    <w:rsid w:val="00647542"/>
    <w:pPr>
      <w:spacing w:after="0" w:line="240" w:lineRule="auto"/>
    </w:pPr>
    <w:rPr>
      <w:rFonts w:ascii="Calibri" w:eastAsia="Times New Roman" w:hAnsi="Calibri" w:cs="Times New Roman"/>
      <w:kern w:val="0"/>
      <w:sz w:val="20"/>
      <w:szCs w:val="20"/>
      <w:lang w:eastAsia="sk-SK"/>
      <w14:ligatures w14:val="none"/>
    </w:rPr>
    <w:tblPr>
      <w:tblInd w:w="0" w:type="dxa"/>
      <w:tblCellMar>
        <w:top w:w="0" w:type="dxa"/>
        <w:left w:w="108" w:type="dxa"/>
        <w:bottom w:w="0" w:type="dxa"/>
        <w:right w:w="108" w:type="dxa"/>
      </w:tblCellMar>
    </w:tblPr>
  </w:style>
  <w:style w:type="table" w:customStyle="1" w:styleId="Normlnatabuka10">
    <w:name w:val="Normálna tabuľka10"/>
    <w:uiPriority w:val="99"/>
    <w:semiHidden/>
    <w:rsid w:val="00647542"/>
    <w:pPr>
      <w:spacing w:after="0" w:line="240" w:lineRule="auto"/>
    </w:pPr>
    <w:rPr>
      <w:rFonts w:ascii="Calibri" w:eastAsia="Times New Roman" w:hAnsi="Calibri" w:cs="Times New Roman"/>
      <w:kern w:val="0"/>
      <w:sz w:val="20"/>
      <w:szCs w:val="20"/>
      <w:lang w:eastAsia="sk-SK"/>
      <w14:ligatures w14:val="none"/>
    </w:rPr>
    <w:tblPr>
      <w:tblInd w:w="0" w:type="dxa"/>
      <w:tblCellMar>
        <w:top w:w="0" w:type="dxa"/>
        <w:left w:w="108" w:type="dxa"/>
        <w:bottom w:w="0" w:type="dxa"/>
        <w:right w:w="108" w:type="dxa"/>
      </w:tblCellMar>
    </w:tblPr>
  </w:style>
  <w:style w:type="table" w:customStyle="1" w:styleId="Normlnatabuka11">
    <w:name w:val="Normálna tabuľka11"/>
    <w:uiPriority w:val="99"/>
    <w:semiHidden/>
    <w:rsid w:val="00647542"/>
    <w:pPr>
      <w:spacing w:after="0" w:line="240" w:lineRule="auto"/>
    </w:pPr>
    <w:rPr>
      <w:rFonts w:ascii="Calibri" w:eastAsia="Times New Roman" w:hAnsi="Calibri" w:cs="Times New Roman"/>
      <w:kern w:val="0"/>
      <w:sz w:val="20"/>
      <w:szCs w:val="20"/>
      <w:lang w:eastAsia="sk-SK"/>
      <w14:ligatures w14:val="none"/>
    </w:rPr>
    <w:tblPr>
      <w:tblInd w:w="0" w:type="dxa"/>
      <w:tblCellMar>
        <w:top w:w="0" w:type="dxa"/>
        <w:left w:w="108" w:type="dxa"/>
        <w:bottom w:w="0" w:type="dxa"/>
        <w:right w:w="108" w:type="dxa"/>
      </w:tblCellMar>
    </w:tblPr>
  </w:style>
  <w:style w:type="table" w:customStyle="1" w:styleId="Normlnatabuka12">
    <w:name w:val="Normálna tabuľka12"/>
    <w:uiPriority w:val="99"/>
    <w:semiHidden/>
    <w:rsid w:val="00647542"/>
    <w:pPr>
      <w:spacing w:after="0" w:line="240" w:lineRule="auto"/>
    </w:pPr>
    <w:rPr>
      <w:rFonts w:ascii="Calibri" w:eastAsia="Times New Roman" w:hAnsi="Calibri" w:cs="Times New Roman"/>
      <w:kern w:val="0"/>
      <w:sz w:val="20"/>
      <w:szCs w:val="20"/>
      <w:lang w:eastAsia="sk-SK"/>
      <w14:ligatures w14:val="none"/>
    </w:rPr>
    <w:tblPr>
      <w:tblInd w:w="0" w:type="dxa"/>
      <w:tblCellMar>
        <w:top w:w="0" w:type="dxa"/>
        <w:left w:w="108" w:type="dxa"/>
        <w:bottom w:w="0" w:type="dxa"/>
        <w:right w:w="108" w:type="dxa"/>
      </w:tblCellMar>
    </w:tblPr>
  </w:style>
  <w:style w:type="table" w:customStyle="1" w:styleId="Normlnatabuka13">
    <w:name w:val="Normálna tabuľka13"/>
    <w:uiPriority w:val="99"/>
    <w:semiHidden/>
    <w:rsid w:val="00647542"/>
    <w:pPr>
      <w:spacing w:after="0" w:line="240" w:lineRule="auto"/>
    </w:pPr>
    <w:rPr>
      <w:rFonts w:ascii="Calibri" w:eastAsia="Times New Roman" w:hAnsi="Calibri" w:cs="Times New Roman"/>
      <w:kern w:val="0"/>
      <w:sz w:val="20"/>
      <w:szCs w:val="20"/>
      <w:lang w:eastAsia="sk-SK"/>
      <w14:ligatures w14:val="none"/>
    </w:rPr>
    <w:tblPr>
      <w:tblInd w:w="0" w:type="dxa"/>
      <w:tblCellMar>
        <w:top w:w="0" w:type="dxa"/>
        <w:left w:w="108" w:type="dxa"/>
        <w:bottom w:w="0" w:type="dxa"/>
        <w:right w:w="108" w:type="dxa"/>
      </w:tblCellMar>
    </w:tblPr>
  </w:style>
  <w:style w:type="table" w:customStyle="1" w:styleId="Normlnatabuka14">
    <w:name w:val="Normálna tabuľka14"/>
    <w:uiPriority w:val="99"/>
    <w:semiHidden/>
    <w:rsid w:val="00647542"/>
    <w:pPr>
      <w:spacing w:after="0" w:line="240" w:lineRule="auto"/>
    </w:pPr>
    <w:rPr>
      <w:rFonts w:ascii="Calibri" w:eastAsia="Times New Roman" w:hAnsi="Calibri" w:cs="Times New Roman"/>
      <w:kern w:val="0"/>
      <w:sz w:val="20"/>
      <w:szCs w:val="20"/>
      <w:lang w:eastAsia="sk-SK"/>
      <w14:ligatures w14:val="none"/>
    </w:rPr>
    <w:tblPr>
      <w:tblInd w:w="0" w:type="dxa"/>
      <w:tblCellMar>
        <w:top w:w="0" w:type="dxa"/>
        <w:left w:w="108" w:type="dxa"/>
        <w:bottom w:w="0" w:type="dxa"/>
        <w:right w:w="108" w:type="dxa"/>
      </w:tblCellMar>
    </w:tblPr>
  </w:style>
  <w:style w:type="paragraph" w:customStyle="1" w:styleId="CharCharCharChar1CharChar">
    <w:name w:val="Char Char Char Char1 Char Char"/>
    <w:basedOn w:val="Normlny"/>
    <w:uiPriority w:val="99"/>
    <w:rsid w:val="00647542"/>
    <w:pPr>
      <w:spacing w:after="160" w:line="240" w:lineRule="exact"/>
    </w:pPr>
    <w:rPr>
      <w:rFonts w:ascii="Tahoma" w:hAnsi="Tahoma" w:cs="Tahoma"/>
      <w:sz w:val="20"/>
      <w:szCs w:val="20"/>
      <w:lang w:val="en-US"/>
    </w:rPr>
  </w:style>
  <w:style w:type="table" w:customStyle="1" w:styleId="Normlnatabuka15">
    <w:name w:val="Normálna tabuľka15"/>
    <w:uiPriority w:val="99"/>
    <w:semiHidden/>
    <w:rsid w:val="00647542"/>
    <w:pPr>
      <w:spacing w:after="0" w:line="240" w:lineRule="auto"/>
    </w:pPr>
    <w:rPr>
      <w:rFonts w:ascii="Calibri" w:eastAsia="Times New Roman" w:hAnsi="Calibri" w:cs="Times New Roman"/>
      <w:kern w:val="0"/>
      <w:sz w:val="20"/>
      <w:szCs w:val="20"/>
      <w:lang w:eastAsia="sk-SK"/>
      <w14:ligatures w14:val="none"/>
    </w:rPr>
    <w:tblPr>
      <w:tblInd w:w="0" w:type="dxa"/>
      <w:tblCellMar>
        <w:top w:w="0" w:type="dxa"/>
        <w:left w:w="108" w:type="dxa"/>
        <w:bottom w:w="0" w:type="dxa"/>
        <w:right w:w="108" w:type="dxa"/>
      </w:tblCellMar>
    </w:tblPr>
  </w:style>
  <w:style w:type="paragraph" w:styleId="Obsah1">
    <w:name w:val="toc 1"/>
    <w:basedOn w:val="Normlny"/>
    <w:next w:val="Normlny"/>
    <w:autoRedefine/>
    <w:uiPriority w:val="99"/>
    <w:rsid w:val="00647542"/>
    <w:pPr>
      <w:spacing w:after="0" w:line="240" w:lineRule="auto"/>
    </w:pPr>
    <w:rPr>
      <w:rFonts w:ascii="Courier" w:hAnsi="Courier" w:cs="Courier"/>
      <w:sz w:val="24"/>
      <w:szCs w:val="24"/>
      <w:lang w:eastAsia="cs-CZ"/>
    </w:rPr>
  </w:style>
  <w:style w:type="paragraph" w:styleId="Obyajntext">
    <w:name w:val="Plain Text"/>
    <w:basedOn w:val="Normlny"/>
    <w:link w:val="ObyajntextChar"/>
    <w:uiPriority w:val="99"/>
    <w:rsid w:val="00647542"/>
    <w:pPr>
      <w:spacing w:after="0" w:line="240" w:lineRule="auto"/>
    </w:pPr>
    <w:rPr>
      <w:szCs w:val="21"/>
    </w:rPr>
  </w:style>
  <w:style w:type="character" w:customStyle="1" w:styleId="ObyajntextChar">
    <w:name w:val="Obyčajný text Char"/>
    <w:basedOn w:val="Predvolenpsmoodseku"/>
    <w:link w:val="Obyajntext"/>
    <w:uiPriority w:val="99"/>
    <w:rsid w:val="00647542"/>
    <w:rPr>
      <w:rFonts w:ascii="Arial Narrow" w:eastAsia="Times New Roman" w:hAnsi="Arial Narrow" w:cs="Times New Roman"/>
      <w:kern w:val="0"/>
      <w:szCs w:val="21"/>
      <w14:ligatures w14:val="none"/>
    </w:rPr>
  </w:style>
  <w:style w:type="paragraph" w:customStyle="1" w:styleId="Default">
    <w:name w:val="Default"/>
    <w:rsid w:val="0064754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sk-SK"/>
      <w14:ligatures w14:val="none"/>
    </w:rPr>
  </w:style>
  <w:style w:type="character" w:styleId="PouitHypertextovPrepojenie">
    <w:name w:val="FollowedHyperlink"/>
    <w:basedOn w:val="Predvolenpsmoodseku"/>
    <w:uiPriority w:val="99"/>
    <w:semiHidden/>
    <w:rsid w:val="00647542"/>
    <w:rPr>
      <w:rFonts w:cs="Times New Roman"/>
      <w:color w:val="800080"/>
      <w:u w:val="single"/>
    </w:rPr>
  </w:style>
  <w:style w:type="paragraph" w:customStyle="1" w:styleId="xl687">
    <w:name w:val="xl687"/>
    <w:basedOn w:val="Normlny"/>
    <w:uiPriority w:val="99"/>
    <w:rsid w:val="00647542"/>
    <w:pPr>
      <w:shd w:val="clear" w:color="000000" w:fill="FFFFFF"/>
      <w:spacing w:before="100" w:beforeAutospacing="1" w:after="100" w:afterAutospacing="1" w:line="240" w:lineRule="auto"/>
    </w:pPr>
    <w:rPr>
      <w:rFonts w:ascii="Arial" w:hAnsi="Arial" w:cs="Arial"/>
      <w:b/>
      <w:bCs/>
      <w:sz w:val="20"/>
      <w:szCs w:val="20"/>
      <w:lang w:eastAsia="sk-SK"/>
    </w:rPr>
  </w:style>
  <w:style w:type="paragraph" w:customStyle="1" w:styleId="xl688">
    <w:name w:val="xl688"/>
    <w:basedOn w:val="Normlny"/>
    <w:uiPriority w:val="99"/>
    <w:rsid w:val="00647542"/>
    <w:pP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689">
    <w:name w:val="xl689"/>
    <w:basedOn w:val="Normlny"/>
    <w:uiPriority w:val="99"/>
    <w:rsid w:val="00647542"/>
    <w:pPr>
      <w:shd w:val="clear" w:color="000000" w:fill="FFFFFF"/>
      <w:spacing w:before="100" w:beforeAutospacing="1" w:after="100" w:afterAutospacing="1" w:line="240" w:lineRule="auto"/>
      <w:jc w:val="center"/>
    </w:pPr>
    <w:rPr>
      <w:rFonts w:ascii="Arial" w:hAnsi="Arial" w:cs="Arial"/>
      <w:b/>
      <w:bCs/>
      <w:sz w:val="20"/>
      <w:szCs w:val="20"/>
      <w:lang w:eastAsia="sk-SK"/>
    </w:rPr>
  </w:style>
  <w:style w:type="paragraph" w:customStyle="1" w:styleId="xl690">
    <w:name w:val="xl690"/>
    <w:basedOn w:val="Normlny"/>
    <w:uiPriority w:val="99"/>
    <w:rsid w:val="00647542"/>
    <w:pPr>
      <w:shd w:val="clear" w:color="000000" w:fill="FFFFFF"/>
      <w:spacing w:before="100" w:beforeAutospacing="1" w:after="100" w:afterAutospacing="1" w:line="240" w:lineRule="auto"/>
      <w:jc w:val="right"/>
    </w:pPr>
    <w:rPr>
      <w:rFonts w:ascii="Arial" w:hAnsi="Arial" w:cs="Arial"/>
      <w:b/>
      <w:bCs/>
      <w:sz w:val="20"/>
      <w:szCs w:val="20"/>
      <w:lang w:eastAsia="sk-SK"/>
    </w:rPr>
  </w:style>
  <w:style w:type="paragraph" w:customStyle="1" w:styleId="xl691">
    <w:name w:val="xl691"/>
    <w:basedOn w:val="Normlny"/>
    <w:uiPriority w:val="99"/>
    <w:rsid w:val="0064754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hAnsi="Arial" w:cs="Arial"/>
      <w:sz w:val="20"/>
      <w:szCs w:val="20"/>
      <w:lang w:eastAsia="sk-SK"/>
    </w:rPr>
  </w:style>
  <w:style w:type="paragraph" w:customStyle="1" w:styleId="xl692">
    <w:name w:val="xl692"/>
    <w:basedOn w:val="Normlny"/>
    <w:uiPriority w:val="99"/>
    <w:rsid w:val="0064754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693">
    <w:name w:val="xl693"/>
    <w:basedOn w:val="Normlny"/>
    <w:uiPriority w:val="99"/>
    <w:rsid w:val="00647542"/>
    <w:pP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694">
    <w:name w:val="xl694"/>
    <w:basedOn w:val="Normlny"/>
    <w:uiPriority w:val="99"/>
    <w:rsid w:val="00647542"/>
    <w:pPr>
      <w:pBdr>
        <w:bottom w:val="single" w:sz="4" w:space="0" w:color="000000"/>
      </w:pBdr>
      <w:shd w:val="clear" w:color="000000" w:fill="FFFFFF"/>
      <w:spacing w:before="100" w:beforeAutospacing="1" w:after="100" w:afterAutospacing="1" w:line="240" w:lineRule="auto"/>
    </w:pPr>
    <w:rPr>
      <w:rFonts w:ascii="Arial" w:hAnsi="Arial" w:cs="Arial"/>
      <w:b/>
      <w:bCs/>
      <w:sz w:val="20"/>
      <w:szCs w:val="20"/>
      <w:lang w:eastAsia="sk-SK"/>
    </w:rPr>
  </w:style>
  <w:style w:type="paragraph" w:customStyle="1" w:styleId="xl695">
    <w:name w:val="xl695"/>
    <w:basedOn w:val="Normlny"/>
    <w:uiPriority w:val="99"/>
    <w:rsid w:val="00647542"/>
    <w:pPr>
      <w:shd w:val="clear" w:color="000000" w:fill="FFFFFF"/>
      <w:spacing w:before="100" w:beforeAutospacing="1" w:after="100" w:afterAutospacing="1" w:line="240" w:lineRule="auto"/>
    </w:pPr>
    <w:rPr>
      <w:rFonts w:ascii="Arial" w:hAnsi="Arial" w:cs="Arial"/>
      <w:b/>
      <w:bCs/>
      <w:sz w:val="20"/>
      <w:szCs w:val="20"/>
      <w:lang w:eastAsia="sk-SK"/>
    </w:rPr>
  </w:style>
  <w:style w:type="paragraph" w:customStyle="1" w:styleId="xl696">
    <w:name w:val="xl696"/>
    <w:basedOn w:val="Normlny"/>
    <w:uiPriority w:val="99"/>
    <w:rsid w:val="00647542"/>
    <w:pPr>
      <w:shd w:val="clear" w:color="000000" w:fill="FFFFFF"/>
      <w:spacing w:before="100" w:beforeAutospacing="1" w:after="100" w:afterAutospacing="1" w:line="240" w:lineRule="auto"/>
    </w:pPr>
    <w:rPr>
      <w:rFonts w:ascii="Arial" w:hAnsi="Arial" w:cs="Arial"/>
      <w:b/>
      <w:bCs/>
      <w:sz w:val="20"/>
      <w:szCs w:val="20"/>
      <w:lang w:eastAsia="sk-SK"/>
    </w:rPr>
  </w:style>
  <w:style w:type="paragraph" w:customStyle="1" w:styleId="xl697">
    <w:name w:val="xl697"/>
    <w:basedOn w:val="Normlny"/>
    <w:uiPriority w:val="99"/>
    <w:rsid w:val="0064754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698">
    <w:name w:val="xl698"/>
    <w:basedOn w:val="Normlny"/>
    <w:uiPriority w:val="99"/>
    <w:rsid w:val="00647542"/>
    <w:pPr>
      <w:shd w:val="clear" w:color="000000" w:fill="FFFFFF"/>
      <w:spacing w:before="100" w:beforeAutospacing="1" w:after="100" w:afterAutospacing="1" w:line="240" w:lineRule="auto"/>
      <w:jc w:val="center"/>
    </w:pPr>
    <w:rPr>
      <w:rFonts w:ascii="Arial" w:hAnsi="Arial" w:cs="Arial"/>
      <w:b/>
      <w:bCs/>
      <w:sz w:val="20"/>
      <w:szCs w:val="20"/>
      <w:lang w:eastAsia="sk-SK"/>
    </w:rPr>
  </w:style>
  <w:style w:type="paragraph" w:customStyle="1" w:styleId="xl699">
    <w:name w:val="xl699"/>
    <w:basedOn w:val="Normlny"/>
    <w:uiPriority w:val="99"/>
    <w:rsid w:val="00647542"/>
    <w:pPr>
      <w:shd w:val="clear" w:color="000000" w:fill="FFFFFF"/>
      <w:spacing w:before="100" w:beforeAutospacing="1" w:after="100" w:afterAutospacing="1" w:line="240" w:lineRule="auto"/>
      <w:jc w:val="right"/>
    </w:pPr>
    <w:rPr>
      <w:rFonts w:ascii="Arial" w:hAnsi="Arial" w:cs="Arial"/>
      <w:b/>
      <w:bCs/>
      <w:sz w:val="20"/>
      <w:szCs w:val="20"/>
      <w:lang w:eastAsia="sk-SK"/>
    </w:rPr>
  </w:style>
  <w:style w:type="paragraph" w:customStyle="1" w:styleId="xl700">
    <w:name w:val="xl700"/>
    <w:basedOn w:val="Normlny"/>
    <w:uiPriority w:val="99"/>
    <w:rsid w:val="00647542"/>
    <w:pPr>
      <w:shd w:val="clear" w:color="000000" w:fill="FFFFFF"/>
      <w:spacing w:before="100" w:beforeAutospacing="1" w:after="100" w:afterAutospacing="1" w:line="240" w:lineRule="auto"/>
    </w:pPr>
    <w:rPr>
      <w:rFonts w:ascii="Arial" w:hAnsi="Arial" w:cs="Arial"/>
      <w:b/>
      <w:bCs/>
      <w:sz w:val="20"/>
      <w:szCs w:val="20"/>
      <w:lang w:eastAsia="sk-SK"/>
    </w:rPr>
  </w:style>
  <w:style w:type="paragraph" w:customStyle="1" w:styleId="xl701">
    <w:name w:val="xl701"/>
    <w:basedOn w:val="Normlny"/>
    <w:uiPriority w:val="99"/>
    <w:rsid w:val="00647542"/>
    <w:pPr>
      <w:pBdr>
        <w:bottom w:val="single" w:sz="4" w:space="0" w:color="000000"/>
      </w:pBdr>
      <w:shd w:val="clear" w:color="000000" w:fill="FFFFFF"/>
      <w:spacing w:before="100" w:beforeAutospacing="1" w:after="100" w:afterAutospacing="1" w:line="240" w:lineRule="auto"/>
      <w:textAlignment w:val="center"/>
    </w:pPr>
    <w:rPr>
      <w:rFonts w:ascii="Arial" w:hAnsi="Arial" w:cs="Arial"/>
      <w:sz w:val="20"/>
      <w:szCs w:val="20"/>
      <w:lang w:eastAsia="sk-SK"/>
    </w:rPr>
  </w:style>
  <w:style w:type="paragraph" w:customStyle="1" w:styleId="xl702">
    <w:name w:val="xl702"/>
    <w:basedOn w:val="Normlny"/>
    <w:uiPriority w:val="99"/>
    <w:rsid w:val="00647542"/>
    <w:pPr>
      <w:pBdr>
        <w:bottom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03">
    <w:name w:val="xl703"/>
    <w:basedOn w:val="Normlny"/>
    <w:uiPriority w:val="99"/>
    <w:rsid w:val="00647542"/>
    <w:pPr>
      <w:pBdr>
        <w:left w:val="single" w:sz="4" w:space="0" w:color="000000"/>
        <w:right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04">
    <w:name w:val="xl704"/>
    <w:basedOn w:val="Normlny"/>
    <w:uiPriority w:val="99"/>
    <w:rsid w:val="00647542"/>
    <w:pP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05">
    <w:name w:val="xl705"/>
    <w:basedOn w:val="Normlny"/>
    <w:uiPriority w:val="99"/>
    <w:rsid w:val="00647542"/>
    <w:pPr>
      <w:pBdr>
        <w:bottom w:val="single" w:sz="4" w:space="0" w:color="000000"/>
      </w:pBdr>
      <w:shd w:val="clear" w:color="000000" w:fill="FFFFFF"/>
      <w:spacing w:before="100" w:beforeAutospacing="1" w:after="100" w:afterAutospacing="1" w:line="240" w:lineRule="auto"/>
      <w:textAlignment w:val="center"/>
    </w:pPr>
    <w:rPr>
      <w:rFonts w:ascii="Arial" w:hAnsi="Arial" w:cs="Arial"/>
      <w:sz w:val="20"/>
      <w:szCs w:val="20"/>
      <w:lang w:eastAsia="sk-SK"/>
    </w:rPr>
  </w:style>
  <w:style w:type="paragraph" w:customStyle="1" w:styleId="xl706">
    <w:name w:val="xl706"/>
    <w:basedOn w:val="Normlny"/>
    <w:uiPriority w:val="99"/>
    <w:rsid w:val="0064754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07">
    <w:name w:val="xl707"/>
    <w:basedOn w:val="Normlny"/>
    <w:uiPriority w:val="99"/>
    <w:rsid w:val="00647542"/>
    <w:pPr>
      <w:pBdr>
        <w:top w:val="single" w:sz="4" w:space="0" w:color="000000"/>
        <w:left w:val="single" w:sz="4" w:space="0" w:color="000000"/>
      </w:pBdr>
      <w:shd w:val="clear" w:color="000000" w:fill="FFFFFF"/>
      <w:spacing w:before="100" w:beforeAutospacing="1" w:after="100" w:afterAutospacing="1" w:line="240" w:lineRule="auto"/>
      <w:textAlignment w:val="top"/>
    </w:pPr>
    <w:rPr>
      <w:rFonts w:ascii="Arial" w:hAnsi="Arial" w:cs="Arial"/>
      <w:b/>
      <w:bCs/>
      <w:sz w:val="20"/>
      <w:szCs w:val="20"/>
      <w:lang w:eastAsia="sk-SK"/>
    </w:rPr>
  </w:style>
  <w:style w:type="paragraph" w:customStyle="1" w:styleId="xl708">
    <w:name w:val="xl708"/>
    <w:basedOn w:val="Normlny"/>
    <w:uiPriority w:val="99"/>
    <w:rsid w:val="00647542"/>
    <w:pPr>
      <w:pBdr>
        <w:top w:val="single" w:sz="4" w:space="0" w:color="000000"/>
      </w:pBdr>
      <w:shd w:val="clear" w:color="000000" w:fill="FFFFFF"/>
      <w:spacing w:before="100" w:beforeAutospacing="1" w:after="100" w:afterAutospacing="1" w:line="240" w:lineRule="auto"/>
      <w:textAlignment w:val="top"/>
    </w:pPr>
    <w:rPr>
      <w:rFonts w:ascii="Arial" w:hAnsi="Arial" w:cs="Arial"/>
      <w:b/>
      <w:bCs/>
      <w:sz w:val="20"/>
      <w:szCs w:val="20"/>
      <w:lang w:eastAsia="sk-SK"/>
    </w:rPr>
  </w:style>
  <w:style w:type="paragraph" w:customStyle="1" w:styleId="xl709">
    <w:name w:val="xl709"/>
    <w:basedOn w:val="Normlny"/>
    <w:uiPriority w:val="99"/>
    <w:rsid w:val="00647542"/>
    <w:pPr>
      <w:pBdr>
        <w:top w:val="single" w:sz="4" w:space="0" w:color="000000"/>
        <w:right w:val="single" w:sz="4" w:space="0" w:color="000000"/>
      </w:pBdr>
      <w:shd w:val="clear" w:color="000000" w:fill="FFFFFF"/>
      <w:spacing w:before="100" w:beforeAutospacing="1" w:after="100" w:afterAutospacing="1" w:line="240" w:lineRule="auto"/>
      <w:textAlignment w:val="top"/>
    </w:pPr>
    <w:rPr>
      <w:rFonts w:ascii="Arial" w:hAnsi="Arial" w:cs="Arial"/>
      <w:b/>
      <w:bCs/>
      <w:sz w:val="20"/>
      <w:szCs w:val="20"/>
      <w:lang w:eastAsia="sk-SK"/>
    </w:rPr>
  </w:style>
  <w:style w:type="paragraph" w:customStyle="1" w:styleId="xl710">
    <w:name w:val="xl710"/>
    <w:basedOn w:val="Normlny"/>
    <w:uiPriority w:val="99"/>
    <w:rsid w:val="00647542"/>
    <w:pPr>
      <w:pBdr>
        <w:left w:val="single" w:sz="4" w:space="0" w:color="000000"/>
      </w:pBdr>
      <w:shd w:val="clear" w:color="000000" w:fill="FFFFFF"/>
      <w:spacing w:before="100" w:beforeAutospacing="1" w:after="100" w:afterAutospacing="1" w:line="240" w:lineRule="auto"/>
      <w:textAlignment w:val="top"/>
    </w:pPr>
    <w:rPr>
      <w:rFonts w:ascii="Arial" w:hAnsi="Arial" w:cs="Arial"/>
      <w:b/>
      <w:bCs/>
      <w:sz w:val="20"/>
      <w:szCs w:val="20"/>
      <w:lang w:eastAsia="sk-SK"/>
    </w:rPr>
  </w:style>
  <w:style w:type="paragraph" w:customStyle="1" w:styleId="xl711">
    <w:name w:val="xl711"/>
    <w:basedOn w:val="Normlny"/>
    <w:uiPriority w:val="99"/>
    <w:rsid w:val="00647542"/>
    <w:pPr>
      <w:shd w:val="clear" w:color="000000" w:fill="FFFFFF"/>
      <w:spacing w:before="100" w:beforeAutospacing="1" w:after="100" w:afterAutospacing="1" w:line="240" w:lineRule="auto"/>
      <w:textAlignment w:val="top"/>
    </w:pPr>
    <w:rPr>
      <w:rFonts w:ascii="Arial" w:hAnsi="Arial" w:cs="Arial"/>
      <w:b/>
      <w:bCs/>
      <w:sz w:val="20"/>
      <w:szCs w:val="20"/>
      <w:lang w:eastAsia="sk-SK"/>
    </w:rPr>
  </w:style>
  <w:style w:type="paragraph" w:customStyle="1" w:styleId="xl712">
    <w:name w:val="xl712"/>
    <w:basedOn w:val="Normlny"/>
    <w:uiPriority w:val="99"/>
    <w:rsid w:val="00647542"/>
    <w:pPr>
      <w:pBdr>
        <w:right w:val="single" w:sz="4" w:space="0" w:color="000000"/>
      </w:pBdr>
      <w:shd w:val="clear" w:color="000000" w:fill="FFFFFF"/>
      <w:spacing w:before="100" w:beforeAutospacing="1" w:after="100" w:afterAutospacing="1" w:line="240" w:lineRule="auto"/>
      <w:textAlignment w:val="top"/>
    </w:pPr>
    <w:rPr>
      <w:rFonts w:ascii="Arial" w:hAnsi="Arial" w:cs="Arial"/>
      <w:b/>
      <w:bCs/>
      <w:sz w:val="20"/>
      <w:szCs w:val="20"/>
      <w:lang w:eastAsia="sk-SK"/>
    </w:rPr>
  </w:style>
  <w:style w:type="paragraph" w:customStyle="1" w:styleId="xl713">
    <w:name w:val="xl713"/>
    <w:basedOn w:val="Normlny"/>
    <w:uiPriority w:val="99"/>
    <w:rsid w:val="00647542"/>
    <w:pPr>
      <w:spacing w:before="100" w:beforeAutospacing="1" w:after="100" w:afterAutospacing="1" w:line="240" w:lineRule="auto"/>
      <w:textAlignment w:val="top"/>
    </w:pPr>
    <w:rPr>
      <w:rFonts w:ascii="Arial" w:hAnsi="Arial" w:cs="Arial"/>
      <w:sz w:val="20"/>
      <w:szCs w:val="20"/>
      <w:lang w:eastAsia="sk-SK"/>
    </w:rPr>
  </w:style>
  <w:style w:type="paragraph" w:customStyle="1" w:styleId="xl714">
    <w:name w:val="xl714"/>
    <w:basedOn w:val="Normlny"/>
    <w:uiPriority w:val="99"/>
    <w:rsid w:val="00647542"/>
    <w:pPr>
      <w:pBdr>
        <w:right w:val="single" w:sz="4" w:space="0" w:color="000000"/>
      </w:pBdr>
      <w:spacing w:before="100" w:beforeAutospacing="1" w:after="100" w:afterAutospacing="1" w:line="240" w:lineRule="auto"/>
    </w:pPr>
    <w:rPr>
      <w:rFonts w:ascii="Arial" w:hAnsi="Arial" w:cs="Arial"/>
      <w:sz w:val="20"/>
      <w:szCs w:val="20"/>
      <w:lang w:eastAsia="sk-SK"/>
    </w:rPr>
  </w:style>
  <w:style w:type="paragraph" w:customStyle="1" w:styleId="xl715">
    <w:name w:val="xl715"/>
    <w:basedOn w:val="Normlny"/>
    <w:uiPriority w:val="99"/>
    <w:rsid w:val="00647542"/>
    <w:pPr>
      <w:pBdr>
        <w:left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16">
    <w:name w:val="xl716"/>
    <w:basedOn w:val="Normlny"/>
    <w:uiPriority w:val="99"/>
    <w:rsid w:val="00647542"/>
    <w:pPr>
      <w:pBdr>
        <w:right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17">
    <w:name w:val="xl717"/>
    <w:basedOn w:val="Normlny"/>
    <w:uiPriority w:val="99"/>
    <w:rsid w:val="00647542"/>
    <w:pPr>
      <w:pBdr>
        <w:left w:val="single" w:sz="4" w:space="0" w:color="000000"/>
        <w:bottom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18">
    <w:name w:val="xl718"/>
    <w:basedOn w:val="Normlny"/>
    <w:uiPriority w:val="99"/>
    <w:rsid w:val="00647542"/>
    <w:pPr>
      <w:pBdr>
        <w:bottom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19">
    <w:name w:val="xl719"/>
    <w:basedOn w:val="Normlny"/>
    <w:uiPriority w:val="99"/>
    <w:rsid w:val="00647542"/>
    <w:pPr>
      <w:pBdr>
        <w:bottom w:val="single" w:sz="4" w:space="0" w:color="000000"/>
        <w:right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20">
    <w:name w:val="xl720"/>
    <w:basedOn w:val="Normlny"/>
    <w:uiPriority w:val="99"/>
    <w:rsid w:val="00647542"/>
    <w:pPr>
      <w:pBdr>
        <w:bottom w:val="single" w:sz="4" w:space="0" w:color="000000"/>
      </w:pBdr>
      <w:shd w:val="clear" w:color="000000" w:fill="FFFFFF"/>
      <w:spacing w:before="100" w:beforeAutospacing="1" w:after="100" w:afterAutospacing="1" w:line="240" w:lineRule="auto"/>
      <w:textAlignment w:val="top"/>
    </w:pPr>
    <w:rPr>
      <w:rFonts w:ascii="Arial" w:hAnsi="Arial" w:cs="Arial"/>
      <w:b/>
      <w:bCs/>
      <w:sz w:val="20"/>
      <w:szCs w:val="20"/>
      <w:lang w:eastAsia="sk-SK"/>
    </w:rPr>
  </w:style>
  <w:style w:type="paragraph" w:customStyle="1" w:styleId="xl721">
    <w:name w:val="xl721"/>
    <w:basedOn w:val="Normlny"/>
    <w:uiPriority w:val="99"/>
    <w:rsid w:val="00647542"/>
    <w:pPr>
      <w:pBdr>
        <w:left w:val="single" w:sz="4" w:space="0" w:color="000000"/>
        <w:bottom w:val="single" w:sz="4" w:space="0" w:color="000000"/>
      </w:pBdr>
      <w:shd w:val="clear" w:color="000000" w:fill="FFFFFF"/>
      <w:spacing w:before="100" w:beforeAutospacing="1" w:after="100" w:afterAutospacing="1" w:line="240" w:lineRule="auto"/>
      <w:textAlignment w:val="top"/>
    </w:pPr>
    <w:rPr>
      <w:rFonts w:ascii="Arial" w:hAnsi="Arial" w:cs="Arial"/>
      <w:b/>
      <w:bCs/>
      <w:sz w:val="20"/>
      <w:szCs w:val="20"/>
      <w:lang w:eastAsia="sk-SK"/>
    </w:rPr>
  </w:style>
  <w:style w:type="paragraph" w:styleId="Revzia">
    <w:name w:val="Revision"/>
    <w:hidden/>
    <w:uiPriority w:val="99"/>
    <w:semiHidden/>
    <w:rsid w:val="00647542"/>
    <w:pPr>
      <w:spacing w:after="0" w:line="240" w:lineRule="auto"/>
    </w:pPr>
    <w:rPr>
      <w:rFonts w:ascii="Arial Narrow" w:eastAsia="Times New Roman" w:hAnsi="Arial Narrow" w:cs="Times New Roman"/>
      <w:kern w:val="0"/>
      <w:szCs w:val="36"/>
      <w14:ligatures w14:val="none"/>
    </w:rPr>
  </w:style>
  <w:style w:type="paragraph" w:customStyle="1" w:styleId="CharChar1CharCharChar">
    <w:name w:val="Char Char1 Char Char Char"/>
    <w:basedOn w:val="Normlny"/>
    <w:uiPriority w:val="99"/>
    <w:rsid w:val="00647542"/>
    <w:pPr>
      <w:spacing w:after="160" w:line="240" w:lineRule="exact"/>
    </w:pPr>
    <w:rPr>
      <w:rFonts w:ascii="Tahoma" w:hAnsi="Tahoma"/>
      <w:sz w:val="20"/>
      <w:szCs w:val="20"/>
    </w:rPr>
  </w:style>
  <w:style w:type="paragraph" w:styleId="Textvysvetlivky">
    <w:name w:val="endnote text"/>
    <w:basedOn w:val="Normlny"/>
    <w:link w:val="TextvysvetlivkyChar"/>
    <w:uiPriority w:val="99"/>
    <w:semiHidden/>
    <w:unhideWhenUsed/>
    <w:rsid w:val="00647542"/>
    <w:rPr>
      <w:sz w:val="20"/>
      <w:szCs w:val="20"/>
    </w:rPr>
  </w:style>
  <w:style w:type="character" w:customStyle="1" w:styleId="TextvysvetlivkyChar">
    <w:name w:val="Text vysvetlivky Char"/>
    <w:basedOn w:val="Predvolenpsmoodseku"/>
    <w:link w:val="Textvysvetlivky"/>
    <w:uiPriority w:val="99"/>
    <w:semiHidden/>
    <w:rsid w:val="00647542"/>
    <w:rPr>
      <w:rFonts w:ascii="Arial Narrow" w:eastAsia="Times New Roman" w:hAnsi="Arial Narrow" w:cs="Times New Roman"/>
      <w:kern w:val="0"/>
      <w:sz w:val="20"/>
      <w:szCs w:val="20"/>
      <w14:ligatures w14:val="none"/>
    </w:rPr>
  </w:style>
  <w:style w:type="character" w:styleId="Odkaznavysvetlivku">
    <w:name w:val="endnote reference"/>
    <w:basedOn w:val="Predvolenpsmoodseku"/>
    <w:uiPriority w:val="99"/>
    <w:semiHidden/>
    <w:unhideWhenUsed/>
    <w:rsid w:val="00647542"/>
    <w:rPr>
      <w:rFonts w:cs="Times New Roman"/>
      <w:vertAlign w:val="superscript"/>
    </w:rPr>
  </w:style>
  <w:style w:type="paragraph" w:styleId="Bezriadkovania">
    <w:name w:val="No Spacing"/>
    <w:basedOn w:val="Normlny"/>
    <w:uiPriority w:val="1"/>
    <w:qFormat/>
    <w:rsid w:val="00647542"/>
    <w:pPr>
      <w:spacing w:after="0" w:line="240" w:lineRule="auto"/>
    </w:pPr>
    <w:rPr>
      <w:rFonts w:ascii="Calibri" w:eastAsiaTheme="minorHAnsi" w:hAnsi="Calibri"/>
      <w:szCs w:val="22"/>
    </w:rPr>
  </w:style>
  <w:style w:type="character" w:customStyle="1" w:styleId="st1">
    <w:name w:val="st1"/>
    <w:rsid w:val="00647542"/>
  </w:style>
  <w:style w:type="paragraph" w:customStyle="1" w:styleId="pismenka0">
    <w:name w:val="pismenka"/>
    <w:basedOn w:val="Normlny"/>
    <w:uiPriority w:val="99"/>
    <w:rsid w:val="00647542"/>
    <w:pPr>
      <w:spacing w:after="0" w:line="240" w:lineRule="auto"/>
      <w:ind w:left="426" w:hanging="426"/>
      <w:jc w:val="both"/>
    </w:pPr>
    <w:rPr>
      <w:rFonts w:ascii="Times New Roman" w:eastAsia="Calibri" w:hAnsi="Times New Roman"/>
      <w:b/>
      <w:bCs/>
      <w:sz w:val="18"/>
      <w:szCs w:val="18"/>
      <w:lang w:eastAsia="sk-SK"/>
    </w:rPr>
  </w:style>
  <w:style w:type="paragraph" w:customStyle="1" w:styleId="Zarkazkladnhotextu1">
    <w:name w:val="Zarážka základného textu1"/>
    <w:basedOn w:val="Normlny"/>
    <w:link w:val="BodyTextIndentChar"/>
    <w:rsid w:val="00647542"/>
    <w:pPr>
      <w:spacing w:after="120" w:line="240" w:lineRule="auto"/>
      <w:ind w:left="283"/>
    </w:pPr>
    <w:rPr>
      <w:rFonts w:ascii="Courier" w:hAnsi="Courier" w:cs="Courier"/>
      <w:sz w:val="24"/>
      <w:szCs w:val="24"/>
      <w:lang w:eastAsia="cs-CZ"/>
    </w:rPr>
  </w:style>
  <w:style w:type="character" w:customStyle="1" w:styleId="BodyTextIndentChar">
    <w:name w:val="Body Text Indent Char"/>
    <w:link w:val="Zarkazkladnhotextu1"/>
    <w:locked/>
    <w:rsid w:val="00647542"/>
    <w:rPr>
      <w:rFonts w:ascii="Courier" w:eastAsia="Times New Roman" w:hAnsi="Courier" w:cs="Courier"/>
      <w:kern w:val="0"/>
      <w:sz w:val="24"/>
      <w:szCs w:val="24"/>
      <w:lang w:eastAsia="cs-CZ"/>
      <w14:ligatures w14:val="none"/>
    </w:rPr>
  </w:style>
  <w:style w:type="paragraph" w:customStyle="1" w:styleId="msonormal0">
    <w:name w:val="msonormal"/>
    <w:basedOn w:val="Normlny"/>
    <w:rsid w:val="00647542"/>
    <w:pPr>
      <w:spacing w:before="100" w:beforeAutospacing="1" w:after="100" w:afterAutospacing="1" w:line="240" w:lineRule="auto"/>
    </w:pPr>
    <w:rPr>
      <w:rFonts w:ascii="Times New Roman" w:hAnsi="Times New Roman"/>
      <w:sz w:val="24"/>
      <w:szCs w:val="24"/>
      <w:lang w:eastAsia="sk-SK"/>
    </w:rPr>
  </w:style>
  <w:style w:type="paragraph" w:customStyle="1" w:styleId="font5">
    <w:name w:val="font5"/>
    <w:basedOn w:val="Normlny"/>
    <w:rsid w:val="00647542"/>
    <w:pPr>
      <w:spacing w:before="100" w:beforeAutospacing="1" w:after="100" w:afterAutospacing="1" w:line="240" w:lineRule="auto"/>
    </w:pPr>
    <w:rPr>
      <w:rFonts w:ascii="Calibri" w:hAnsi="Calibri" w:cs="Calibri"/>
      <w:sz w:val="28"/>
      <w:szCs w:val="28"/>
      <w:lang w:eastAsia="sk-SK"/>
    </w:rPr>
  </w:style>
  <w:style w:type="paragraph" w:customStyle="1" w:styleId="xl1174">
    <w:name w:val="xl1174"/>
    <w:basedOn w:val="Normlny"/>
    <w:rsid w:val="00647542"/>
    <w:pPr>
      <w:shd w:val="clear" w:color="000000" w:fill="FFFFFF"/>
      <w:spacing w:before="100" w:beforeAutospacing="1" w:after="100" w:afterAutospacing="1" w:line="240" w:lineRule="auto"/>
      <w:textAlignment w:val="center"/>
    </w:pPr>
    <w:rPr>
      <w:rFonts w:ascii="Calibri" w:hAnsi="Calibri" w:cs="Calibri"/>
      <w:sz w:val="28"/>
      <w:szCs w:val="28"/>
      <w:lang w:eastAsia="sk-SK"/>
    </w:rPr>
  </w:style>
  <w:style w:type="paragraph" w:customStyle="1" w:styleId="xl1175">
    <w:name w:val="xl1175"/>
    <w:basedOn w:val="Normlny"/>
    <w:rsid w:val="00647542"/>
    <w:pPr>
      <w:shd w:val="clear" w:color="000000" w:fill="FFFFFF"/>
      <w:spacing w:before="100" w:beforeAutospacing="1" w:after="100" w:afterAutospacing="1" w:line="240" w:lineRule="auto"/>
      <w:textAlignment w:val="center"/>
    </w:pPr>
    <w:rPr>
      <w:rFonts w:ascii="Calibri" w:hAnsi="Calibri" w:cs="Calibri"/>
      <w:b/>
      <w:bCs/>
      <w:sz w:val="28"/>
      <w:szCs w:val="28"/>
      <w:lang w:eastAsia="sk-SK"/>
    </w:rPr>
  </w:style>
  <w:style w:type="paragraph" w:customStyle="1" w:styleId="xl1176">
    <w:name w:val="xl1176"/>
    <w:basedOn w:val="Normlny"/>
    <w:rsid w:val="00647542"/>
    <w:pPr>
      <w:shd w:val="clear" w:color="000000" w:fill="FFFFFF"/>
      <w:spacing w:before="100" w:beforeAutospacing="1" w:after="100" w:afterAutospacing="1" w:line="240" w:lineRule="auto"/>
      <w:jc w:val="center"/>
      <w:textAlignment w:val="center"/>
    </w:pPr>
    <w:rPr>
      <w:rFonts w:ascii="Calibri" w:hAnsi="Calibri" w:cs="Calibri"/>
      <w:b/>
      <w:bCs/>
      <w:sz w:val="24"/>
      <w:szCs w:val="24"/>
      <w:lang w:eastAsia="sk-SK"/>
    </w:rPr>
  </w:style>
  <w:style w:type="paragraph" w:customStyle="1" w:styleId="xl1177">
    <w:name w:val="xl1177"/>
    <w:basedOn w:val="Normlny"/>
    <w:rsid w:val="00647542"/>
    <w:pPr>
      <w:shd w:val="clear" w:color="000000" w:fill="FFFFFF"/>
      <w:spacing w:before="100" w:beforeAutospacing="1" w:after="100" w:afterAutospacing="1" w:line="240" w:lineRule="auto"/>
      <w:jc w:val="center"/>
      <w:textAlignment w:val="center"/>
    </w:pPr>
    <w:rPr>
      <w:rFonts w:ascii="Calibri" w:hAnsi="Calibri" w:cs="Calibri"/>
      <w:b/>
      <w:bCs/>
      <w:sz w:val="16"/>
      <w:szCs w:val="16"/>
      <w:lang w:eastAsia="sk-SK"/>
    </w:rPr>
  </w:style>
  <w:style w:type="paragraph" w:customStyle="1" w:styleId="xl1178">
    <w:name w:val="xl1178"/>
    <w:basedOn w:val="Normlny"/>
    <w:rsid w:val="00647542"/>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alibri" w:hAnsi="Calibri" w:cs="Calibri"/>
      <w:sz w:val="24"/>
      <w:szCs w:val="24"/>
      <w:lang w:eastAsia="sk-SK"/>
    </w:rPr>
  </w:style>
  <w:style w:type="paragraph" w:customStyle="1" w:styleId="xl1179">
    <w:name w:val="xl1179"/>
    <w:basedOn w:val="Normlny"/>
    <w:rsid w:val="00647542"/>
    <w:pPr>
      <w:shd w:val="clear" w:color="000000" w:fill="FFFFFF"/>
      <w:spacing w:before="100" w:beforeAutospacing="1" w:after="100" w:afterAutospacing="1" w:line="240" w:lineRule="auto"/>
    </w:pPr>
    <w:rPr>
      <w:sz w:val="24"/>
      <w:szCs w:val="24"/>
      <w:lang w:eastAsia="sk-SK"/>
    </w:rPr>
  </w:style>
  <w:style w:type="paragraph" w:customStyle="1" w:styleId="xl1180">
    <w:name w:val="xl1180"/>
    <w:basedOn w:val="Normlny"/>
    <w:rsid w:val="00647542"/>
    <w:pPr>
      <w:shd w:val="clear" w:color="000000" w:fill="FFFFFF"/>
      <w:spacing w:before="100" w:beforeAutospacing="1" w:after="100" w:afterAutospacing="1" w:line="240" w:lineRule="auto"/>
      <w:textAlignment w:val="center"/>
    </w:pPr>
    <w:rPr>
      <w:rFonts w:ascii="Calibri" w:hAnsi="Calibri" w:cs="Calibri"/>
      <w:sz w:val="18"/>
      <w:szCs w:val="18"/>
      <w:lang w:eastAsia="sk-SK"/>
    </w:rPr>
  </w:style>
  <w:style w:type="paragraph" w:customStyle="1" w:styleId="xl1181">
    <w:name w:val="xl1181"/>
    <w:basedOn w:val="Normlny"/>
    <w:rsid w:val="00647542"/>
    <w:pP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xl1182">
    <w:name w:val="xl1182"/>
    <w:basedOn w:val="Normlny"/>
    <w:rsid w:val="00647542"/>
    <w:pPr>
      <w:shd w:val="clear" w:color="000000" w:fill="FFFFFF"/>
      <w:spacing w:before="100" w:beforeAutospacing="1" w:after="100" w:afterAutospacing="1" w:line="240" w:lineRule="auto"/>
      <w:jc w:val="right"/>
      <w:textAlignment w:val="center"/>
    </w:pPr>
    <w:rPr>
      <w:rFonts w:ascii="Calibri" w:hAnsi="Calibri" w:cs="Calibri"/>
      <w:sz w:val="24"/>
      <w:szCs w:val="24"/>
      <w:lang w:eastAsia="sk-SK"/>
    </w:rPr>
  </w:style>
  <w:style w:type="paragraph" w:customStyle="1" w:styleId="xl1183">
    <w:name w:val="xl1183"/>
    <w:basedOn w:val="Normlny"/>
    <w:rsid w:val="00647542"/>
    <w:pPr>
      <w:shd w:val="clear" w:color="000000" w:fill="FFFFFF"/>
      <w:spacing w:before="100" w:beforeAutospacing="1" w:after="100" w:afterAutospacing="1" w:line="240" w:lineRule="auto"/>
      <w:jc w:val="right"/>
      <w:textAlignment w:val="center"/>
    </w:pPr>
    <w:rPr>
      <w:rFonts w:ascii="Calibri" w:hAnsi="Calibri" w:cs="Calibri"/>
      <w:b/>
      <w:bCs/>
      <w:sz w:val="24"/>
      <w:szCs w:val="24"/>
      <w:lang w:eastAsia="sk-SK"/>
    </w:rPr>
  </w:style>
  <w:style w:type="paragraph" w:customStyle="1" w:styleId="xl1184">
    <w:name w:val="xl1184"/>
    <w:basedOn w:val="Normlny"/>
    <w:rsid w:val="00647542"/>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alibri" w:hAnsi="Calibri" w:cs="Calibri"/>
      <w:sz w:val="24"/>
      <w:szCs w:val="24"/>
      <w:lang w:eastAsia="sk-SK"/>
    </w:rPr>
  </w:style>
  <w:style w:type="paragraph" w:customStyle="1" w:styleId="xl1185">
    <w:name w:val="xl1185"/>
    <w:basedOn w:val="Normlny"/>
    <w:rsid w:val="00647542"/>
    <w:pPr>
      <w:pBdr>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alibri" w:hAnsi="Calibri" w:cs="Calibri"/>
      <w:sz w:val="24"/>
      <w:szCs w:val="24"/>
      <w:lang w:eastAsia="sk-SK"/>
    </w:rPr>
  </w:style>
  <w:style w:type="paragraph" w:customStyle="1" w:styleId="xl1186">
    <w:name w:val="xl1186"/>
    <w:basedOn w:val="Normlny"/>
    <w:rsid w:val="00647542"/>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alibri" w:hAnsi="Calibri" w:cs="Calibri"/>
      <w:sz w:val="24"/>
      <w:szCs w:val="24"/>
      <w:lang w:eastAsia="sk-SK"/>
    </w:rPr>
  </w:style>
  <w:style w:type="paragraph" w:customStyle="1" w:styleId="xl1187">
    <w:name w:val="xl1187"/>
    <w:basedOn w:val="Normlny"/>
    <w:rsid w:val="00647542"/>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pPr>
    <w:rPr>
      <w:sz w:val="24"/>
      <w:szCs w:val="24"/>
      <w:lang w:eastAsia="sk-SK"/>
    </w:rPr>
  </w:style>
  <w:style w:type="paragraph" w:customStyle="1" w:styleId="xl1188">
    <w:name w:val="xl1188"/>
    <w:basedOn w:val="Normlny"/>
    <w:rsid w:val="00647542"/>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xl1189">
    <w:name w:val="xl1189"/>
    <w:basedOn w:val="Normlny"/>
    <w:rsid w:val="00647542"/>
    <w:pPr>
      <w:pBdr>
        <w:bottom w:val="single" w:sz="8" w:space="0" w:color="000000"/>
        <w:right w:val="single" w:sz="8" w:space="0" w:color="000000"/>
      </w:pBd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xl1190">
    <w:name w:val="xl1190"/>
    <w:basedOn w:val="Normlny"/>
    <w:rsid w:val="00647542"/>
    <w:pPr>
      <w:pBdr>
        <w:right w:val="single" w:sz="8" w:space="0" w:color="000000"/>
      </w:pBdr>
      <w:shd w:val="clear" w:color="000000" w:fill="FFFFFF"/>
      <w:spacing w:before="100" w:beforeAutospacing="1" w:after="100" w:afterAutospacing="1" w:line="240" w:lineRule="auto"/>
    </w:pPr>
    <w:rPr>
      <w:sz w:val="24"/>
      <w:szCs w:val="24"/>
      <w:lang w:eastAsia="sk-SK"/>
    </w:rPr>
  </w:style>
  <w:style w:type="paragraph" w:customStyle="1" w:styleId="xl1191">
    <w:name w:val="xl1191"/>
    <w:basedOn w:val="Normlny"/>
    <w:rsid w:val="00647542"/>
    <w:pPr>
      <w:pBdr>
        <w:bottom w:val="single" w:sz="8" w:space="0" w:color="000000"/>
        <w:right w:val="single" w:sz="8" w:space="0" w:color="000000"/>
      </w:pBdr>
      <w:shd w:val="clear" w:color="000000" w:fill="FFFFFF"/>
      <w:spacing w:before="100" w:beforeAutospacing="1" w:after="100" w:afterAutospacing="1" w:line="240" w:lineRule="auto"/>
    </w:pPr>
    <w:rPr>
      <w:sz w:val="24"/>
      <w:szCs w:val="24"/>
      <w:lang w:eastAsia="sk-SK"/>
    </w:rPr>
  </w:style>
  <w:style w:type="paragraph" w:customStyle="1" w:styleId="xl1192">
    <w:name w:val="xl1192"/>
    <w:basedOn w:val="Normlny"/>
    <w:rsid w:val="00647542"/>
    <w:pPr>
      <w:pBdr>
        <w:top w:val="single" w:sz="8" w:space="0" w:color="000000"/>
      </w:pBdr>
      <w:shd w:val="clear" w:color="000000" w:fill="FFFFFF"/>
      <w:spacing w:before="100" w:beforeAutospacing="1" w:after="100" w:afterAutospacing="1" w:line="240" w:lineRule="auto"/>
      <w:textAlignment w:val="center"/>
    </w:pPr>
    <w:rPr>
      <w:rFonts w:ascii="Calibri" w:hAnsi="Calibri" w:cs="Calibri"/>
      <w:b/>
      <w:bCs/>
      <w:sz w:val="24"/>
      <w:szCs w:val="24"/>
      <w:lang w:eastAsia="sk-SK"/>
    </w:rPr>
  </w:style>
  <w:style w:type="paragraph" w:customStyle="1" w:styleId="xl1193">
    <w:name w:val="xl1193"/>
    <w:basedOn w:val="Normlny"/>
    <w:rsid w:val="00647542"/>
    <w:pPr>
      <w:pBdr>
        <w:top w:val="single" w:sz="8" w:space="0" w:color="000000"/>
        <w:right w:val="single" w:sz="8" w:space="0" w:color="000000"/>
      </w:pBdr>
      <w:shd w:val="clear" w:color="000000" w:fill="FFFFFF"/>
      <w:spacing w:before="100" w:beforeAutospacing="1" w:after="100" w:afterAutospacing="1" w:line="240" w:lineRule="auto"/>
      <w:textAlignment w:val="center"/>
    </w:pPr>
    <w:rPr>
      <w:rFonts w:ascii="Calibri" w:hAnsi="Calibri" w:cs="Calibri"/>
      <w:b/>
      <w:bCs/>
      <w:sz w:val="24"/>
      <w:szCs w:val="24"/>
      <w:lang w:eastAsia="sk-SK"/>
    </w:rPr>
  </w:style>
  <w:style w:type="paragraph" w:customStyle="1" w:styleId="xl1194">
    <w:name w:val="xl1194"/>
    <w:basedOn w:val="Normlny"/>
    <w:rsid w:val="00647542"/>
    <w:pPr>
      <w:shd w:val="clear" w:color="000000" w:fill="FFFFFF"/>
      <w:spacing w:before="100" w:beforeAutospacing="1" w:after="100" w:afterAutospacing="1" w:line="240" w:lineRule="auto"/>
      <w:textAlignment w:val="center"/>
    </w:pPr>
    <w:rPr>
      <w:rFonts w:ascii="Calibri" w:hAnsi="Calibri" w:cs="Calibri"/>
      <w:b/>
      <w:bCs/>
      <w:sz w:val="24"/>
      <w:szCs w:val="24"/>
      <w:lang w:eastAsia="sk-SK"/>
    </w:rPr>
  </w:style>
  <w:style w:type="paragraph" w:customStyle="1" w:styleId="xl1195">
    <w:name w:val="xl1195"/>
    <w:basedOn w:val="Normlny"/>
    <w:rsid w:val="00647542"/>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alibri" w:hAnsi="Calibri" w:cs="Calibri"/>
      <w:sz w:val="24"/>
      <w:szCs w:val="24"/>
      <w:lang w:eastAsia="sk-SK"/>
    </w:rPr>
  </w:style>
  <w:style w:type="paragraph" w:customStyle="1" w:styleId="xl1196">
    <w:name w:val="xl1196"/>
    <w:basedOn w:val="Normlny"/>
    <w:rsid w:val="00647542"/>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alibri" w:hAnsi="Calibri" w:cs="Calibri"/>
      <w:sz w:val="24"/>
      <w:szCs w:val="24"/>
      <w:lang w:eastAsia="sk-SK"/>
    </w:rPr>
  </w:style>
  <w:style w:type="paragraph" w:customStyle="1" w:styleId="xl1197">
    <w:name w:val="xl1197"/>
    <w:basedOn w:val="Normlny"/>
    <w:rsid w:val="00647542"/>
    <w:pPr>
      <w:shd w:val="clear" w:color="000000" w:fill="FFFFFF"/>
      <w:spacing w:before="100" w:beforeAutospacing="1" w:after="100" w:afterAutospacing="1" w:line="240" w:lineRule="auto"/>
      <w:textAlignment w:val="top"/>
    </w:pPr>
    <w:rPr>
      <w:sz w:val="24"/>
      <w:szCs w:val="24"/>
      <w:lang w:eastAsia="sk-SK"/>
    </w:rPr>
  </w:style>
  <w:style w:type="paragraph" w:customStyle="1" w:styleId="xl1198">
    <w:name w:val="xl1198"/>
    <w:basedOn w:val="Normlny"/>
    <w:rsid w:val="00647542"/>
    <w:pPr>
      <w:pBdr>
        <w:right w:val="single" w:sz="8" w:space="0" w:color="000000"/>
      </w:pBdr>
      <w:shd w:val="clear" w:color="000000" w:fill="FFFFFF"/>
      <w:spacing w:before="100" w:beforeAutospacing="1" w:after="100" w:afterAutospacing="1" w:line="240" w:lineRule="auto"/>
      <w:textAlignment w:val="center"/>
    </w:pPr>
    <w:rPr>
      <w:rFonts w:ascii="Calibri" w:hAnsi="Calibri" w:cs="Calibri"/>
      <w:b/>
      <w:bCs/>
      <w:sz w:val="24"/>
      <w:szCs w:val="24"/>
      <w:lang w:eastAsia="sk-SK"/>
    </w:rPr>
  </w:style>
  <w:style w:type="paragraph" w:customStyle="1" w:styleId="xl1199">
    <w:name w:val="xl1199"/>
    <w:basedOn w:val="Normlny"/>
    <w:rsid w:val="00647542"/>
    <w:pPr>
      <w:pBdr>
        <w:bottom w:val="single" w:sz="8" w:space="0" w:color="000000"/>
      </w:pBdr>
      <w:shd w:val="clear" w:color="000000" w:fill="FFFFFF"/>
      <w:spacing w:before="100" w:beforeAutospacing="1" w:after="100" w:afterAutospacing="1" w:line="240" w:lineRule="auto"/>
      <w:textAlignment w:val="center"/>
    </w:pPr>
    <w:rPr>
      <w:rFonts w:ascii="Calibri" w:hAnsi="Calibri" w:cs="Calibri"/>
      <w:b/>
      <w:bCs/>
      <w:sz w:val="24"/>
      <w:szCs w:val="24"/>
      <w:lang w:eastAsia="sk-SK"/>
    </w:rPr>
  </w:style>
  <w:style w:type="paragraph" w:customStyle="1" w:styleId="xl1200">
    <w:name w:val="xl1200"/>
    <w:basedOn w:val="Normlny"/>
    <w:rsid w:val="00647542"/>
    <w:pPr>
      <w:pBdr>
        <w:bottom w:val="single" w:sz="8" w:space="0" w:color="000000"/>
        <w:right w:val="single" w:sz="8" w:space="0" w:color="000000"/>
      </w:pBdr>
      <w:shd w:val="clear" w:color="000000" w:fill="FFFFFF"/>
      <w:spacing w:before="100" w:beforeAutospacing="1" w:after="100" w:afterAutospacing="1" w:line="240" w:lineRule="auto"/>
      <w:textAlignment w:val="center"/>
    </w:pPr>
    <w:rPr>
      <w:rFonts w:ascii="Calibri" w:hAnsi="Calibri" w:cs="Calibri"/>
      <w:b/>
      <w:bCs/>
      <w:sz w:val="24"/>
      <w:szCs w:val="24"/>
      <w:lang w:eastAsia="sk-SK"/>
    </w:rPr>
  </w:style>
  <w:style w:type="paragraph" w:customStyle="1" w:styleId="xl1201">
    <w:name w:val="xl1201"/>
    <w:basedOn w:val="Normlny"/>
    <w:rsid w:val="00647542"/>
    <w:pPr>
      <w:pBdr>
        <w:right w:val="single" w:sz="8" w:space="0" w:color="000000"/>
      </w:pBd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xl1202">
    <w:name w:val="xl1202"/>
    <w:basedOn w:val="Normlny"/>
    <w:rsid w:val="00647542"/>
    <w:pPr>
      <w:shd w:val="clear" w:color="000000" w:fill="FFFFFF"/>
      <w:spacing w:before="100" w:beforeAutospacing="1" w:after="100" w:afterAutospacing="1" w:line="240" w:lineRule="auto"/>
      <w:jc w:val="center"/>
      <w:textAlignment w:val="center"/>
    </w:pPr>
    <w:rPr>
      <w:rFonts w:ascii="Calibri" w:hAnsi="Calibri" w:cs="Calibri"/>
      <w:b/>
      <w:bCs/>
      <w:sz w:val="28"/>
      <w:szCs w:val="28"/>
      <w:lang w:eastAsia="sk-SK"/>
    </w:rPr>
  </w:style>
  <w:style w:type="paragraph" w:customStyle="1" w:styleId="xl1203">
    <w:name w:val="xl1203"/>
    <w:basedOn w:val="Normlny"/>
    <w:rsid w:val="00647542"/>
    <w:pPr>
      <w:shd w:val="clear" w:color="000000" w:fill="FFFFFF"/>
      <w:spacing w:before="100" w:beforeAutospacing="1" w:after="100" w:afterAutospacing="1" w:line="240" w:lineRule="auto"/>
      <w:textAlignment w:val="center"/>
    </w:pPr>
    <w:rPr>
      <w:rFonts w:ascii="Calibri" w:hAnsi="Calibri" w:cs="Calibri"/>
      <w:b/>
      <w:bCs/>
      <w:sz w:val="24"/>
      <w:szCs w:val="24"/>
      <w:lang w:eastAsia="sk-SK"/>
    </w:rPr>
  </w:style>
  <w:style w:type="paragraph" w:customStyle="1" w:styleId="xl1204">
    <w:name w:val="xl1204"/>
    <w:basedOn w:val="Normlny"/>
    <w:rsid w:val="00647542"/>
    <w:pP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xl1205">
    <w:name w:val="xl1205"/>
    <w:basedOn w:val="Normlny"/>
    <w:rsid w:val="00647542"/>
    <w:pPr>
      <w:pBdr>
        <w:top w:val="single" w:sz="8" w:space="0" w:color="000000"/>
      </w:pBd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xl1206">
    <w:name w:val="xl1206"/>
    <w:basedOn w:val="Normlny"/>
    <w:rsid w:val="00647542"/>
    <w:pPr>
      <w:pBdr>
        <w:left w:val="single" w:sz="8" w:space="0" w:color="000000"/>
        <w:bottom w:val="single" w:sz="8" w:space="0" w:color="000000"/>
      </w:pBd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xl1207">
    <w:name w:val="xl1207"/>
    <w:basedOn w:val="Normlny"/>
    <w:rsid w:val="00647542"/>
    <w:pPr>
      <w:pBdr>
        <w:bottom w:val="single" w:sz="8" w:space="0" w:color="000000"/>
      </w:pBd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xl1208">
    <w:name w:val="xl1208"/>
    <w:basedOn w:val="Normlny"/>
    <w:rsid w:val="00647542"/>
    <w:pPr>
      <w:pBdr>
        <w:bottom w:val="single" w:sz="8" w:space="0" w:color="000000"/>
        <w:right w:val="single" w:sz="8" w:space="0" w:color="000000"/>
      </w:pBd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xl1209">
    <w:name w:val="xl1209"/>
    <w:basedOn w:val="Normlny"/>
    <w:rsid w:val="00647542"/>
    <w:pPr>
      <w:pBdr>
        <w:bottom w:val="single" w:sz="8" w:space="0" w:color="000000"/>
      </w:pBd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xl1210">
    <w:name w:val="xl1210"/>
    <w:basedOn w:val="Normlny"/>
    <w:rsid w:val="00647542"/>
    <w:pPr>
      <w:pBdr>
        <w:bottom w:val="single" w:sz="8" w:space="0" w:color="000000"/>
      </w:pBdr>
      <w:shd w:val="clear" w:color="000000" w:fill="FFFFFF"/>
      <w:spacing w:before="100" w:beforeAutospacing="1" w:after="100" w:afterAutospacing="1" w:line="240" w:lineRule="auto"/>
      <w:textAlignment w:val="center"/>
    </w:pPr>
    <w:rPr>
      <w:rFonts w:ascii="Calibri" w:hAnsi="Calibri" w:cs="Calibri"/>
      <w:b/>
      <w:bCs/>
      <w:sz w:val="24"/>
      <w:szCs w:val="24"/>
      <w:lang w:eastAsia="sk-SK"/>
    </w:rPr>
  </w:style>
  <w:style w:type="paragraph" w:customStyle="1" w:styleId="xl1211">
    <w:name w:val="xl1211"/>
    <w:basedOn w:val="Normlny"/>
    <w:rsid w:val="00647542"/>
    <w:pPr>
      <w:shd w:val="clear" w:color="000000" w:fill="FFFFFF"/>
      <w:spacing w:before="100" w:beforeAutospacing="1" w:after="100" w:afterAutospacing="1" w:line="240" w:lineRule="auto"/>
      <w:jc w:val="center"/>
      <w:textAlignment w:val="center"/>
    </w:pPr>
    <w:rPr>
      <w:rFonts w:ascii="Calibri" w:hAnsi="Calibri" w:cs="Calibri"/>
      <w:sz w:val="24"/>
      <w:szCs w:val="24"/>
      <w:lang w:eastAsia="sk-SK"/>
    </w:rPr>
  </w:style>
  <w:style w:type="paragraph" w:customStyle="1" w:styleId="xl1212">
    <w:name w:val="xl1212"/>
    <w:basedOn w:val="Normlny"/>
    <w:rsid w:val="00647542"/>
    <w:pPr>
      <w:shd w:val="clear" w:color="000000" w:fill="FFFFFF"/>
      <w:spacing w:before="100" w:beforeAutospacing="1" w:after="100" w:afterAutospacing="1" w:line="240" w:lineRule="auto"/>
      <w:jc w:val="center"/>
    </w:pPr>
    <w:rPr>
      <w:sz w:val="24"/>
      <w:szCs w:val="24"/>
      <w:lang w:eastAsia="sk-SK"/>
    </w:rPr>
  </w:style>
  <w:style w:type="paragraph" w:customStyle="1" w:styleId="xl1213">
    <w:name w:val="xl1213"/>
    <w:basedOn w:val="Normlny"/>
    <w:rsid w:val="00647542"/>
    <w:pPr>
      <w:pBdr>
        <w:right w:val="single" w:sz="8" w:space="0" w:color="000000"/>
      </w:pBdr>
      <w:shd w:val="clear" w:color="000000" w:fill="FFFFFF"/>
      <w:spacing w:before="100" w:beforeAutospacing="1" w:after="100" w:afterAutospacing="1" w:line="240" w:lineRule="auto"/>
      <w:textAlignment w:val="center"/>
    </w:pPr>
    <w:rPr>
      <w:rFonts w:ascii="Calibri" w:hAnsi="Calibri" w:cs="Calibri"/>
      <w:b/>
      <w:bCs/>
      <w:sz w:val="24"/>
      <w:szCs w:val="24"/>
      <w:lang w:eastAsia="sk-SK"/>
    </w:rPr>
  </w:style>
  <w:style w:type="paragraph" w:customStyle="1" w:styleId="xl1214">
    <w:name w:val="xl1214"/>
    <w:basedOn w:val="Normlny"/>
    <w:rsid w:val="00647542"/>
    <w:pPr>
      <w:pBdr>
        <w:left w:val="single" w:sz="8" w:space="0" w:color="000000"/>
      </w:pBd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xl1215">
    <w:name w:val="xl1215"/>
    <w:basedOn w:val="Normlny"/>
    <w:rsid w:val="00647542"/>
    <w:pPr>
      <w:pBdr>
        <w:right w:val="single" w:sz="8" w:space="0" w:color="000000"/>
      </w:pBd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xl1216">
    <w:name w:val="xl1216"/>
    <w:basedOn w:val="Normlny"/>
    <w:rsid w:val="00647542"/>
    <w:pPr>
      <w:pBdr>
        <w:top w:val="single" w:sz="8" w:space="0" w:color="000000"/>
        <w:left w:val="single" w:sz="8" w:space="0" w:color="000000"/>
      </w:pBd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xl1217">
    <w:name w:val="xl1217"/>
    <w:basedOn w:val="Normlny"/>
    <w:rsid w:val="00647542"/>
    <w:pPr>
      <w:pBdr>
        <w:top w:val="single" w:sz="8" w:space="0" w:color="000000"/>
        <w:right w:val="single" w:sz="8" w:space="0" w:color="000000"/>
      </w:pBd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Char2">
    <w:name w:val="Char2"/>
    <w:basedOn w:val="Normlny"/>
    <w:link w:val="Odkaznapoznmkupodiarou"/>
    <w:uiPriority w:val="99"/>
    <w:rsid w:val="00647542"/>
    <w:pPr>
      <w:spacing w:after="0" w:line="240" w:lineRule="exact"/>
    </w:pPr>
    <w:rPr>
      <w:rFonts w:asciiTheme="minorHAnsi" w:eastAsiaTheme="minorHAnsi" w:hAnsiTheme="minorHAnsi"/>
      <w:kern w:val="2"/>
      <w:szCs w:val="22"/>
      <w:vertAlign w:val="superscript"/>
      <w14:ligatures w14:val="standardContextual"/>
    </w:rPr>
  </w:style>
  <w:style w:type="character" w:customStyle="1" w:styleId="OdsekzoznamuChar">
    <w:name w:val="Odsek zoznamu Char"/>
    <w:link w:val="Odsekzoznamu"/>
    <w:uiPriority w:val="34"/>
    <w:locked/>
    <w:rsid w:val="00647542"/>
    <w:rPr>
      <w:lang w:val="en-US"/>
    </w:rPr>
  </w:style>
  <w:style w:type="character" w:customStyle="1" w:styleId="odstavecChar">
    <w:name w:val="odstavec Char"/>
    <w:basedOn w:val="Predvolenpsmoodseku"/>
    <w:link w:val="odstavec"/>
    <w:uiPriority w:val="99"/>
    <w:locked/>
    <w:rsid w:val="00647542"/>
    <w:rPr>
      <w:rFonts w:ascii="Times New Roman" w:eastAsia="Times New Roman" w:hAnsi="Times New Roman" w:cs="Times New Roman"/>
      <w:kern w:val="0"/>
      <w:sz w:val="20"/>
      <w:szCs w:val="24"/>
      <w:lang w:eastAsia="sk-SK"/>
      <w14:ligatures w14:val="none"/>
    </w:rPr>
  </w:style>
  <w:style w:type="character" w:styleId="Zvraznenie">
    <w:name w:val="Emphasis"/>
    <w:basedOn w:val="Predvolenpsmoodseku"/>
    <w:uiPriority w:val="20"/>
    <w:qFormat/>
    <w:rsid w:val="00647542"/>
    <w:rPr>
      <w:i/>
      <w:iCs/>
    </w:rPr>
  </w:style>
  <w:style w:type="character" w:customStyle="1" w:styleId="ui-provider">
    <w:name w:val="ui-provider"/>
    <w:basedOn w:val="Predvolenpsmoodseku"/>
    <w:rsid w:val="00647542"/>
  </w:style>
  <w:style w:type="character" w:customStyle="1" w:styleId="Nevyrieenzmienka1">
    <w:name w:val="Nevyriešená zmienka1"/>
    <w:basedOn w:val="Predvolenpsmoodseku"/>
    <w:uiPriority w:val="99"/>
    <w:semiHidden/>
    <w:unhideWhenUsed/>
    <w:rsid w:val="00647542"/>
    <w:rPr>
      <w:color w:val="605E5C"/>
      <w:shd w:val="clear" w:color="auto" w:fill="E1DFDD"/>
    </w:rPr>
  </w:style>
  <w:style w:type="paragraph" w:styleId="Popis">
    <w:name w:val="caption"/>
    <w:basedOn w:val="Normlny"/>
    <w:next w:val="Normlny"/>
    <w:unhideWhenUsed/>
    <w:qFormat/>
    <w:rsid w:val="00647542"/>
    <w:pPr>
      <w:spacing w:after="120" w:line="240" w:lineRule="auto"/>
    </w:pPr>
    <w:rPr>
      <w:rFonts w:ascii="Times New Roman" w:hAnsi="Times New Roman"/>
      <w:b/>
      <w:iCs/>
      <w:sz w:val="18"/>
      <w:szCs w:val="18"/>
    </w:rPr>
  </w:style>
  <w:style w:type="paragraph" w:styleId="Zoznamobrzkov">
    <w:name w:val="table of figures"/>
    <w:basedOn w:val="Normlny"/>
    <w:next w:val="Normlny"/>
    <w:uiPriority w:val="99"/>
    <w:unhideWhenUsed/>
    <w:rsid w:val="00647542"/>
    <w:pPr>
      <w:spacing w:after="0"/>
    </w:pPr>
  </w:style>
  <w:style w:type="character" w:styleId="Zmienka">
    <w:name w:val="Mention"/>
    <w:basedOn w:val="Predvolenpsmoodseku"/>
    <w:uiPriority w:val="99"/>
    <w:unhideWhenUsed/>
    <w:rsid w:val="003A045A"/>
    <w:rPr>
      <w:color w:val="2B579A"/>
      <w:shd w:val="clear" w:color="auto" w:fill="E1DFDD"/>
    </w:rPr>
  </w:style>
  <w:style w:type="character" w:customStyle="1" w:styleId="font121">
    <w:name w:val="font121"/>
    <w:basedOn w:val="Predvolenpsmoodseku"/>
    <w:rsid w:val="006F4E95"/>
    <w:rPr>
      <w:rFonts w:ascii="Times New Roman" w:hAnsi="Times New Roman" w:cs="Times New Roman" w:hint="default"/>
      <w:b/>
      <w:bCs/>
      <w:i w:val="0"/>
      <w:iCs w:val="0"/>
      <w:strike w:val="0"/>
      <w:dstrike w:val="0"/>
      <w:color w:val="000000"/>
      <w:sz w:val="18"/>
      <w:szCs w:val="18"/>
      <w:u w:val="none"/>
      <w:effect w:val="none"/>
    </w:rPr>
  </w:style>
  <w:style w:type="character" w:styleId="Nevyrieenzmienka">
    <w:name w:val="Unresolved Mention"/>
    <w:basedOn w:val="Predvolenpsmoodseku"/>
    <w:uiPriority w:val="99"/>
    <w:semiHidden/>
    <w:unhideWhenUsed/>
    <w:rsid w:val="00C41C26"/>
    <w:rPr>
      <w:color w:val="605E5C"/>
      <w:shd w:val="clear" w:color="auto" w:fill="E1DFDD"/>
    </w:rPr>
  </w:style>
  <w:style w:type="paragraph" w:customStyle="1" w:styleId="Druhy">
    <w:name w:val="Druhy"/>
    <w:basedOn w:val="Normlny"/>
    <w:link w:val="DruhyChar"/>
    <w:autoRedefine/>
    <w:rsid w:val="003647A1"/>
    <w:pPr>
      <w:spacing w:line="240" w:lineRule="auto"/>
    </w:pPr>
    <w:rPr>
      <w:rFonts w:ascii="Times New Roman" w:hAnsi="Times New Roman"/>
      <w:b/>
      <w:sz w:val="24"/>
      <w:szCs w:val="24"/>
    </w:rPr>
  </w:style>
  <w:style w:type="character" w:customStyle="1" w:styleId="DruhyChar">
    <w:name w:val="Druhy Char"/>
    <w:basedOn w:val="Predvolenpsmoodseku"/>
    <w:link w:val="Druhy"/>
    <w:rsid w:val="003647A1"/>
    <w:rPr>
      <w:rFonts w:ascii="Times New Roman" w:eastAsia="Times New Roman" w:hAnsi="Times New Roman" w:cs="Times New Roman"/>
      <w:b/>
      <w:kern w:val="0"/>
      <w:sz w:val="24"/>
      <w:szCs w:val="24"/>
      <w14:ligatures w14:val="none"/>
    </w:rPr>
  </w:style>
  <w:style w:type="paragraph" w:customStyle="1" w:styleId="IHLAVN">
    <w:name w:val="I. HLAVNÝ"/>
    <w:basedOn w:val="Nadpis1"/>
    <w:link w:val="IHLAVNChar"/>
    <w:autoRedefine/>
    <w:qFormat/>
    <w:rsid w:val="0026208F"/>
    <w:pPr>
      <w:spacing w:line="360" w:lineRule="auto"/>
      <w:jc w:val="both"/>
    </w:pPr>
    <w:rPr>
      <w:rFonts w:ascii="Times New Roman" w:hAnsi="Times New Roman" w:cs="Times New Roman"/>
      <w:b/>
      <w:bCs/>
      <w:caps/>
      <w:color w:val="000000" w:themeColor="text1"/>
      <w:sz w:val="28"/>
      <w:szCs w:val="24"/>
      <w:lang w:val="en-US"/>
    </w:rPr>
  </w:style>
  <w:style w:type="character" w:customStyle="1" w:styleId="IHLAVNChar">
    <w:name w:val="I. HLAVNÝ Char"/>
    <w:basedOn w:val="Nadpis1Char"/>
    <w:link w:val="IHLAVN"/>
    <w:rsid w:val="0026208F"/>
    <w:rPr>
      <w:rFonts w:ascii="Times New Roman" w:eastAsiaTheme="majorEastAsia" w:hAnsi="Times New Roman" w:cs="Times New Roman"/>
      <w:b/>
      <w:bCs/>
      <w:caps/>
      <w:color w:val="000000" w:themeColor="text1"/>
      <w:kern w:val="0"/>
      <w:sz w:val="28"/>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6350">
      <w:bodyDiv w:val="1"/>
      <w:marLeft w:val="0"/>
      <w:marRight w:val="0"/>
      <w:marTop w:val="0"/>
      <w:marBottom w:val="0"/>
      <w:divBdr>
        <w:top w:val="none" w:sz="0" w:space="0" w:color="auto"/>
        <w:left w:val="none" w:sz="0" w:space="0" w:color="auto"/>
        <w:bottom w:val="none" w:sz="0" w:space="0" w:color="auto"/>
        <w:right w:val="none" w:sz="0" w:space="0" w:color="auto"/>
      </w:divBdr>
    </w:div>
    <w:div w:id="68159368">
      <w:bodyDiv w:val="1"/>
      <w:marLeft w:val="0"/>
      <w:marRight w:val="0"/>
      <w:marTop w:val="0"/>
      <w:marBottom w:val="0"/>
      <w:divBdr>
        <w:top w:val="none" w:sz="0" w:space="0" w:color="auto"/>
        <w:left w:val="none" w:sz="0" w:space="0" w:color="auto"/>
        <w:bottom w:val="none" w:sz="0" w:space="0" w:color="auto"/>
        <w:right w:val="none" w:sz="0" w:space="0" w:color="auto"/>
      </w:divBdr>
    </w:div>
    <w:div w:id="72748648">
      <w:bodyDiv w:val="1"/>
      <w:marLeft w:val="0"/>
      <w:marRight w:val="0"/>
      <w:marTop w:val="0"/>
      <w:marBottom w:val="0"/>
      <w:divBdr>
        <w:top w:val="none" w:sz="0" w:space="0" w:color="auto"/>
        <w:left w:val="none" w:sz="0" w:space="0" w:color="auto"/>
        <w:bottom w:val="none" w:sz="0" w:space="0" w:color="auto"/>
        <w:right w:val="none" w:sz="0" w:space="0" w:color="auto"/>
      </w:divBdr>
    </w:div>
    <w:div w:id="93286013">
      <w:bodyDiv w:val="1"/>
      <w:marLeft w:val="0"/>
      <w:marRight w:val="0"/>
      <w:marTop w:val="0"/>
      <w:marBottom w:val="0"/>
      <w:divBdr>
        <w:top w:val="none" w:sz="0" w:space="0" w:color="auto"/>
        <w:left w:val="none" w:sz="0" w:space="0" w:color="auto"/>
        <w:bottom w:val="none" w:sz="0" w:space="0" w:color="auto"/>
        <w:right w:val="none" w:sz="0" w:space="0" w:color="auto"/>
      </w:divBdr>
    </w:div>
    <w:div w:id="100347567">
      <w:bodyDiv w:val="1"/>
      <w:marLeft w:val="0"/>
      <w:marRight w:val="0"/>
      <w:marTop w:val="0"/>
      <w:marBottom w:val="0"/>
      <w:divBdr>
        <w:top w:val="none" w:sz="0" w:space="0" w:color="auto"/>
        <w:left w:val="none" w:sz="0" w:space="0" w:color="auto"/>
        <w:bottom w:val="none" w:sz="0" w:space="0" w:color="auto"/>
        <w:right w:val="none" w:sz="0" w:space="0" w:color="auto"/>
      </w:divBdr>
    </w:div>
    <w:div w:id="106893197">
      <w:bodyDiv w:val="1"/>
      <w:marLeft w:val="0"/>
      <w:marRight w:val="0"/>
      <w:marTop w:val="0"/>
      <w:marBottom w:val="0"/>
      <w:divBdr>
        <w:top w:val="none" w:sz="0" w:space="0" w:color="auto"/>
        <w:left w:val="none" w:sz="0" w:space="0" w:color="auto"/>
        <w:bottom w:val="none" w:sz="0" w:space="0" w:color="auto"/>
        <w:right w:val="none" w:sz="0" w:space="0" w:color="auto"/>
      </w:divBdr>
    </w:div>
    <w:div w:id="114060256">
      <w:bodyDiv w:val="1"/>
      <w:marLeft w:val="0"/>
      <w:marRight w:val="0"/>
      <w:marTop w:val="0"/>
      <w:marBottom w:val="0"/>
      <w:divBdr>
        <w:top w:val="none" w:sz="0" w:space="0" w:color="auto"/>
        <w:left w:val="none" w:sz="0" w:space="0" w:color="auto"/>
        <w:bottom w:val="none" w:sz="0" w:space="0" w:color="auto"/>
        <w:right w:val="none" w:sz="0" w:space="0" w:color="auto"/>
      </w:divBdr>
    </w:div>
    <w:div w:id="130221043">
      <w:bodyDiv w:val="1"/>
      <w:marLeft w:val="0"/>
      <w:marRight w:val="0"/>
      <w:marTop w:val="0"/>
      <w:marBottom w:val="0"/>
      <w:divBdr>
        <w:top w:val="none" w:sz="0" w:space="0" w:color="auto"/>
        <w:left w:val="none" w:sz="0" w:space="0" w:color="auto"/>
        <w:bottom w:val="none" w:sz="0" w:space="0" w:color="auto"/>
        <w:right w:val="none" w:sz="0" w:space="0" w:color="auto"/>
      </w:divBdr>
    </w:div>
    <w:div w:id="161093029">
      <w:bodyDiv w:val="1"/>
      <w:marLeft w:val="0"/>
      <w:marRight w:val="0"/>
      <w:marTop w:val="0"/>
      <w:marBottom w:val="0"/>
      <w:divBdr>
        <w:top w:val="none" w:sz="0" w:space="0" w:color="auto"/>
        <w:left w:val="none" w:sz="0" w:space="0" w:color="auto"/>
        <w:bottom w:val="none" w:sz="0" w:space="0" w:color="auto"/>
        <w:right w:val="none" w:sz="0" w:space="0" w:color="auto"/>
      </w:divBdr>
    </w:div>
    <w:div w:id="164129698">
      <w:bodyDiv w:val="1"/>
      <w:marLeft w:val="0"/>
      <w:marRight w:val="0"/>
      <w:marTop w:val="0"/>
      <w:marBottom w:val="0"/>
      <w:divBdr>
        <w:top w:val="none" w:sz="0" w:space="0" w:color="auto"/>
        <w:left w:val="none" w:sz="0" w:space="0" w:color="auto"/>
        <w:bottom w:val="none" w:sz="0" w:space="0" w:color="auto"/>
        <w:right w:val="none" w:sz="0" w:space="0" w:color="auto"/>
      </w:divBdr>
    </w:div>
    <w:div w:id="198593214">
      <w:bodyDiv w:val="1"/>
      <w:marLeft w:val="0"/>
      <w:marRight w:val="0"/>
      <w:marTop w:val="0"/>
      <w:marBottom w:val="0"/>
      <w:divBdr>
        <w:top w:val="none" w:sz="0" w:space="0" w:color="auto"/>
        <w:left w:val="none" w:sz="0" w:space="0" w:color="auto"/>
        <w:bottom w:val="none" w:sz="0" w:space="0" w:color="auto"/>
        <w:right w:val="none" w:sz="0" w:space="0" w:color="auto"/>
      </w:divBdr>
    </w:div>
    <w:div w:id="227108339">
      <w:bodyDiv w:val="1"/>
      <w:marLeft w:val="0"/>
      <w:marRight w:val="0"/>
      <w:marTop w:val="0"/>
      <w:marBottom w:val="0"/>
      <w:divBdr>
        <w:top w:val="none" w:sz="0" w:space="0" w:color="auto"/>
        <w:left w:val="none" w:sz="0" w:space="0" w:color="auto"/>
        <w:bottom w:val="none" w:sz="0" w:space="0" w:color="auto"/>
        <w:right w:val="none" w:sz="0" w:space="0" w:color="auto"/>
      </w:divBdr>
    </w:div>
    <w:div w:id="227421172">
      <w:bodyDiv w:val="1"/>
      <w:marLeft w:val="0"/>
      <w:marRight w:val="0"/>
      <w:marTop w:val="0"/>
      <w:marBottom w:val="0"/>
      <w:divBdr>
        <w:top w:val="none" w:sz="0" w:space="0" w:color="auto"/>
        <w:left w:val="none" w:sz="0" w:space="0" w:color="auto"/>
        <w:bottom w:val="none" w:sz="0" w:space="0" w:color="auto"/>
        <w:right w:val="none" w:sz="0" w:space="0" w:color="auto"/>
      </w:divBdr>
    </w:div>
    <w:div w:id="233853146">
      <w:bodyDiv w:val="1"/>
      <w:marLeft w:val="0"/>
      <w:marRight w:val="0"/>
      <w:marTop w:val="0"/>
      <w:marBottom w:val="0"/>
      <w:divBdr>
        <w:top w:val="none" w:sz="0" w:space="0" w:color="auto"/>
        <w:left w:val="none" w:sz="0" w:space="0" w:color="auto"/>
        <w:bottom w:val="none" w:sz="0" w:space="0" w:color="auto"/>
        <w:right w:val="none" w:sz="0" w:space="0" w:color="auto"/>
      </w:divBdr>
    </w:div>
    <w:div w:id="241912960">
      <w:bodyDiv w:val="1"/>
      <w:marLeft w:val="0"/>
      <w:marRight w:val="0"/>
      <w:marTop w:val="0"/>
      <w:marBottom w:val="0"/>
      <w:divBdr>
        <w:top w:val="none" w:sz="0" w:space="0" w:color="auto"/>
        <w:left w:val="none" w:sz="0" w:space="0" w:color="auto"/>
        <w:bottom w:val="none" w:sz="0" w:space="0" w:color="auto"/>
        <w:right w:val="none" w:sz="0" w:space="0" w:color="auto"/>
      </w:divBdr>
    </w:div>
    <w:div w:id="247345909">
      <w:bodyDiv w:val="1"/>
      <w:marLeft w:val="0"/>
      <w:marRight w:val="0"/>
      <w:marTop w:val="0"/>
      <w:marBottom w:val="0"/>
      <w:divBdr>
        <w:top w:val="none" w:sz="0" w:space="0" w:color="auto"/>
        <w:left w:val="none" w:sz="0" w:space="0" w:color="auto"/>
        <w:bottom w:val="none" w:sz="0" w:space="0" w:color="auto"/>
        <w:right w:val="none" w:sz="0" w:space="0" w:color="auto"/>
      </w:divBdr>
    </w:div>
    <w:div w:id="281614750">
      <w:bodyDiv w:val="1"/>
      <w:marLeft w:val="0"/>
      <w:marRight w:val="0"/>
      <w:marTop w:val="0"/>
      <w:marBottom w:val="0"/>
      <w:divBdr>
        <w:top w:val="none" w:sz="0" w:space="0" w:color="auto"/>
        <w:left w:val="none" w:sz="0" w:space="0" w:color="auto"/>
        <w:bottom w:val="none" w:sz="0" w:space="0" w:color="auto"/>
        <w:right w:val="none" w:sz="0" w:space="0" w:color="auto"/>
      </w:divBdr>
    </w:div>
    <w:div w:id="289866297">
      <w:bodyDiv w:val="1"/>
      <w:marLeft w:val="0"/>
      <w:marRight w:val="0"/>
      <w:marTop w:val="0"/>
      <w:marBottom w:val="0"/>
      <w:divBdr>
        <w:top w:val="none" w:sz="0" w:space="0" w:color="auto"/>
        <w:left w:val="none" w:sz="0" w:space="0" w:color="auto"/>
        <w:bottom w:val="none" w:sz="0" w:space="0" w:color="auto"/>
        <w:right w:val="none" w:sz="0" w:space="0" w:color="auto"/>
      </w:divBdr>
    </w:div>
    <w:div w:id="300503872">
      <w:bodyDiv w:val="1"/>
      <w:marLeft w:val="0"/>
      <w:marRight w:val="0"/>
      <w:marTop w:val="0"/>
      <w:marBottom w:val="0"/>
      <w:divBdr>
        <w:top w:val="none" w:sz="0" w:space="0" w:color="auto"/>
        <w:left w:val="none" w:sz="0" w:space="0" w:color="auto"/>
        <w:bottom w:val="none" w:sz="0" w:space="0" w:color="auto"/>
        <w:right w:val="none" w:sz="0" w:space="0" w:color="auto"/>
      </w:divBdr>
    </w:div>
    <w:div w:id="301349190">
      <w:bodyDiv w:val="1"/>
      <w:marLeft w:val="0"/>
      <w:marRight w:val="0"/>
      <w:marTop w:val="0"/>
      <w:marBottom w:val="0"/>
      <w:divBdr>
        <w:top w:val="none" w:sz="0" w:space="0" w:color="auto"/>
        <w:left w:val="none" w:sz="0" w:space="0" w:color="auto"/>
        <w:bottom w:val="none" w:sz="0" w:space="0" w:color="auto"/>
        <w:right w:val="none" w:sz="0" w:space="0" w:color="auto"/>
      </w:divBdr>
    </w:div>
    <w:div w:id="320937463">
      <w:bodyDiv w:val="1"/>
      <w:marLeft w:val="0"/>
      <w:marRight w:val="0"/>
      <w:marTop w:val="0"/>
      <w:marBottom w:val="0"/>
      <w:divBdr>
        <w:top w:val="none" w:sz="0" w:space="0" w:color="auto"/>
        <w:left w:val="none" w:sz="0" w:space="0" w:color="auto"/>
        <w:bottom w:val="none" w:sz="0" w:space="0" w:color="auto"/>
        <w:right w:val="none" w:sz="0" w:space="0" w:color="auto"/>
      </w:divBdr>
    </w:div>
    <w:div w:id="329674114">
      <w:bodyDiv w:val="1"/>
      <w:marLeft w:val="0"/>
      <w:marRight w:val="0"/>
      <w:marTop w:val="0"/>
      <w:marBottom w:val="0"/>
      <w:divBdr>
        <w:top w:val="none" w:sz="0" w:space="0" w:color="auto"/>
        <w:left w:val="none" w:sz="0" w:space="0" w:color="auto"/>
        <w:bottom w:val="none" w:sz="0" w:space="0" w:color="auto"/>
        <w:right w:val="none" w:sz="0" w:space="0" w:color="auto"/>
      </w:divBdr>
    </w:div>
    <w:div w:id="330523448">
      <w:bodyDiv w:val="1"/>
      <w:marLeft w:val="0"/>
      <w:marRight w:val="0"/>
      <w:marTop w:val="0"/>
      <w:marBottom w:val="0"/>
      <w:divBdr>
        <w:top w:val="none" w:sz="0" w:space="0" w:color="auto"/>
        <w:left w:val="none" w:sz="0" w:space="0" w:color="auto"/>
        <w:bottom w:val="none" w:sz="0" w:space="0" w:color="auto"/>
        <w:right w:val="none" w:sz="0" w:space="0" w:color="auto"/>
      </w:divBdr>
    </w:div>
    <w:div w:id="337004657">
      <w:bodyDiv w:val="1"/>
      <w:marLeft w:val="0"/>
      <w:marRight w:val="0"/>
      <w:marTop w:val="0"/>
      <w:marBottom w:val="0"/>
      <w:divBdr>
        <w:top w:val="none" w:sz="0" w:space="0" w:color="auto"/>
        <w:left w:val="none" w:sz="0" w:space="0" w:color="auto"/>
        <w:bottom w:val="none" w:sz="0" w:space="0" w:color="auto"/>
        <w:right w:val="none" w:sz="0" w:space="0" w:color="auto"/>
      </w:divBdr>
    </w:div>
    <w:div w:id="345252853">
      <w:bodyDiv w:val="1"/>
      <w:marLeft w:val="0"/>
      <w:marRight w:val="0"/>
      <w:marTop w:val="0"/>
      <w:marBottom w:val="0"/>
      <w:divBdr>
        <w:top w:val="none" w:sz="0" w:space="0" w:color="auto"/>
        <w:left w:val="none" w:sz="0" w:space="0" w:color="auto"/>
        <w:bottom w:val="none" w:sz="0" w:space="0" w:color="auto"/>
        <w:right w:val="none" w:sz="0" w:space="0" w:color="auto"/>
      </w:divBdr>
    </w:div>
    <w:div w:id="382481311">
      <w:bodyDiv w:val="1"/>
      <w:marLeft w:val="0"/>
      <w:marRight w:val="0"/>
      <w:marTop w:val="0"/>
      <w:marBottom w:val="0"/>
      <w:divBdr>
        <w:top w:val="none" w:sz="0" w:space="0" w:color="auto"/>
        <w:left w:val="none" w:sz="0" w:space="0" w:color="auto"/>
        <w:bottom w:val="none" w:sz="0" w:space="0" w:color="auto"/>
        <w:right w:val="none" w:sz="0" w:space="0" w:color="auto"/>
      </w:divBdr>
    </w:div>
    <w:div w:id="404837320">
      <w:bodyDiv w:val="1"/>
      <w:marLeft w:val="0"/>
      <w:marRight w:val="0"/>
      <w:marTop w:val="0"/>
      <w:marBottom w:val="0"/>
      <w:divBdr>
        <w:top w:val="none" w:sz="0" w:space="0" w:color="auto"/>
        <w:left w:val="none" w:sz="0" w:space="0" w:color="auto"/>
        <w:bottom w:val="none" w:sz="0" w:space="0" w:color="auto"/>
        <w:right w:val="none" w:sz="0" w:space="0" w:color="auto"/>
      </w:divBdr>
    </w:div>
    <w:div w:id="446126897">
      <w:bodyDiv w:val="1"/>
      <w:marLeft w:val="0"/>
      <w:marRight w:val="0"/>
      <w:marTop w:val="0"/>
      <w:marBottom w:val="0"/>
      <w:divBdr>
        <w:top w:val="none" w:sz="0" w:space="0" w:color="auto"/>
        <w:left w:val="none" w:sz="0" w:space="0" w:color="auto"/>
        <w:bottom w:val="none" w:sz="0" w:space="0" w:color="auto"/>
        <w:right w:val="none" w:sz="0" w:space="0" w:color="auto"/>
      </w:divBdr>
    </w:div>
    <w:div w:id="463038897">
      <w:bodyDiv w:val="1"/>
      <w:marLeft w:val="0"/>
      <w:marRight w:val="0"/>
      <w:marTop w:val="0"/>
      <w:marBottom w:val="0"/>
      <w:divBdr>
        <w:top w:val="none" w:sz="0" w:space="0" w:color="auto"/>
        <w:left w:val="none" w:sz="0" w:space="0" w:color="auto"/>
        <w:bottom w:val="none" w:sz="0" w:space="0" w:color="auto"/>
        <w:right w:val="none" w:sz="0" w:space="0" w:color="auto"/>
      </w:divBdr>
    </w:div>
    <w:div w:id="463622958">
      <w:bodyDiv w:val="1"/>
      <w:marLeft w:val="0"/>
      <w:marRight w:val="0"/>
      <w:marTop w:val="0"/>
      <w:marBottom w:val="0"/>
      <w:divBdr>
        <w:top w:val="none" w:sz="0" w:space="0" w:color="auto"/>
        <w:left w:val="none" w:sz="0" w:space="0" w:color="auto"/>
        <w:bottom w:val="none" w:sz="0" w:space="0" w:color="auto"/>
        <w:right w:val="none" w:sz="0" w:space="0" w:color="auto"/>
      </w:divBdr>
    </w:div>
    <w:div w:id="464085145">
      <w:bodyDiv w:val="1"/>
      <w:marLeft w:val="0"/>
      <w:marRight w:val="0"/>
      <w:marTop w:val="0"/>
      <w:marBottom w:val="0"/>
      <w:divBdr>
        <w:top w:val="none" w:sz="0" w:space="0" w:color="auto"/>
        <w:left w:val="none" w:sz="0" w:space="0" w:color="auto"/>
        <w:bottom w:val="none" w:sz="0" w:space="0" w:color="auto"/>
        <w:right w:val="none" w:sz="0" w:space="0" w:color="auto"/>
      </w:divBdr>
    </w:div>
    <w:div w:id="490020467">
      <w:bodyDiv w:val="1"/>
      <w:marLeft w:val="0"/>
      <w:marRight w:val="0"/>
      <w:marTop w:val="0"/>
      <w:marBottom w:val="0"/>
      <w:divBdr>
        <w:top w:val="none" w:sz="0" w:space="0" w:color="auto"/>
        <w:left w:val="none" w:sz="0" w:space="0" w:color="auto"/>
        <w:bottom w:val="none" w:sz="0" w:space="0" w:color="auto"/>
        <w:right w:val="none" w:sz="0" w:space="0" w:color="auto"/>
      </w:divBdr>
    </w:div>
    <w:div w:id="492378188">
      <w:bodyDiv w:val="1"/>
      <w:marLeft w:val="0"/>
      <w:marRight w:val="0"/>
      <w:marTop w:val="0"/>
      <w:marBottom w:val="0"/>
      <w:divBdr>
        <w:top w:val="none" w:sz="0" w:space="0" w:color="auto"/>
        <w:left w:val="none" w:sz="0" w:space="0" w:color="auto"/>
        <w:bottom w:val="none" w:sz="0" w:space="0" w:color="auto"/>
        <w:right w:val="none" w:sz="0" w:space="0" w:color="auto"/>
      </w:divBdr>
    </w:div>
    <w:div w:id="496728336">
      <w:bodyDiv w:val="1"/>
      <w:marLeft w:val="0"/>
      <w:marRight w:val="0"/>
      <w:marTop w:val="0"/>
      <w:marBottom w:val="0"/>
      <w:divBdr>
        <w:top w:val="none" w:sz="0" w:space="0" w:color="auto"/>
        <w:left w:val="none" w:sz="0" w:space="0" w:color="auto"/>
        <w:bottom w:val="none" w:sz="0" w:space="0" w:color="auto"/>
        <w:right w:val="none" w:sz="0" w:space="0" w:color="auto"/>
      </w:divBdr>
    </w:div>
    <w:div w:id="497353832">
      <w:bodyDiv w:val="1"/>
      <w:marLeft w:val="0"/>
      <w:marRight w:val="0"/>
      <w:marTop w:val="0"/>
      <w:marBottom w:val="0"/>
      <w:divBdr>
        <w:top w:val="none" w:sz="0" w:space="0" w:color="auto"/>
        <w:left w:val="none" w:sz="0" w:space="0" w:color="auto"/>
        <w:bottom w:val="none" w:sz="0" w:space="0" w:color="auto"/>
        <w:right w:val="none" w:sz="0" w:space="0" w:color="auto"/>
      </w:divBdr>
    </w:div>
    <w:div w:id="524712231">
      <w:bodyDiv w:val="1"/>
      <w:marLeft w:val="0"/>
      <w:marRight w:val="0"/>
      <w:marTop w:val="0"/>
      <w:marBottom w:val="0"/>
      <w:divBdr>
        <w:top w:val="none" w:sz="0" w:space="0" w:color="auto"/>
        <w:left w:val="none" w:sz="0" w:space="0" w:color="auto"/>
        <w:bottom w:val="none" w:sz="0" w:space="0" w:color="auto"/>
        <w:right w:val="none" w:sz="0" w:space="0" w:color="auto"/>
      </w:divBdr>
    </w:div>
    <w:div w:id="536240469">
      <w:bodyDiv w:val="1"/>
      <w:marLeft w:val="0"/>
      <w:marRight w:val="0"/>
      <w:marTop w:val="0"/>
      <w:marBottom w:val="0"/>
      <w:divBdr>
        <w:top w:val="none" w:sz="0" w:space="0" w:color="auto"/>
        <w:left w:val="none" w:sz="0" w:space="0" w:color="auto"/>
        <w:bottom w:val="none" w:sz="0" w:space="0" w:color="auto"/>
        <w:right w:val="none" w:sz="0" w:space="0" w:color="auto"/>
      </w:divBdr>
    </w:div>
    <w:div w:id="547299983">
      <w:bodyDiv w:val="1"/>
      <w:marLeft w:val="0"/>
      <w:marRight w:val="0"/>
      <w:marTop w:val="0"/>
      <w:marBottom w:val="0"/>
      <w:divBdr>
        <w:top w:val="none" w:sz="0" w:space="0" w:color="auto"/>
        <w:left w:val="none" w:sz="0" w:space="0" w:color="auto"/>
        <w:bottom w:val="none" w:sz="0" w:space="0" w:color="auto"/>
        <w:right w:val="none" w:sz="0" w:space="0" w:color="auto"/>
      </w:divBdr>
    </w:div>
    <w:div w:id="562983583">
      <w:bodyDiv w:val="1"/>
      <w:marLeft w:val="0"/>
      <w:marRight w:val="0"/>
      <w:marTop w:val="0"/>
      <w:marBottom w:val="0"/>
      <w:divBdr>
        <w:top w:val="none" w:sz="0" w:space="0" w:color="auto"/>
        <w:left w:val="none" w:sz="0" w:space="0" w:color="auto"/>
        <w:bottom w:val="none" w:sz="0" w:space="0" w:color="auto"/>
        <w:right w:val="none" w:sz="0" w:space="0" w:color="auto"/>
      </w:divBdr>
    </w:div>
    <w:div w:id="608440066">
      <w:bodyDiv w:val="1"/>
      <w:marLeft w:val="0"/>
      <w:marRight w:val="0"/>
      <w:marTop w:val="0"/>
      <w:marBottom w:val="0"/>
      <w:divBdr>
        <w:top w:val="none" w:sz="0" w:space="0" w:color="auto"/>
        <w:left w:val="none" w:sz="0" w:space="0" w:color="auto"/>
        <w:bottom w:val="none" w:sz="0" w:space="0" w:color="auto"/>
        <w:right w:val="none" w:sz="0" w:space="0" w:color="auto"/>
      </w:divBdr>
    </w:div>
    <w:div w:id="629552029">
      <w:bodyDiv w:val="1"/>
      <w:marLeft w:val="0"/>
      <w:marRight w:val="0"/>
      <w:marTop w:val="0"/>
      <w:marBottom w:val="0"/>
      <w:divBdr>
        <w:top w:val="none" w:sz="0" w:space="0" w:color="auto"/>
        <w:left w:val="none" w:sz="0" w:space="0" w:color="auto"/>
        <w:bottom w:val="none" w:sz="0" w:space="0" w:color="auto"/>
        <w:right w:val="none" w:sz="0" w:space="0" w:color="auto"/>
      </w:divBdr>
    </w:div>
    <w:div w:id="709763007">
      <w:bodyDiv w:val="1"/>
      <w:marLeft w:val="0"/>
      <w:marRight w:val="0"/>
      <w:marTop w:val="0"/>
      <w:marBottom w:val="0"/>
      <w:divBdr>
        <w:top w:val="none" w:sz="0" w:space="0" w:color="auto"/>
        <w:left w:val="none" w:sz="0" w:space="0" w:color="auto"/>
        <w:bottom w:val="none" w:sz="0" w:space="0" w:color="auto"/>
        <w:right w:val="none" w:sz="0" w:space="0" w:color="auto"/>
      </w:divBdr>
    </w:div>
    <w:div w:id="729957904">
      <w:bodyDiv w:val="1"/>
      <w:marLeft w:val="0"/>
      <w:marRight w:val="0"/>
      <w:marTop w:val="0"/>
      <w:marBottom w:val="0"/>
      <w:divBdr>
        <w:top w:val="none" w:sz="0" w:space="0" w:color="auto"/>
        <w:left w:val="none" w:sz="0" w:space="0" w:color="auto"/>
        <w:bottom w:val="none" w:sz="0" w:space="0" w:color="auto"/>
        <w:right w:val="none" w:sz="0" w:space="0" w:color="auto"/>
      </w:divBdr>
    </w:div>
    <w:div w:id="755631494">
      <w:bodyDiv w:val="1"/>
      <w:marLeft w:val="0"/>
      <w:marRight w:val="0"/>
      <w:marTop w:val="0"/>
      <w:marBottom w:val="0"/>
      <w:divBdr>
        <w:top w:val="none" w:sz="0" w:space="0" w:color="auto"/>
        <w:left w:val="none" w:sz="0" w:space="0" w:color="auto"/>
        <w:bottom w:val="none" w:sz="0" w:space="0" w:color="auto"/>
        <w:right w:val="none" w:sz="0" w:space="0" w:color="auto"/>
      </w:divBdr>
    </w:div>
    <w:div w:id="843933118">
      <w:bodyDiv w:val="1"/>
      <w:marLeft w:val="0"/>
      <w:marRight w:val="0"/>
      <w:marTop w:val="0"/>
      <w:marBottom w:val="0"/>
      <w:divBdr>
        <w:top w:val="none" w:sz="0" w:space="0" w:color="auto"/>
        <w:left w:val="none" w:sz="0" w:space="0" w:color="auto"/>
        <w:bottom w:val="none" w:sz="0" w:space="0" w:color="auto"/>
        <w:right w:val="none" w:sz="0" w:space="0" w:color="auto"/>
      </w:divBdr>
    </w:div>
    <w:div w:id="882521670">
      <w:bodyDiv w:val="1"/>
      <w:marLeft w:val="0"/>
      <w:marRight w:val="0"/>
      <w:marTop w:val="0"/>
      <w:marBottom w:val="0"/>
      <w:divBdr>
        <w:top w:val="none" w:sz="0" w:space="0" w:color="auto"/>
        <w:left w:val="none" w:sz="0" w:space="0" w:color="auto"/>
        <w:bottom w:val="none" w:sz="0" w:space="0" w:color="auto"/>
        <w:right w:val="none" w:sz="0" w:space="0" w:color="auto"/>
      </w:divBdr>
    </w:div>
    <w:div w:id="906383826">
      <w:bodyDiv w:val="1"/>
      <w:marLeft w:val="0"/>
      <w:marRight w:val="0"/>
      <w:marTop w:val="0"/>
      <w:marBottom w:val="0"/>
      <w:divBdr>
        <w:top w:val="none" w:sz="0" w:space="0" w:color="auto"/>
        <w:left w:val="none" w:sz="0" w:space="0" w:color="auto"/>
        <w:bottom w:val="none" w:sz="0" w:space="0" w:color="auto"/>
        <w:right w:val="none" w:sz="0" w:space="0" w:color="auto"/>
      </w:divBdr>
    </w:div>
    <w:div w:id="910509753">
      <w:bodyDiv w:val="1"/>
      <w:marLeft w:val="0"/>
      <w:marRight w:val="0"/>
      <w:marTop w:val="0"/>
      <w:marBottom w:val="0"/>
      <w:divBdr>
        <w:top w:val="none" w:sz="0" w:space="0" w:color="auto"/>
        <w:left w:val="none" w:sz="0" w:space="0" w:color="auto"/>
        <w:bottom w:val="none" w:sz="0" w:space="0" w:color="auto"/>
        <w:right w:val="none" w:sz="0" w:space="0" w:color="auto"/>
      </w:divBdr>
    </w:div>
    <w:div w:id="915746440">
      <w:bodyDiv w:val="1"/>
      <w:marLeft w:val="0"/>
      <w:marRight w:val="0"/>
      <w:marTop w:val="0"/>
      <w:marBottom w:val="0"/>
      <w:divBdr>
        <w:top w:val="none" w:sz="0" w:space="0" w:color="auto"/>
        <w:left w:val="none" w:sz="0" w:space="0" w:color="auto"/>
        <w:bottom w:val="none" w:sz="0" w:space="0" w:color="auto"/>
        <w:right w:val="none" w:sz="0" w:space="0" w:color="auto"/>
      </w:divBdr>
    </w:div>
    <w:div w:id="992026885">
      <w:bodyDiv w:val="1"/>
      <w:marLeft w:val="0"/>
      <w:marRight w:val="0"/>
      <w:marTop w:val="0"/>
      <w:marBottom w:val="0"/>
      <w:divBdr>
        <w:top w:val="none" w:sz="0" w:space="0" w:color="auto"/>
        <w:left w:val="none" w:sz="0" w:space="0" w:color="auto"/>
        <w:bottom w:val="none" w:sz="0" w:space="0" w:color="auto"/>
        <w:right w:val="none" w:sz="0" w:space="0" w:color="auto"/>
      </w:divBdr>
    </w:div>
    <w:div w:id="1003045013">
      <w:bodyDiv w:val="1"/>
      <w:marLeft w:val="0"/>
      <w:marRight w:val="0"/>
      <w:marTop w:val="0"/>
      <w:marBottom w:val="0"/>
      <w:divBdr>
        <w:top w:val="none" w:sz="0" w:space="0" w:color="auto"/>
        <w:left w:val="none" w:sz="0" w:space="0" w:color="auto"/>
        <w:bottom w:val="none" w:sz="0" w:space="0" w:color="auto"/>
        <w:right w:val="none" w:sz="0" w:space="0" w:color="auto"/>
      </w:divBdr>
    </w:div>
    <w:div w:id="1006590437">
      <w:bodyDiv w:val="1"/>
      <w:marLeft w:val="0"/>
      <w:marRight w:val="0"/>
      <w:marTop w:val="0"/>
      <w:marBottom w:val="0"/>
      <w:divBdr>
        <w:top w:val="none" w:sz="0" w:space="0" w:color="auto"/>
        <w:left w:val="none" w:sz="0" w:space="0" w:color="auto"/>
        <w:bottom w:val="none" w:sz="0" w:space="0" w:color="auto"/>
        <w:right w:val="none" w:sz="0" w:space="0" w:color="auto"/>
      </w:divBdr>
    </w:div>
    <w:div w:id="1010640946">
      <w:bodyDiv w:val="1"/>
      <w:marLeft w:val="0"/>
      <w:marRight w:val="0"/>
      <w:marTop w:val="0"/>
      <w:marBottom w:val="0"/>
      <w:divBdr>
        <w:top w:val="none" w:sz="0" w:space="0" w:color="auto"/>
        <w:left w:val="none" w:sz="0" w:space="0" w:color="auto"/>
        <w:bottom w:val="none" w:sz="0" w:space="0" w:color="auto"/>
        <w:right w:val="none" w:sz="0" w:space="0" w:color="auto"/>
      </w:divBdr>
    </w:div>
    <w:div w:id="1012999850">
      <w:bodyDiv w:val="1"/>
      <w:marLeft w:val="0"/>
      <w:marRight w:val="0"/>
      <w:marTop w:val="0"/>
      <w:marBottom w:val="0"/>
      <w:divBdr>
        <w:top w:val="none" w:sz="0" w:space="0" w:color="auto"/>
        <w:left w:val="none" w:sz="0" w:space="0" w:color="auto"/>
        <w:bottom w:val="none" w:sz="0" w:space="0" w:color="auto"/>
        <w:right w:val="none" w:sz="0" w:space="0" w:color="auto"/>
      </w:divBdr>
    </w:div>
    <w:div w:id="1014498237">
      <w:bodyDiv w:val="1"/>
      <w:marLeft w:val="0"/>
      <w:marRight w:val="0"/>
      <w:marTop w:val="0"/>
      <w:marBottom w:val="0"/>
      <w:divBdr>
        <w:top w:val="none" w:sz="0" w:space="0" w:color="auto"/>
        <w:left w:val="none" w:sz="0" w:space="0" w:color="auto"/>
        <w:bottom w:val="none" w:sz="0" w:space="0" w:color="auto"/>
        <w:right w:val="none" w:sz="0" w:space="0" w:color="auto"/>
      </w:divBdr>
    </w:div>
    <w:div w:id="1016226041">
      <w:bodyDiv w:val="1"/>
      <w:marLeft w:val="0"/>
      <w:marRight w:val="0"/>
      <w:marTop w:val="0"/>
      <w:marBottom w:val="0"/>
      <w:divBdr>
        <w:top w:val="none" w:sz="0" w:space="0" w:color="auto"/>
        <w:left w:val="none" w:sz="0" w:space="0" w:color="auto"/>
        <w:bottom w:val="none" w:sz="0" w:space="0" w:color="auto"/>
        <w:right w:val="none" w:sz="0" w:space="0" w:color="auto"/>
      </w:divBdr>
    </w:div>
    <w:div w:id="1026444363">
      <w:bodyDiv w:val="1"/>
      <w:marLeft w:val="0"/>
      <w:marRight w:val="0"/>
      <w:marTop w:val="0"/>
      <w:marBottom w:val="0"/>
      <w:divBdr>
        <w:top w:val="none" w:sz="0" w:space="0" w:color="auto"/>
        <w:left w:val="none" w:sz="0" w:space="0" w:color="auto"/>
        <w:bottom w:val="none" w:sz="0" w:space="0" w:color="auto"/>
        <w:right w:val="none" w:sz="0" w:space="0" w:color="auto"/>
      </w:divBdr>
    </w:div>
    <w:div w:id="1055084353">
      <w:bodyDiv w:val="1"/>
      <w:marLeft w:val="0"/>
      <w:marRight w:val="0"/>
      <w:marTop w:val="0"/>
      <w:marBottom w:val="0"/>
      <w:divBdr>
        <w:top w:val="none" w:sz="0" w:space="0" w:color="auto"/>
        <w:left w:val="none" w:sz="0" w:space="0" w:color="auto"/>
        <w:bottom w:val="none" w:sz="0" w:space="0" w:color="auto"/>
        <w:right w:val="none" w:sz="0" w:space="0" w:color="auto"/>
      </w:divBdr>
    </w:div>
    <w:div w:id="1077020566">
      <w:bodyDiv w:val="1"/>
      <w:marLeft w:val="0"/>
      <w:marRight w:val="0"/>
      <w:marTop w:val="0"/>
      <w:marBottom w:val="0"/>
      <w:divBdr>
        <w:top w:val="none" w:sz="0" w:space="0" w:color="auto"/>
        <w:left w:val="none" w:sz="0" w:space="0" w:color="auto"/>
        <w:bottom w:val="none" w:sz="0" w:space="0" w:color="auto"/>
        <w:right w:val="none" w:sz="0" w:space="0" w:color="auto"/>
      </w:divBdr>
    </w:div>
    <w:div w:id="1098982535">
      <w:bodyDiv w:val="1"/>
      <w:marLeft w:val="0"/>
      <w:marRight w:val="0"/>
      <w:marTop w:val="0"/>
      <w:marBottom w:val="0"/>
      <w:divBdr>
        <w:top w:val="none" w:sz="0" w:space="0" w:color="auto"/>
        <w:left w:val="none" w:sz="0" w:space="0" w:color="auto"/>
        <w:bottom w:val="none" w:sz="0" w:space="0" w:color="auto"/>
        <w:right w:val="none" w:sz="0" w:space="0" w:color="auto"/>
      </w:divBdr>
    </w:div>
    <w:div w:id="1125318976">
      <w:bodyDiv w:val="1"/>
      <w:marLeft w:val="0"/>
      <w:marRight w:val="0"/>
      <w:marTop w:val="0"/>
      <w:marBottom w:val="0"/>
      <w:divBdr>
        <w:top w:val="none" w:sz="0" w:space="0" w:color="auto"/>
        <w:left w:val="none" w:sz="0" w:space="0" w:color="auto"/>
        <w:bottom w:val="none" w:sz="0" w:space="0" w:color="auto"/>
        <w:right w:val="none" w:sz="0" w:space="0" w:color="auto"/>
      </w:divBdr>
    </w:div>
    <w:div w:id="1128744175">
      <w:bodyDiv w:val="1"/>
      <w:marLeft w:val="0"/>
      <w:marRight w:val="0"/>
      <w:marTop w:val="0"/>
      <w:marBottom w:val="0"/>
      <w:divBdr>
        <w:top w:val="none" w:sz="0" w:space="0" w:color="auto"/>
        <w:left w:val="none" w:sz="0" w:space="0" w:color="auto"/>
        <w:bottom w:val="none" w:sz="0" w:space="0" w:color="auto"/>
        <w:right w:val="none" w:sz="0" w:space="0" w:color="auto"/>
      </w:divBdr>
    </w:div>
    <w:div w:id="1129468918">
      <w:bodyDiv w:val="1"/>
      <w:marLeft w:val="0"/>
      <w:marRight w:val="0"/>
      <w:marTop w:val="0"/>
      <w:marBottom w:val="0"/>
      <w:divBdr>
        <w:top w:val="none" w:sz="0" w:space="0" w:color="auto"/>
        <w:left w:val="none" w:sz="0" w:space="0" w:color="auto"/>
        <w:bottom w:val="none" w:sz="0" w:space="0" w:color="auto"/>
        <w:right w:val="none" w:sz="0" w:space="0" w:color="auto"/>
      </w:divBdr>
    </w:div>
    <w:div w:id="1135834874">
      <w:bodyDiv w:val="1"/>
      <w:marLeft w:val="0"/>
      <w:marRight w:val="0"/>
      <w:marTop w:val="0"/>
      <w:marBottom w:val="0"/>
      <w:divBdr>
        <w:top w:val="none" w:sz="0" w:space="0" w:color="auto"/>
        <w:left w:val="none" w:sz="0" w:space="0" w:color="auto"/>
        <w:bottom w:val="none" w:sz="0" w:space="0" w:color="auto"/>
        <w:right w:val="none" w:sz="0" w:space="0" w:color="auto"/>
      </w:divBdr>
    </w:div>
    <w:div w:id="1138456327">
      <w:bodyDiv w:val="1"/>
      <w:marLeft w:val="0"/>
      <w:marRight w:val="0"/>
      <w:marTop w:val="0"/>
      <w:marBottom w:val="0"/>
      <w:divBdr>
        <w:top w:val="none" w:sz="0" w:space="0" w:color="auto"/>
        <w:left w:val="none" w:sz="0" w:space="0" w:color="auto"/>
        <w:bottom w:val="none" w:sz="0" w:space="0" w:color="auto"/>
        <w:right w:val="none" w:sz="0" w:space="0" w:color="auto"/>
      </w:divBdr>
    </w:div>
    <w:div w:id="1154026614">
      <w:bodyDiv w:val="1"/>
      <w:marLeft w:val="0"/>
      <w:marRight w:val="0"/>
      <w:marTop w:val="0"/>
      <w:marBottom w:val="0"/>
      <w:divBdr>
        <w:top w:val="none" w:sz="0" w:space="0" w:color="auto"/>
        <w:left w:val="none" w:sz="0" w:space="0" w:color="auto"/>
        <w:bottom w:val="none" w:sz="0" w:space="0" w:color="auto"/>
        <w:right w:val="none" w:sz="0" w:space="0" w:color="auto"/>
      </w:divBdr>
    </w:div>
    <w:div w:id="1154447798">
      <w:bodyDiv w:val="1"/>
      <w:marLeft w:val="0"/>
      <w:marRight w:val="0"/>
      <w:marTop w:val="0"/>
      <w:marBottom w:val="0"/>
      <w:divBdr>
        <w:top w:val="none" w:sz="0" w:space="0" w:color="auto"/>
        <w:left w:val="none" w:sz="0" w:space="0" w:color="auto"/>
        <w:bottom w:val="none" w:sz="0" w:space="0" w:color="auto"/>
        <w:right w:val="none" w:sz="0" w:space="0" w:color="auto"/>
      </w:divBdr>
    </w:div>
    <w:div w:id="1156649530">
      <w:bodyDiv w:val="1"/>
      <w:marLeft w:val="0"/>
      <w:marRight w:val="0"/>
      <w:marTop w:val="0"/>
      <w:marBottom w:val="0"/>
      <w:divBdr>
        <w:top w:val="none" w:sz="0" w:space="0" w:color="auto"/>
        <w:left w:val="none" w:sz="0" w:space="0" w:color="auto"/>
        <w:bottom w:val="none" w:sz="0" w:space="0" w:color="auto"/>
        <w:right w:val="none" w:sz="0" w:space="0" w:color="auto"/>
      </w:divBdr>
    </w:div>
    <w:div w:id="1178495981">
      <w:bodyDiv w:val="1"/>
      <w:marLeft w:val="0"/>
      <w:marRight w:val="0"/>
      <w:marTop w:val="0"/>
      <w:marBottom w:val="0"/>
      <w:divBdr>
        <w:top w:val="none" w:sz="0" w:space="0" w:color="auto"/>
        <w:left w:val="none" w:sz="0" w:space="0" w:color="auto"/>
        <w:bottom w:val="none" w:sz="0" w:space="0" w:color="auto"/>
        <w:right w:val="none" w:sz="0" w:space="0" w:color="auto"/>
      </w:divBdr>
    </w:div>
    <w:div w:id="1201472535">
      <w:bodyDiv w:val="1"/>
      <w:marLeft w:val="0"/>
      <w:marRight w:val="0"/>
      <w:marTop w:val="0"/>
      <w:marBottom w:val="0"/>
      <w:divBdr>
        <w:top w:val="none" w:sz="0" w:space="0" w:color="auto"/>
        <w:left w:val="none" w:sz="0" w:space="0" w:color="auto"/>
        <w:bottom w:val="none" w:sz="0" w:space="0" w:color="auto"/>
        <w:right w:val="none" w:sz="0" w:space="0" w:color="auto"/>
      </w:divBdr>
    </w:div>
    <w:div w:id="1222400998">
      <w:bodyDiv w:val="1"/>
      <w:marLeft w:val="0"/>
      <w:marRight w:val="0"/>
      <w:marTop w:val="0"/>
      <w:marBottom w:val="0"/>
      <w:divBdr>
        <w:top w:val="none" w:sz="0" w:space="0" w:color="auto"/>
        <w:left w:val="none" w:sz="0" w:space="0" w:color="auto"/>
        <w:bottom w:val="none" w:sz="0" w:space="0" w:color="auto"/>
        <w:right w:val="none" w:sz="0" w:space="0" w:color="auto"/>
      </w:divBdr>
    </w:div>
    <w:div w:id="1229148165">
      <w:bodyDiv w:val="1"/>
      <w:marLeft w:val="0"/>
      <w:marRight w:val="0"/>
      <w:marTop w:val="0"/>
      <w:marBottom w:val="0"/>
      <w:divBdr>
        <w:top w:val="none" w:sz="0" w:space="0" w:color="auto"/>
        <w:left w:val="none" w:sz="0" w:space="0" w:color="auto"/>
        <w:bottom w:val="none" w:sz="0" w:space="0" w:color="auto"/>
        <w:right w:val="none" w:sz="0" w:space="0" w:color="auto"/>
      </w:divBdr>
    </w:div>
    <w:div w:id="1232353587">
      <w:bodyDiv w:val="1"/>
      <w:marLeft w:val="0"/>
      <w:marRight w:val="0"/>
      <w:marTop w:val="0"/>
      <w:marBottom w:val="0"/>
      <w:divBdr>
        <w:top w:val="none" w:sz="0" w:space="0" w:color="auto"/>
        <w:left w:val="none" w:sz="0" w:space="0" w:color="auto"/>
        <w:bottom w:val="none" w:sz="0" w:space="0" w:color="auto"/>
        <w:right w:val="none" w:sz="0" w:space="0" w:color="auto"/>
      </w:divBdr>
    </w:div>
    <w:div w:id="1249192357">
      <w:bodyDiv w:val="1"/>
      <w:marLeft w:val="0"/>
      <w:marRight w:val="0"/>
      <w:marTop w:val="0"/>
      <w:marBottom w:val="0"/>
      <w:divBdr>
        <w:top w:val="none" w:sz="0" w:space="0" w:color="auto"/>
        <w:left w:val="none" w:sz="0" w:space="0" w:color="auto"/>
        <w:bottom w:val="none" w:sz="0" w:space="0" w:color="auto"/>
        <w:right w:val="none" w:sz="0" w:space="0" w:color="auto"/>
      </w:divBdr>
    </w:div>
    <w:div w:id="1288009910">
      <w:bodyDiv w:val="1"/>
      <w:marLeft w:val="0"/>
      <w:marRight w:val="0"/>
      <w:marTop w:val="0"/>
      <w:marBottom w:val="0"/>
      <w:divBdr>
        <w:top w:val="none" w:sz="0" w:space="0" w:color="auto"/>
        <w:left w:val="none" w:sz="0" w:space="0" w:color="auto"/>
        <w:bottom w:val="none" w:sz="0" w:space="0" w:color="auto"/>
        <w:right w:val="none" w:sz="0" w:space="0" w:color="auto"/>
      </w:divBdr>
    </w:div>
    <w:div w:id="1307858511">
      <w:bodyDiv w:val="1"/>
      <w:marLeft w:val="0"/>
      <w:marRight w:val="0"/>
      <w:marTop w:val="0"/>
      <w:marBottom w:val="0"/>
      <w:divBdr>
        <w:top w:val="none" w:sz="0" w:space="0" w:color="auto"/>
        <w:left w:val="none" w:sz="0" w:space="0" w:color="auto"/>
        <w:bottom w:val="none" w:sz="0" w:space="0" w:color="auto"/>
        <w:right w:val="none" w:sz="0" w:space="0" w:color="auto"/>
      </w:divBdr>
    </w:div>
    <w:div w:id="1324316586">
      <w:bodyDiv w:val="1"/>
      <w:marLeft w:val="0"/>
      <w:marRight w:val="0"/>
      <w:marTop w:val="0"/>
      <w:marBottom w:val="0"/>
      <w:divBdr>
        <w:top w:val="none" w:sz="0" w:space="0" w:color="auto"/>
        <w:left w:val="none" w:sz="0" w:space="0" w:color="auto"/>
        <w:bottom w:val="none" w:sz="0" w:space="0" w:color="auto"/>
        <w:right w:val="none" w:sz="0" w:space="0" w:color="auto"/>
      </w:divBdr>
    </w:div>
    <w:div w:id="1329938653">
      <w:bodyDiv w:val="1"/>
      <w:marLeft w:val="0"/>
      <w:marRight w:val="0"/>
      <w:marTop w:val="0"/>
      <w:marBottom w:val="0"/>
      <w:divBdr>
        <w:top w:val="none" w:sz="0" w:space="0" w:color="auto"/>
        <w:left w:val="none" w:sz="0" w:space="0" w:color="auto"/>
        <w:bottom w:val="none" w:sz="0" w:space="0" w:color="auto"/>
        <w:right w:val="none" w:sz="0" w:space="0" w:color="auto"/>
      </w:divBdr>
    </w:div>
    <w:div w:id="1338773732">
      <w:bodyDiv w:val="1"/>
      <w:marLeft w:val="0"/>
      <w:marRight w:val="0"/>
      <w:marTop w:val="0"/>
      <w:marBottom w:val="0"/>
      <w:divBdr>
        <w:top w:val="none" w:sz="0" w:space="0" w:color="auto"/>
        <w:left w:val="none" w:sz="0" w:space="0" w:color="auto"/>
        <w:bottom w:val="none" w:sz="0" w:space="0" w:color="auto"/>
        <w:right w:val="none" w:sz="0" w:space="0" w:color="auto"/>
      </w:divBdr>
    </w:div>
    <w:div w:id="1350719687">
      <w:bodyDiv w:val="1"/>
      <w:marLeft w:val="0"/>
      <w:marRight w:val="0"/>
      <w:marTop w:val="0"/>
      <w:marBottom w:val="0"/>
      <w:divBdr>
        <w:top w:val="none" w:sz="0" w:space="0" w:color="auto"/>
        <w:left w:val="none" w:sz="0" w:space="0" w:color="auto"/>
        <w:bottom w:val="none" w:sz="0" w:space="0" w:color="auto"/>
        <w:right w:val="none" w:sz="0" w:space="0" w:color="auto"/>
      </w:divBdr>
    </w:div>
    <w:div w:id="1368334231">
      <w:bodyDiv w:val="1"/>
      <w:marLeft w:val="0"/>
      <w:marRight w:val="0"/>
      <w:marTop w:val="0"/>
      <w:marBottom w:val="0"/>
      <w:divBdr>
        <w:top w:val="none" w:sz="0" w:space="0" w:color="auto"/>
        <w:left w:val="none" w:sz="0" w:space="0" w:color="auto"/>
        <w:bottom w:val="none" w:sz="0" w:space="0" w:color="auto"/>
        <w:right w:val="none" w:sz="0" w:space="0" w:color="auto"/>
      </w:divBdr>
    </w:div>
    <w:div w:id="1379279181">
      <w:bodyDiv w:val="1"/>
      <w:marLeft w:val="0"/>
      <w:marRight w:val="0"/>
      <w:marTop w:val="0"/>
      <w:marBottom w:val="0"/>
      <w:divBdr>
        <w:top w:val="none" w:sz="0" w:space="0" w:color="auto"/>
        <w:left w:val="none" w:sz="0" w:space="0" w:color="auto"/>
        <w:bottom w:val="none" w:sz="0" w:space="0" w:color="auto"/>
        <w:right w:val="none" w:sz="0" w:space="0" w:color="auto"/>
      </w:divBdr>
    </w:div>
    <w:div w:id="1396778941">
      <w:bodyDiv w:val="1"/>
      <w:marLeft w:val="0"/>
      <w:marRight w:val="0"/>
      <w:marTop w:val="0"/>
      <w:marBottom w:val="0"/>
      <w:divBdr>
        <w:top w:val="none" w:sz="0" w:space="0" w:color="auto"/>
        <w:left w:val="none" w:sz="0" w:space="0" w:color="auto"/>
        <w:bottom w:val="none" w:sz="0" w:space="0" w:color="auto"/>
        <w:right w:val="none" w:sz="0" w:space="0" w:color="auto"/>
      </w:divBdr>
    </w:div>
    <w:div w:id="1407069701">
      <w:bodyDiv w:val="1"/>
      <w:marLeft w:val="0"/>
      <w:marRight w:val="0"/>
      <w:marTop w:val="0"/>
      <w:marBottom w:val="0"/>
      <w:divBdr>
        <w:top w:val="none" w:sz="0" w:space="0" w:color="auto"/>
        <w:left w:val="none" w:sz="0" w:space="0" w:color="auto"/>
        <w:bottom w:val="none" w:sz="0" w:space="0" w:color="auto"/>
        <w:right w:val="none" w:sz="0" w:space="0" w:color="auto"/>
      </w:divBdr>
    </w:div>
    <w:div w:id="1412972058">
      <w:bodyDiv w:val="1"/>
      <w:marLeft w:val="0"/>
      <w:marRight w:val="0"/>
      <w:marTop w:val="0"/>
      <w:marBottom w:val="0"/>
      <w:divBdr>
        <w:top w:val="none" w:sz="0" w:space="0" w:color="auto"/>
        <w:left w:val="none" w:sz="0" w:space="0" w:color="auto"/>
        <w:bottom w:val="none" w:sz="0" w:space="0" w:color="auto"/>
        <w:right w:val="none" w:sz="0" w:space="0" w:color="auto"/>
      </w:divBdr>
    </w:div>
    <w:div w:id="1424641408">
      <w:bodyDiv w:val="1"/>
      <w:marLeft w:val="0"/>
      <w:marRight w:val="0"/>
      <w:marTop w:val="0"/>
      <w:marBottom w:val="0"/>
      <w:divBdr>
        <w:top w:val="none" w:sz="0" w:space="0" w:color="auto"/>
        <w:left w:val="none" w:sz="0" w:space="0" w:color="auto"/>
        <w:bottom w:val="none" w:sz="0" w:space="0" w:color="auto"/>
        <w:right w:val="none" w:sz="0" w:space="0" w:color="auto"/>
      </w:divBdr>
    </w:div>
    <w:div w:id="1466895133">
      <w:bodyDiv w:val="1"/>
      <w:marLeft w:val="0"/>
      <w:marRight w:val="0"/>
      <w:marTop w:val="0"/>
      <w:marBottom w:val="0"/>
      <w:divBdr>
        <w:top w:val="none" w:sz="0" w:space="0" w:color="auto"/>
        <w:left w:val="none" w:sz="0" w:space="0" w:color="auto"/>
        <w:bottom w:val="none" w:sz="0" w:space="0" w:color="auto"/>
        <w:right w:val="none" w:sz="0" w:space="0" w:color="auto"/>
      </w:divBdr>
    </w:div>
    <w:div w:id="1499420463">
      <w:bodyDiv w:val="1"/>
      <w:marLeft w:val="0"/>
      <w:marRight w:val="0"/>
      <w:marTop w:val="0"/>
      <w:marBottom w:val="0"/>
      <w:divBdr>
        <w:top w:val="none" w:sz="0" w:space="0" w:color="auto"/>
        <w:left w:val="none" w:sz="0" w:space="0" w:color="auto"/>
        <w:bottom w:val="none" w:sz="0" w:space="0" w:color="auto"/>
        <w:right w:val="none" w:sz="0" w:space="0" w:color="auto"/>
      </w:divBdr>
    </w:div>
    <w:div w:id="1512062287">
      <w:bodyDiv w:val="1"/>
      <w:marLeft w:val="0"/>
      <w:marRight w:val="0"/>
      <w:marTop w:val="0"/>
      <w:marBottom w:val="0"/>
      <w:divBdr>
        <w:top w:val="none" w:sz="0" w:space="0" w:color="auto"/>
        <w:left w:val="none" w:sz="0" w:space="0" w:color="auto"/>
        <w:bottom w:val="none" w:sz="0" w:space="0" w:color="auto"/>
        <w:right w:val="none" w:sz="0" w:space="0" w:color="auto"/>
      </w:divBdr>
    </w:div>
    <w:div w:id="1517381228">
      <w:bodyDiv w:val="1"/>
      <w:marLeft w:val="0"/>
      <w:marRight w:val="0"/>
      <w:marTop w:val="0"/>
      <w:marBottom w:val="0"/>
      <w:divBdr>
        <w:top w:val="none" w:sz="0" w:space="0" w:color="auto"/>
        <w:left w:val="none" w:sz="0" w:space="0" w:color="auto"/>
        <w:bottom w:val="none" w:sz="0" w:space="0" w:color="auto"/>
        <w:right w:val="none" w:sz="0" w:space="0" w:color="auto"/>
      </w:divBdr>
    </w:div>
    <w:div w:id="1534878734">
      <w:bodyDiv w:val="1"/>
      <w:marLeft w:val="0"/>
      <w:marRight w:val="0"/>
      <w:marTop w:val="0"/>
      <w:marBottom w:val="0"/>
      <w:divBdr>
        <w:top w:val="none" w:sz="0" w:space="0" w:color="auto"/>
        <w:left w:val="none" w:sz="0" w:space="0" w:color="auto"/>
        <w:bottom w:val="none" w:sz="0" w:space="0" w:color="auto"/>
        <w:right w:val="none" w:sz="0" w:space="0" w:color="auto"/>
      </w:divBdr>
    </w:div>
    <w:div w:id="1547641111">
      <w:bodyDiv w:val="1"/>
      <w:marLeft w:val="0"/>
      <w:marRight w:val="0"/>
      <w:marTop w:val="0"/>
      <w:marBottom w:val="0"/>
      <w:divBdr>
        <w:top w:val="none" w:sz="0" w:space="0" w:color="auto"/>
        <w:left w:val="none" w:sz="0" w:space="0" w:color="auto"/>
        <w:bottom w:val="none" w:sz="0" w:space="0" w:color="auto"/>
        <w:right w:val="none" w:sz="0" w:space="0" w:color="auto"/>
      </w:divBdr>
    </w:div>
    <w:div w:id="1566842550">
      <w:bodyDiv w:val="1"/>
      <w:marLeft w:val="0"/>
      <w:marRight w:val="0"/>
      <w:marTop w:val="0"/>
      <w:marBottom w:val="0"/>
      <w:divBdr>
        <w:top w:val="none" w:sz="0" w:space="0" w:color="auto"/>
        <w:left w:val="none" w:sz="0" w:space="0" w:color="auto"/>
        <w:bottom w:val="none" w:sz="0" w:space="0" w:color="auto"/>
        <w:right w:val="none" w:sz="0" w:space="0" w:color="auto"/>
      </w:divBdr>
    </w:div>
    <w:div w:id="1578175690">
      <w:bodyDiv w:val="1"/>
      <w:marLeft w:val="0"/>
      <w:marRight w:val="0"/>
      <w:marTop w:val="0"/>
      <w:marBottom w:val="0"/>
      <w:divBdr>
        <w:top w:val="none" w:sz="0" w:space="0" w:color="auto"/>
        <w:left w:val="none" w:sz="0" w:space="0" w:color="auto"/>
        <w:bottom w:val="none" w:sz="0" w:space="0" w:color="auto"/>
        <w:right w:val="none" w:sz="0" w:space="0" w:color="auto"/>
      </w:divBdr>
    </w:div>
    <w:div w:id="1587113372">
      <w:bodyDiv w:val="1"/>
      <w:marLeft w:val="0"/>
      <w:marRight w:val="0"/>
      <w:marTop w:val="0"/>
      <w:marBottom w:val="0"/>
      <w:divBdr>
        <w:top w:val="none" w:sz="0" w:space="0" w:color="auto"/>
        <w:left w:val="none" w:sz="0" w:space="0" w:color="auto"/>
        <w:bottom w:val="none" w:sz="0" w:space="0" w:color="auto"/>
        <w:right w:val="none" w:sz="0" w:space="0" w:color="auto"/>
      </w:divBdr>
    </w:div>
    <w:div w:id="1609191923">
      <w:bodyDiv w:val="1"/>
      <w:marLeft w:val="0"/>
      <w:marRight w:val="0"/>
      <w:marTop w:val="0"/>
      <w:marBottom w:val="0"/>
      <w:divBdr>
        <w:top w:val="none" w:sz="0" w:space="0" w:color="auto"/>
        <w:left w:val="none" w:sz="0" w:space="0" w:color="auto"/>
        <w:bottom w:val="none" w:sz="0" w:space="0" w:color="auto"/>
        <w:right w:val="none" w:sz="0" w:space="0" w:color="auto"/>
      </w:divBdr>
    </w:div>
    <w:div w:id="1618633995">
      <w:bodyDiv w:val="1"/>
      <w:marLeft w:val="0"/>
      <w:marRight w:val="0"/>
      <w:marTop w:val="0"/>
      <w:marBottom w:val="0"/>
      <w:divBdr>
        <w:top w:val="none" w:sz="0" w:space="0" w:color="auto"/>
        <w:left w:val="none" w:sz="0" w:space="0" w:color="auto"/>
        <w:bottom w:val="none" w:sz="0" w:space="0" w:color="auto"/>
        <w:right w:val="none" w:sz="0" w:space="0" w:color="auto"/>
      </w:divBdr>
    </w:div>
    <w:div w:id="1630161676">
      <w:bodyDiv w:val="1"/>
      <w:marLeft w:val="0"/>
      <w:marRight w:val="0"/>
      <w:marTop w:val="0"/>
      <w:marBottom w:val="0"/>
      <w:divBdr>
        <w:top w:val="none" w:sz="0" w:space="0" w:color="auto"/>
        <w:left w:val="none" w:sz="0" w:space="0" w:color="auto"/>
        <w:bottom w:val="none" w:sz="0" w:space="0" w:color="auto"/>
        <w:right w:val="none" w:sz="0" w:space="0" w:color="auto"/>
      </w:divBdr>
    </w:div>
    <w:div w:id="1632906164">
      <w:bodyDiv w:val="1"/>
      <w:marLeft w:val="0"/>
      <w:marRight w:val="0"/>
      <w:marTop w:val="0"/>
      <w:marBottom w:val="0"/>
      <w:divBdr>
        <w:top w:val="none" w:sz="0" w:space="0" w:color="auto"/>
        <w:left w:val="none" w:sz="0" w:space="0" w:color="auto"/>
        <w:bottom w:val="none" w:sz="0" w:space="0" w:color="auto"/>
        <w:right w:val="none" w:sz="0" w:space="0" w:color="auto"/>
      </w:divBdr>
    </w:div>
    <w:div w:id="1646619530">
      <w:bodyDiv w:val="1"/>
      <w:marLeft w:val="0"/>
      <w:marRight w:val="0"/>
      <w:marTop w:val="0"/>
      <w:marBottom w:val="0"/>
      <w:divBdr>
        <w:top w:val="none" w:sz="0" w:space="0" w:color="auto"/>
        <w:left w:val="none" w:sz="0" w:space="0" w:color="auto"/>
        <w:bottom w:val="none" w:sz="0" w:space="0" w:color="auto"/>
        <w:right w:val="none" w:sz="0" w:space="0" w:color="auto"/>
      </w:divBdr>
    </w:div>
    <w:div w:id="1655836689">
      <w:bodyDiv w:val="1"/>
      <w:marLeft w:val="0"/>
      <w:marRight w:val="0"/>
      <w:marTop w:val="0"/>
      <w:marBottom w:val="0"/>
      <w:divBdr>
        <w:top w:val="none" w:sz="0" w:space="0" w:color="auto"/>
        <w:left w:val="none" w:sz="0" w:space="0" w:color="auto"/>
        <w:bottom w:val="none" w:sz="0" w:space="0" w:color="auto"/>
        <w:right w:val="none" w:sz="0" w:space="0" w:color="auto"/>
      </w:divBdr>
    </w:div>
    <w:div w:id="1679772753">
      <w:bodyDiv w:val="1"/>
      <w:marLeft w:val="0"/>
      <w:marRight w:val="0"/>
      <w:marTop w:val="0"/>
      <w:marBottom w:val="0"/>
      <w:divBdr>
        <w:top w:val="none" w:sz="0" w:space="0" w:color="auto"/>
        <w:left w:val="none" w:sz="0" w:space="0" w:color="auto"/>
        <w:bottom w:val="none" w:sz="0" w:space="0" w:color="auto"/>
        <w:right w:val="none" w:sz="0" w:space="0" w:color="auto"/>
      </w:divBdr>
    </w:div>
    <w:div w:id="1697152688">
      <w:bodyDiv w:val="1"/>
      <w:marLeft w:val="0"/>
      <w:marRight w:val="0"/>
      <w:marTop w:val="0"/>
      <w:marBottom w:val="0"/>
      <w:divBdr>
        <w:top w:val="none" w:sz="0" w:space="0" w:color="auto"/>
        <w:left w:val="none" w:sz="0" w:space="0" w:color="auto"/>
        <w:bottom w:val="none" w:sz="0" w:space="0" w:color="auto"/>
        <w:right w:val="none" w:sz="0" w:space="0" w:color="auto"/>
      </w:divBdr>
    </w:div>
    <w:div w:id="1721662953">
      <w:bodyDiv w:val="1"/>
      <w:marLeft w:val="0"/>
      <w:marRight w:val="0"/>
      <w:marTop w:val="0"/>
      <w:marBottom w:val="0"/>
      <w:divBdr>
        <w:top w:val="none" w:sz="0" w:space="0" w:color="auto"/>
        <w:left w:val="none" w:sz="0" w:space="0" w:color="auto"/>
        <w:bottom w:val="none" w:sz="0" w:space="0" w:color="auto"/>
        <w:right w:val="none" w:sz="0" w:space="0" w:color="auto"/>
      </w:divBdr>
    </w:div>
    <w:div w:id="1730767031">
      <w:bodyDiv w:val="1"/>
      <w:marLeft w:val="0"/>
      <w:marRight w:val="0"/>
      <w:marTop w:val="0"/>
      <w:marBottom w:val="0"/>
      <w:divBdr>
        <w:top w:val="none" w:sz="0" w:space="0" w:color="auto"/>
        <w:left w:val="none" w:sz="0" w:space="0" w:color="auto"/>
        <w:bottom w:val="none" w:sz="0" w:space="0" w:color="auto"/>
        <w:right w:val="none" w:sz="0" w:space="0" w:color="auto"/>
      </w:divBdr>
    </w:div>
    <w:div w:id="1735734306">
      <w:bodyDiv w:val="1"/>
      <w:marLeft w:val="0"/>
      <w:marRight w:val="0"/>
      <w:marTop w:val="0"/>
      <w:marBottom w:val="0"/>
      <w:divBdr>
        <w:top w:val="none" w:sz="0" w:space="0" w:color="auto"/>
        <w:left w:val="none" w:sz="0" w:space="0" w:color="auto"/>
        <w:bottom w:val="none" w:sz="0" w:space="0" w:color="auto"/>
        <w:right w:val="none" w:sz="0" w:space="0" w:color="auto"/>
      </w:divBdr>
    </w:div>
    <w:div w:id="1762219708">
      <w:bodyDiv w:val="1"/>
      <w:marLeft w:val="0"/>
      <w:marRight w:val="0"/>
      <w:marTop w:val="0"/>
      <w:marBottom w:val="0"/>
      <w:divBdr>
        <w:top w:val="none" w:sz="0" w:space="0" w:color="auto"/>
        <w:left w:val="none" w:sz="0" w:space="0" w:color="auto"/>
        <w:bottom w:val="none" w:sz="0" w:space="0" w:color="auto"/>
        <w:right w:val="none" w:sz="0" w:space="0" w:color="auto"/>
      </w:divBdr>
    </w:div>
    <w:div w:id="1767463319">
      <w:bodyDiv w:val="1"/>
      <w:marLeft w:val="0"/>
      <w:marRight w:val="0"/>
      <w:marTop w:val="0"/>
      <w:marBottom w:val="0"/>
      <w:divBdr>
        <w:top w:val="none" w:sz="0" w:space="0" w:color="auto"/>
        <w:left w:val="none" w:sz="0" w:space="0" w:color="auto"/>
        <w:bottom w:val="none" w:sz="0" w:space="0" w:color="auto"/>
        <w:right w:val="none" w:sz="0" w:space="0" w:color="auto"/>
      </w:divBdr>
    </w:div>
    <w:div w:id="1773549622">
      <w:bodyDiv w:val="1"/>
      <w:marLeft w:val="0"/>
      <w:marRight w:val="0"/>
      <w:marTop w:val="0"/>
      <w:marBottom w:val="0"/>
      <w:divBdr>
        <w:top w:val="none" w:sz="0" w:space="0" w:color="auto"/>
        <w:left w:val="none" w:sz="0" w:space="0" w:color="auto"/>
        <w:bottom w:val="none" w:sz="0" w:space="0" w:color="auto"/>
        <w:right w:val="none" w:sz="0" w:space="0" w:color="auto"/>
      </w:divBdr>
    </w:div>
    <w:div w:id="1847479546">
      <w:bodyDiv w:val="1"/>
      <w:marLeft w:val="0"/>
      <w:marRight w:val="0"/>
      <w:marTop w:val="0"/>
      <w:marBottom w:val="0"/>
      <w:divBdr>
        <w:top w:val="none" w:sz="0" w:space="0" w:color="auto"/>
        <w:left w:val="none" w:sz="0" w:space="0" w:color="auto"/>
        <w:bottom w:val="none" w:sz="0" w:space="0" w:color="auto"/>
        <w:right w:val="none" w:sz="0" w:space="0" w:color="auto"/>
      </w:divBdr>
    </w:div>
    <w:div w:id="1852254851">
      <w:bodyDiv w:val="1"/>
      <w:marLeft w:val="0"/>
      <w:marRight w:val="0"/>
      <w:marTop w:val="0"/>
      <w:marBottom w:val="0"/>
      <w:divBdr>
        <w:top w:val="none" w:sz="0" w:space="0" w:color="auto"/>
        <w:left w:val="none" w:sz="0" w:space="0" w:color="auto"/>
        <w:bottom w:val="none" w:sz="0" w:space="0" w:color="auto"/>
        <w:right w:val="none" w:sz="0" w:space="0" w:color="auto"/>
      </w:divBdr>
    </w:div>
    <w:div w:id="1874615024">
      <w:bodyDiv w:val="1"/>
      <w:marLeft w:val="0"/>
      <w:marRight w:val="0"/>
      <w:marTop w:val="0"/>
      <w:marBottom w:val="0"/>
      <w:divBdr>
        <w:top w:val="none" w:sz="0" w:space="0" w:color="auto"/>
        <w:left w:val="none" w:sz="0" w:space="0" w:color="auto"/>
        <w:bottom w:val="none" w:sz="0" w:space="0" w:color="auto"/>
        <w:right w:val="none" w:sz="0" w:space="0" w:color="auto"/>
      </w:divBdr>
    </w:div>
    <w:div w:id="1902473625">
      <w:bodyDiv w:val="1"/>
      <w:marLeft w:val="0"/>
      <w:marRight w:val="0"/>
      <w:marTop w:val="0"/>
      <w:marBottom w:val="0"/>
      <w:divBdr>
        <w:top w:val="none" w:sz="0" w:space="0" w:color="auto"/>
        <w:left w:val="none" w:sz="0" w:space="0" w:color="auto"/>
        <w:bottom w:val="none" w:sz="0" w:space="0" w:color="auto"/>
        <w:right w:val="none" w:sz="0" w:space="0" w:color="auto"/>
      </w:divBdr>
    </w:div>
    <w:div w:id="1904944171">
      <w:bodyDiv w:val="1"/>
      <w:marLeft w:val="0"/>
      <w:marRight w:val="0"/>
      <w:marTop w:val="0"/>
      <w:marBottom w:val="0"/>
      <w:divBdr>
        <w:top w:val="none" w:sz="0" w:space="0" w:color="auto"/>
        <w:left w:val="none" w:sz="0" w:space="0" w:color="auto"/>
        <w:bottom w:val="none" w:sz="0" w:space="0" w:color="auto"/>
        <w:right w:val="none" w:sz="0" w:space="0" w:color="auto"/>
      </w:divBdr>
    </w:div>
    <w:div w:id="1910772015">
      <w:bodyDiv w:val="1"/>
      <w:marLeft w:val="0"/>
      <w:marRight w:val="0"/>
      <w:marTop w:val="0"/>
      <w:marBottom w:val="0"/>
      <w:divBdr>
        <w:top w:val="none" w:sz="0" w:space="0" w:color="auto"/>
        <w:left w:val="none" w:sz="0" w:space="0" w:color="auto"/>
        <w:bottom w:val="none" w:sz="0" w:space="0" w:color="auto"/>
        <w:right w:val="none" w:sz="0" w:space="0" w:color="auto"/>
      </w:divBdr>
    </w:div>
    <w:div w:id="1936277999">
      <w:bodyDiv w:val="1"/>
      <w:marLeft w:val="0"/>
      <w:marRight w:val="0"/>
      <w:marTop w:val="0"/>
      <w:marBottom w:val="0"/>
      <w:divBdr>
        <w:top w:val="none" w:sz="0" w:space="0" w:color="auto"/>
        <w:left w:val="none" w:sz="0" w:space="0" w:color="auto"/>
        <w:bottom w:val="none" w:sz="0" w:space="0" w:color="auto"/>
        <w:right w:val="none" w:sz="0" w:space="0" w:color="auto"/>
      </w:divBdr>
    </w:div>
    <w:div w:id="1946157762">
      <w:bodyDiv w:val="1"/>
      <w:marLeft w:val="0"/>
      <w:marRight w:val="0"/>
      <w:marTop w:val="0"/>
      <w:marBottom w:val="0"/>
      <w:divBdr>
        <w:top w:val="none" w:sz="0" w:space="0" w:color="auto"/>
        <w:left w:val="none" w:sz="0" w:space="0" w:color="auto"/>
        <w:bottom w:val="none" w:sz="0" w:space="0" w:color="auto"/>
        <w:right w:val="none" w:sz="0" w:space="0" w:color="auto"/>
      </w:divBdr>
    </w:div>
    <w:div w:id="1956907958">
      <w:bodyDiv w:val="1"/>
      <w:marLeft w:val="0"/>
      <w:marRight w:val="0"/>
      <w:marTop w:val="0"/>
      <w:marBottom w:val="0"/>
      <w:divBdr>
        <w:top w:val="none" w:sz="0" w:space="0" w:color="auto"/>
        <w:left w:val="none" w:sz="0" w:space="0" w:color="auto"/>
        <w:bottom w:val="none" w:sz="0" w:space="0" w:color="auto"/>
        <w:right w:val="none" w:sz="0" w:space="0" w:color="auto"/>
      </w:divBdr>
    </w:div>
    <w:div w:id="1966963003">
      <w:bodyDiv w:val="1"/>
      <w:marLeft w:val="0"/>
      <w:marRight w:val="0"/>
      <w:marTop w:val="0"/>
      <w:marBottom w:val="0"/>
      <w:divBdr>
        <w:top w:val="none" w:sz="0" w:space="0" w:color="auto"/>
        <w:left w:val="none" w:sz="0" w:space="0" w:color="auto"/>
        <w:bottom w:val="none" w:sz="0" w:space="0" w:color="auto"/>
        <w:right w:val="none" w:sz="0" w:space="0" w:color="auto"/>
      </w:divBdr>
    </w:div>
    <w:div w:id="1977484526">
      <w:bodyDiv w:val="1"/>
      <w:marLeft w:val="0"/>
      <w:marRight w:val="0"/>
      <w:marTop w:val="0"/>
      <w:marBottom w:val="0"/>
      <w:divBdr>
        <w:top w:val="none" w:sz="0" w:space="0" w:color="auto"/>
        <w:left w:val="none" w:sz="0" w:space="0" w:color="auto"/>
        <w:bottom w:val="none" w:sz="0" w:space="0" w:color="auto"/>
        <w:right w:val="none" w:sz="0" w:space="0" w:color="auto"/>
      </w:divBdr>
    </w:div>
    <w:div w:id="1992128813">
      <w:bodyDiv w:val="1"/>
      <w:marLeft w:val="0"/>
      <w:marRight w:val="0"/>
      <w:marTop w:val="0"/>
      <w:marBottom w:val="0"/>
      <w:divBdr>
        <w:top w:val="none" w:sz="0" w:space="0" w:color="auto"/>
        <w:left w:val="none" w:sz="0" w:space="0" w:color="auto"/>
        <w:bottom w:val="none" w:sz="0" w:space="0" w:color="auto"/>
        <w:right w:val="none" w:sz="0" w:space="0" w:color="auto"/>
      </w:divBdr>
    </w:div>
    <w:div w:id="2012953108">
      <w:bodyDiv w:val="1"/>
      <w:marLeft w:val="0"/>
      <w:marRight w:val="0"/>
      <w:marTop w:val="0"/>
      <w:marBottom w:val="0"/>
      <w:divBdr>
        <w:top w:val="none" w:sz="0" w:space="0" w:color="auto"/>
        <w:left w:val="none" w:sz="0" w:space="0" w:color="auto"/>
        <w:bottom w:val="none" w:sz="0" w:space="0" w:color="auto"/>
        <w:right w:val="none" w:sz="0" w:space="0" w:color="auto"/>
      </w:divBdr>
    </w:div>
    <w:div w:id="2018120504">
      <w:bodyDiv w:val="1"/>
      <w:marLeft w:val="0"/>
      <w:marRight w:val="0"/>
      <w:marTop w:val="0"/>
      <w:marBottom w:val="0"/>
      <w:divBdr>
        <w:top w:val="none" w:sz="0" w:space="0" w:color="auto"/>
        <w:left w:val="none" w:sz="0" w:space="0" w:color="auto"/>
        <w:bottom w:val="none" w:sz="0" w:space="0" w:color="auto"/>
        <w:right w:val="none" w:sz="0" w:space="0" w:color="auto"/>
      </w:divBdr>
    </w:div>
    <w:div w:id="2028943093">
      <w:bodyDiv w:val="1"/>
      <w:marLeft w:val="0"/>
      <w:marRight w:val="0"/>
      <w:marTop w:val="0"/>
      <w:marBottom w:val="0"/>
      <w:divBdr>
        <w:top w:val="none" w:sz="0" w:space="0" w:color="auto"/>
        <w:left w:val="none" w:sz="0" w:space="0" w:color="auto"/>
        <w:bottom w:val="none" w:sz="0" w:space="0" w:color="auto"/>
        <w:right w:val="none" w:sz="0" w:space="0" w:color="auto"/>
      </w:divBdr>
    </w:div>
    <w:div w:id="2063140511">
      <w:bodyDiv w:val="1"/>
      <w:marLeft w:val="0"/>
      <w:marRight w:val="0"/>
      <w:marTop w:val="0"/>
      <w:marBottom w:val="0"/>
      <w:divBdr>
        <w:top w:val="none" w:sz="0" w:space="0" w:color="auto"/>
        <w:left w:val="none" w:sz="0" w:space="0" w:color="auto"/>
        <w:bottom w:val="none" w:sz="0" w:space="0" w:color="auto"/>
        <w:right w:val="none" w:sz="0" w:space="0" w:color="auto"/>
      </w:divBdr>
    </w:div>
    <w:div w:id="2109424967">
      <w:bodyDiv w:val="1"/>
      <w:marLeft w:val="0"/>
      <w:marRight w:val="0"/>
      <w:marTop w:val="0"/>
      <w:marBottom w:val="0"/>
      <w:divBdr>
        <w:top w:val="none" w:sz="0" w:space="0" w:color="auto"/>
        <w:left w:val="none" w:sz="0" w:space="0" w:color="auto"/>
        <w:bottom w:val="none" w:sz="0" w:space="0" w:color="auto"/>
        <w:right w:val="none" w:sz="0" w:space="0" w:color="auto"/>
      </w:divBdr>
    </w:div>
    <w:div w:id="2113470632">
      <w:bodyDiv w:val="1"/>
      <w:marLeft w:val="0"/>
      <w:marRight w:val="0"/>
      <w:marTop w:val="0"/>
      <w:marBottom w:val="0"/>
      <w:divBdr>
        <w:top w:val="none" w:sz="0" w:space="0" w:color="auto"/>
        <w:left w:val="none" w:sz="0" w:space="0" w:color="auto"/>
        <w:bottom w:val="none" w:sz="0" w:space="0" w:color="auto"/>
        <w:right w:val="none" w:sz="0" w:space="0" w:color="auto"/>
      </w:divBdr>
    </w:div>
    <w:div w:id="212896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registeruz.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registeruz.s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mfsr.sk/sk/financie/statne-vykaznictvo/klucove-dokumenty-uctovne-zavierky/suhrnna-vyrocna-sprava-sr/"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5D7B2187195D4EA32149478ACC03A0" ma:contentTypeVersion="3" ma:contentTypeDescription="Create a new document." ma:contentTypeScope="" ma:versionID="585874285d15f12278cd40a3abb7fd4f">
  <xsd:schema xmlns:xsd="http://www.w3.org/2001/XMLSchema" xmlns:xs="http://www.w3.org/2001/XMLSchema" xmlns:p="http://schemas.microsoft.com/office/2006/metadata/properties" xmlns:ns2="3569a2cc-138a-401f-9249-a5e4c8a0319e" targetNamespace="http://schemas.microsoft.com/office/2006/metadata/properties" ma:root="true" ma:fieldsID="d368aa353419b9bb30be0257331bef72" ns2:_="">
    <xsd:import namespace="3569a2cc-138a-401f-9249-a5e4c8a0319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9a2cc-138a-401f-9249-a5e4c8a03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671C7-4A88-4048-95E2-029F756433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A75B91-C6C8-4344-9D5F-11A6EC89DED4}">
  <ds:schemaRefs>
    <ds:schemaRef ds:uri="http://schemas.openxmlformats.org/officeDocument/2006/bibliography"/>
  </ds:schemaRefs>
</ds:datastoreItem>
</file>

<file path=customXml/itemProps3.xml><?xml version="1.0" encoding="utf-8"?>
<ds:datastoreItem xmlns:ds="http://schemas.openxmlformats.org/officeDocument/2006/customXml" ds:itemID="{F7F0CE3E-9D9F-4701-80DC-2A9907EA1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9a2cc-138a-401f-9249-a5e4c8a03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5FA1F9-C585-497E-AA29-8578ECC68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70</Pages>
  <Words>36742</Words>
  <Characters>209434</Characters>
  <Application>Microsoft Office Word</Application>
  <DocSecurity>0</DocSecurity>
  <Lines>1745</Lines>
  <Paragraphs>491</Paragraphs>
  <ScaleCrop>false</ScaleCrop>
  <HeadingPairs>
    <vt:vector size="2" baseType="variant">
      <vt:variant>
        <vt:lpstr>Názov</vt:lpstr>
      </vt:variant>
      <vt:variant>
        <vt:i4>1</vt:i4>
      </vt:variant>
    </vt:vector>
  </HeadingPairs>
  <TitlesOfParts>
    <vt:vector size="1" baseType="lpstr">
      <vt:lpstr/>
    </vt:vector>
  </TitlesOfParts>
  <Company>Ministerstvo financii Slovenskej republiky</Company>
  <LinksUpToDate>false</LinksUpToDate>
  <CharactersWithSpaces>245685</CharactersWithSpaces>
  <SharedDoc>false</SharedDoc>
  <HLinks>
    <vt:vector size="480" baseType="variant">
      <vt:variant>
        <vt:i4>1572947</vt:i4>
      </vt:variant>
      <vt:variant>
        <vt:i4>372</vt:i4>
      </vt:variant>
      <vt:variant>
        <vt:i4>0</vt:i4>
      </vt:variant>
      <vt:variant>
        <vt:i4>5</vt:i4>
      </vt:variant>
      <vt:variant>
        <vt:lpwstr>http://www.registeruz.sk/</vt:lpwstr>
      </vt:variant>
      <vt:variant>
        <vt:lpwstr/>
      </vt:variant>
      <vt:variant>
        <vt:i4>1572947</vt:i4>
      </vt:variant>
      <vt:variant>
        <vt:i4>366</vt:i4>
      </vt:variant>
      <vt:variant>
        <vt:i4>0</vt:i4>
      </vt:variant>
      <vt:variant>
        <vt:i4>5</vt:i4>
      </vt:variant>
      <vt:variant>
        <vt:lpwstr>http://www.registeruz.sk/</vt:lpwstr>
      </vt:variant>
      <vt:variant>
        <vt:lpwstr/>
      </vt:variant>
      <vt:variant>
        <vt:i4>3670516</vt:i4>
      </vt:variant>
      <vt:variant>
        <vt:i4>363</vt:i4>
      </vt:variant>
      <vt:variant>
        <vt:i4>0</vt:i4>
      </vt:variant>
      <vt:variant>
        <vt:i4>5</vt:i4>
      </vt:variant>
      <vt:variant>
        <vt:lpwstr/>
      </vt:variant>
      <vt:variant>
        <vt:lpwstr>_Ostatné_finančné_náklady</vt:lpwstr>
      </vt:variant>
      <vt:variant>
        <vt:i4>1769604</vt:i4>
      </vt:variant>
      <vt:variant>
        <vt:i4>360</vt:i4>
      </vt:variant>
      <vt:variant>
        <vt:i4>0</vt:i4>
      </vt:variant>
      <vt:variant>
        <vt:i4>5</vt:i4>
      </vt:variant>
      <vt:variant>
        <vt:lpwstr/>
      </vt:variant>
      <vt:variant>
        <vt:lpwstr>_Podiel_na_výsledku_1</vt:lpwstr>
      </vt:variant>
      <vt:variant>
        <vt:i4>15335532</vt:i4>
      </vt:variant>
      <vt:variant>
        <vt:i4>357</vt:i4>
      </vt:variant>
      <vt:variant>
        <vt:i4>0</vt:i4>
      </vt:variant>
      <vt:variant>
        <vt:i4>5</vt:i4>
      </vt:variant>
      <vt:variant>
        <vt:lpwstr/>
      </vt:variant>
      <vt:variant>
        <vt:lpwstr>_Kurzové_straty</vt:lpwstr>
      </vt:variant>
      <vt:variant>
        <vt:i4>14483481</vt:i4>
      </vt:variant>
      <vt:variant>
        <vt:i4>354</vt:i4>
      </vt:variant>
      <vt:variant>
        <vt:i4>0</vt:i4>
      </vt:variant>
      <vt:variant>
        <vt:i4>5</vt:i4>
      </vt:variant>
      <vt:variant>
        <vt:lpwstr/>
      </vt:variant>
      <vt:variant>
        <vt:lpwstr>_Úroky_1</vt:lpwstr>
      </vt:variant>
      <vt:variant>
        <vt:i4>27787339</vt:i4>
      </vt:variant>
      <vt:variant>
        <vt:i4>351</vt:i4>
      </vt:variant>
      <vt:variant>
        <vt:i4>0</vt:i4>
      </vt:variant>
      <vt:variant>
        <vt:i4>5</vt:i4>
      </vt:variant>
      <vt:variant>
        <vt:lpwstr/>
      </vt:variant>
      <vt:variant>
        <vt:lpwstr>_Opravné_položky_1</vt:lpwstr>
      </vt:variant>
      <vt:variant>
        <vt:i4>3276918</vt:i4>
      </vt:variant>
      <vt:variant>
        <vt:i4>348</vt:i4>
      </vt:variant>
      <vt:variant>
        <vt:i4>0</vt:i4>
      </vt:variant>
      <vt:variant>
        <vt:i4>5</vt:i4>
      </vt:variant>
      <vt:variant>
        <vt:lpwstr/>
      </vt:variant>
      <vt:variant>
        <vt:lpwstr>_Rezervy_1</vt:lpwstr>
      </vt:variant>
      <vt:variant>
        <vt:i4>14614649</vt:i4>
      </vt:variant>
      <vt:variant>
        <vt:i4>345</vt:i4>
      </vt:variant>
      <vt:variant>
        <vt:i4>0</vt:i4>
      </vt:variant>
      <vt:variant>
        <vt:i4>5</vt:i4>
      </vt:variant>
      <vt:variant>
        <vt:lpwstr/>
      </vt:variant>
      <vt:variant>
        <vt:lpwstr>_Odpisy_dlhodobého_majetku</vt:lpwstr>
      </vt:variant>
      <vt:variant>
        <vt:i4>11468823</vt:i4>
      </vt:variant>
      <vt:variant>
        <vt:i4>342</vt:i4>
      </vt:variant>
      <vt:variant>
        <vt:i4>0</vt:i4>
      </vt:variant>
      <vt:variant>
        <vt:i4>5</vt:i4>
      </vt:variant>
      <vt:variant>
        <vt:lpwstr/>
      </vt:variant>
      <vt:variant>
        <vt:lpwstr>_Ostatné_sociálne_náklady</vt:lpwstr>
      </vt:variant>
      <vt:variant>
        <vt:i4>1900593</vt:i4>
      </vt:variant>
      <vt:variant>
        <vt:i4>339</vt:i4>
      </vt:variant>
      <vt:variant>
        <vt:i4>0</vt:i4>
      </vt:variant>
      <vt:variant>
        <vt:i4>5</vt:i4>
      </vt:variant>
      <vt:variant>
        <vt:lpwstr/>
      </vt:variant>
      <vt:variant>
        <vt:lpwstr>_Zdravotné_a_sociálne</vt:lpwstr>
      </vt:variant>
      <vt:variant>
        <vt:i4>589861</vt:i4>
      </vt:variant>
      <vt:variant>
        <vt:i4>336</vt:i4>
      </vt:variant>
      <vt:variant>
        <vt:i4>0</vt:i4>
      </vt:variant>
      <vt:variant>
        <vt:i4>5</vt:i4>
      </vt:variant>
      <vt:variant>
        <vt:lpwstr/>
      </vt:variant>
      <vt:variant>
        <vt:lpwstr>_Mzdy</vt:lpwstr>
      </vt:variant>
      <vt:variant>
        <vt:i4>8781859</vt:i4>
      </vt:variant>
      <vt:variant>
        <vt:i4>333</vt:i4>
      </vt:variant>
      <vt:variant>
        <vt:i4>0</vt:i4>
      </vt:variant>
      <vt:variant>
        <vt:i4>5</vt:i4>
      </vt:variant>
      <vt:variant>
        <vt:lpwstr/>
      </vt:variant>
      <vt:variant>
        <vt:lpwstr>_Ostatné</vt:lpwstr>
      </vt:variant>
      <vt:variant>
        <vt:i4>2490424</vt:i4>
      </vt:variant>
      <vt:variant>
        <vt:i4>330</vt:i4>
      </vt:variant>
      <vt:variant>
        <vt:i4>0</vt:i4>
      </vt:variant>
      <vt:variant>
        <vt:i4>5</vt:i4>
      </vt:variant>
      <vt:variant>
        <vt:lpwstr/>
      </vt:variant>
      <vt:variant>
        <vt:lpwstr>_Spotreba_energií</vt:lpwstr>
      </vt:variant>
      <vt:variant>
        <vt:i4>16318582</vt:i4>
      </vt:variant>
      <vt:variant>
        <vt:i4>327</vt:i4>
      </vt:variant>
      <vt:variant>
        <vt:i4>0</vt:i4>
      </vt:variant>
      <vt:variant>
        <vt:i4>5</vt:i4>
      </vt:variant>
      <vt:variant>
        <vt:lpwstr/>
      </vt:variant>
      <vt:variant>
        <vt:lpwstr>_Predaný_tovar</vt:lpwstr>
      </vt:variant>
      <vt:variant>
        <vt:i4>5374165</vt:i4>
      </vt:variant>
      <vt:variant>
        <vt:i4>324</vt:i4>
      </vt:variant>
      <vt:variant>
        <vt:i4>0</vt:i4>
      </vt:variant>
      <vt:variant>
        <vt:i4>5</vt:i4>
      </vt:variant>
      <vt:variant>
        <vt:lpwstr/>
      </vt:variant>
      <vt:variant>
        <vt:lpwstr>_Spotreba_materiálu</vt:lpwstr>
      </vt:variant>
      <vt:variant>
        <vt:i4>3866932</vt:i4>
      </vt:variant>
      <vt:variant>
        <vt:i4>321</vt:i4>
      </vt:variant>
      <vt:variant>
        <vt:i4>0</vt:i4>
      </vt:variant>
      <vt:variant>
        <vt:i4>5</vt:i4>
      </vt:variant>
      <vt:variant>
        <vt:lpwstr/>
      </vt:variant>
      <vt:variant>
        <vt:lpwstr>_Služby_1</vt:lpwstr>
      </vt:variant>
      <vt:variant>
        <vt:i4>16515188</vt:i4>
      </vt:variant>
      <vt:variant>
        <vt:i4>318</vt:i4>
      </vt:variant>
      <vt:variant>
        <vt:i4>0</vt:i4>
      </vt:variant>
      <vt:variant>
        <vt:i4>5</vt:i4>
      </vt:variant>
      <vt:variant>
        <vt:lpwstr/>
      </vt:variant>
      <vt:variant>
        <vt:lpwstr>_Ostatné_transfery</vt:lpwstr>
      </vt:variant>
      <vt:variant>
        <vt:i4>18940023</vt:i4>
      </vt:variant>
      <vt:variant>
        <vt:i4>315</vt:i4>
      </vt:variant>
      <vt:variant>
        <vt:i4>0</vt:i4>
      </vt:variant>
      <vt:variant>
        <vt:i4>5</vt:i4>
      </vt:variant>
      <vt:variant>
        <vt:lpwstr/>
      </vt:variant>
      <vt:variant>
        <vt:lpwstr>_Odvod_do_rozpočtu</vt:lpwstr>
      </vt:variant>
      <vt:variant>
        <vt:i4>26804244</vt:i4>
      </vt:variant>
      <vt:variant>
        <vt:i4>312</vt:i4>
      </vt:variant>
      <vt:variant>
        <vt:i4>0</vt:i4>
      </vt:variant>
      <vt:variant>
        <vt:i4>5</vt:i4>
      </vt:variant>
      <vt:variant>
        <vt:lpwstr/>
      </vt:variant>
      <vt:variant>
        <vt:lpwstr>_Opravné_položky</vt:lpwstr>
      </vt:variant>
      <vt:variant>
        <vt:i4>196649</vt:i4>
      </vt:variant>
      <vt:variant>
        <vt:i4>309</vt:i4>
      </vt:variant>
      <vt:variant>
        <vt:i4>0</vt:i4>
      </vt:variant>
      <vt:variant>
        <vt:i4>5</vt:i4>
      </vt:variant>
      <vt:variant>
        <vt:lpwstr/>
      </vt:variant>
      <vt:variant>
        <vt:lpwstr>_Rezervy</vt:lpwstr>
      </vt:variant>
      <vt:variant>
        <vt:i4>3801595</vt:i4>
      </vt:variant>
      <vt:variant>
        <vt:i4>306</vt:i4>
      </vt:variant>
      <vt:variant>
        <vt:i4>0</vt:i4>
      </vt:variant>
      <vt:variant>
        <vt:i4>5</vt:i4>
      </vt:variant>
      <vt:variant>
        <vt:lpwstr/>
      </vt:variant>
      <vt:variant>
        <vt:lpwstr>_Ostatné_finančné_výnosy</vt:lpwstr>
      </vt:variant>
      <vt:variant>
        <vt:i4>4456689</vt:i4>
      </vt:variant>
      <vt:variant>
        <vt:i4>303</vt:i4>
      </vt:variant>
      <vt:variant>
        <vt:i4>0</vt:i4>
      </vt:variant>
      <vt:variant>
        <vt:i4>5</vt:i4>
      </vt:variant>
      <vt:variant>
        <vt:lpwstr/>
      </vt:variant>
      <vt:variant>
        <vt:lpwstr>_Podiel_na_výsledku</vt:lpwstr>
      </vt:variant>
      <vt:variant>
        <vt:i4>15663227</vt:i4>
      </vt:variant>
      <vt:variant>
        <vt:i4>300</vt:i4>
      </vt:variant>
      <vt:variant>
        <vt:i4>0</vt:i4>
      </vt:variant>
      <vt:variant>
        <vt:i4>5</vt:i4>
      </vt:variant>
      <vt:variant>
        <vt:lpwstr/>
      </vt:variant>
      <vt:variant>
        <vt:lpwstr>_Kurzové_zisky</vt:lpwstr>
      </vt:variant>
      <vt:variant>
        <vt:i4>15466566</vt:i4>
      </vt:variant>
      <vt:variant>
        <vt:i4>297</vt:i4>
      </vt:variant>
      <vt:variant>
        <vt:i4>0</vt:i4>
      </vt:variant>
      <vt:variant>
        <vt:i4>5</vt:i4>
      </vt:variant>
      <vt:variant>
        <vt:lpwstr/>
      </vt:variant>
      <vt:variant>
        <vt:lpwstr>_Úroky</vt:lpwstr>
      </vt:variant>
      <vt:variant>
        <vt:i4>15532270</vt:i4>
      </vt:variant>
      <vt:variant>
        <vt:i4>294</vt:i4>
      </vt:variant>
      <vt:variant>
        <vt:i4>0</vt:i4>
      </vt:variant>
      <vt:variant>
        <vt:i4>5</vt:i4>
      </vt:variant>
      <vt:variant>
        <vt:lpwstr/>
      </vt:variant>
      <vt:variant>
        <vt:lpwstr>_Ostatné_výnosy</vt:lpwstr>
      </vt:variant>
      <vt:variant>
        <vt:i4>4259854</vt:i4>
      </vt:variant>
      <vt:variant>
        <vt:i4>291</vt:i4>
      </vt:variant>
      <vt:variant>
        <vt:i4>0</vt:i4>
      </vt:variant>
      <vt:variant>
        <vt:i4>5</vt:i4>
      </vt:variant>
      <vt:variant>
        <vt:lpwstr/>
      </vt:variant>
      <vt:variant>
        <vt:lpwstr>_Tovar_1</vt:lpwstr>
      </vt:variant>
      <vt:variant>
        <vt:i4>3014905</vt:i4>
      </vt:variant>
      <vt:variant>
        <vt:i4>288</vt:i4>
      </vt:variant>
      <vt:variant>
        <vt:i4>0</vt:i4>
      </vt:variant>
      <vt:variant>
        <vt:i4>5</vt:i4>
      </vt:variant>
      <vt:variant>
        <vt:lpwstr/>
      </vt:variant>
      <vt:variant>
        <vt:lpwstr>_Výrobky_1</vt:lpwstr>
      </vt:variant>
      <vt:variant>
        <vt:i4>6553933</vt:i4>
      </vt:variant>
      <vt:variant>
        <vt:i4>285</vt:i4>
      </vt:variant>
      <vt:variant>
        <vt:i4>0</vt:i4>
      </vt:variant>
      <vt:variant>
        <vt:i4>5</vt:i4>
      </vt:variant>
      <vt:variant>
        <vt:lpwstr/>
      </vt:variant>
      <vt:variant>
        <vt:lpwstr>_Služby</vt:lpwstr>
      </vt:variant>
      <vt:variant>
        <vt:i4>7602268</vt:i4>
      </vt:variant>
      <vt:variant>
        <vt:i4>282</vt:i4>
      </vt:variant>
      <vt:variant>
        <vt:i4>0</vt:i4>
      </vt:variant>
      <vt:variant>
        <vt:i4>5</vt:i4>
      </vt:variant>
      <vt:variant>
        <vt:lpwstr/>
      </vt:variant>
      <vt:variant>
        <vt:lpwstr>_Výnosy_z_ostatných</vt:lpwstr>
      </vt:variant>
      <vt:variant>
        <vt:i4>17563869</vt:i4>
      </vt:variant>
      <vt:variant>
        <vt:i4>279</vt:i4>
      </vt:variant>
      <vt:variant>
        <vt:i4>0</vt:i4>
      </vt:variant>
      <vt:variant>
        <vt:i4>5</vt:i4>
      </vt:variant>
      <vt:variant>
        <vt:lpwstr/>
      </vt:variant>
      <vt:variant>
        <vt:lpwstr>_Výnosy_z_rozpočtu</vt:lpwstr>
      </vt:variant>
      <vt:variant>
        <vt:i4>655400</vt:i4>
      </vt:variant>
      <vt:variant>
        <vt:i4>276</vt:i4>
      </vt:variant>
      <vt:variant>
        <vt:i4>0</vt:i4>
      </vt:variant>
      <vt:variant>
        <vt:i4>5</vt:i4>
      </vt:variant>
      <vt:variant>
        <vt:lpwstr/>
      </vt:variant>
      <vt:variant>
        <vt:lpwstr>_Poplatky</vt:lpwstr>
      </vt:variant>
      <vt:variant>
        <vt:i4>24445182</vt:i4>
      </vt:variant>
      <vt:variant>
        <vt:i4>273</vt:i4>
      </vt:variant>
      <vt:variant>
        <vt:i4>0</vt:i4>
      </vt:variant>
      <vt:variant>
        <vt:i4>5</vt:i4>
      </vt:variant>
      <vt:variant>
        <vt:lpwstr/>
      </vt:variant>
      <vt:variant>
        <vt:lpwstr>_Daňové_výnosy_územnej</vt:lpwstr>
      </vt:variant>
      <vt:variant>
        <vt:i4>1769612</vt:i4>
      </vt:variant>
      <vt:variant>
        <vt:i4>270</vt:i4>
      </vt:variant>
      <vt:variant>
        <vt:i4>0</vt:i4>
      </vt:variant>
      <vt:variant>
        <vt:i4>5</vt:i4>
      </vt:variant>
      <vt:variant>
        <vt:lpwstr/>
      </vt:variant>
      <vt:variant>
        <vt:lpwstr>_Daňové_výnosy_štátu</vt:lpwstr>
      </vt:variant>
      <vt:variant>
        <vt:i4>8978450</vt:i4>
      </vt:variant>
      <vt:variant>
        <vt:i4>267</vt:i4>
      </vt:variant>
      <vt:variant>
        <vt:i4>0</vt:i4>
      </vt:variant>
      <vt:variant>
        <vt:i4>5</vt:i4>
      </vt:variant>
      <vt:variant>
        <vt:lpwstr/>
      </vt:variant>
      <vt:variant>
        <vt:lpwstr>_Ostatné_záväzky</vt:lpwstr>
      </vt:variant>
      <vt:variant>
        <vt:i4>15663216</vt:i4>
      </vt:variant>
      <vt:variant>
        <vt:i4>264</vt:i4>
      </vt:variant>
      <vt:variant>
        <vt:i4>0</vt:i4>
      </vt:variant>
      <vt:variant>
        <vt:i4>5</vt:i4>
      </vt:variant>
      <vt:variant>
        <vt:lpwstr/>
      </vt:variant>
      <vt:variant>
        <vt:lpwstr>_Prijaté_preddavky</vt:lpwstr>
      </vt:variant>
      <vt:variant>
        <vt:i4>852013</vt:i4>
      </vt:variant>
      <vt:variant>
        <vt:i4>261</vt:i4>
      </vt:variant>
      <vt:variant>
        <vt:i4>0</vt:i4>
      </vt:variant>
      <vt:variant>
        <vt:i4>5</vt:i4>
      </vt:variant>
      <vt:variant>
        <vt:lpwstr/>
      </vt:variant>
      <vt:variant>
        <vt:lpwstr>_Zamestnanci</vt:lpwstr>
      </vt:variant>
      <vt:variant>
        <vt:i4>6094887</vt:i4>
      </vt:variant>
      <vt:variant>
        <vt:i4>258</vt:i4>
      </vt:variant>
      <vt:variant>
        <vt:i4>0</vt:i4>
      </vt:variant>
      <vt:variant>
        <vt:i4>5</vt:i4>
      </vt:variant>
      <vt:variant>
        <vt:lpwstr/>
      </vt:variant>
      <vt:variant>
        <vt:lpwstr>_Bankové_úvery_1</vt:lpwstr>
      </vt:variant>
      <vt:variant>
        <vt:i4>18219212</vt:i4>
      </vt:variant>
      <vt:variant>
        <vt:i4>255</vt:i4>
      </vt:variant>
      <vt:variant>
        <vt:i4>0</vt:i4>
      </vt:variant>
      <vt:variant>
        <vt:i4>5</vt:i4>
      </vt:variant>
      <vt:variant>
        <vt:lpwstr/>
      </vt:variant>
      <vt:variant>
        <vt:lpwstr>_Zúčtovanie_medzi_subjektmi</vt:lpwstr>
      </vt:variant>
      <vt:variant>
        <vt:i4>14483729</vt:i4>
      </vt:variant>
      <vt:variant>
        <vt:i4>252</vt:i4>
      </vt:variant>
      <vt:variant>
        <vt:i4>0</vt:i4>
      </vt:variant>
      <vt:variant>
        <vt:i4>5</vt:i4>
      </vt:variant>
      <vt:variant>
        <vt:lpwstr/>
      </vt:variant>
      <vt:variant>
        <vt:lpwstr>_Záväzky_zo_zúčtovania</vt:lpwstr>
      </vt:variant>
      <vt:variant>
        <vt:i4>983228</vt:i4>
      </vt:variant>
      <vt:variant>
        <vt:i4>249</vt:i4>
      </vt:variant>
      <vt:variant>
        <vt:i4>0</vt:i4>
      </vt:variant>
      <vt:variant>
        <vt:i4>5</vt:i4>
      </vt:variant>
      <vt:variant>
        <vt:lpwstr/>
      </vt:variant>
      <vt:variant>
        <vt:lpwstr>_Dodávatelia</vt:lpwstr>
      </vt:variant>
      <vt:variant>
        <vt:i4>29556842</vt:i4>
      </vt:variant>
      <vt:variant>
        <vt:i4>246</vt:i4>
      </vt:variant>
      <vt:variant>
        <vt:i4>0</vt:i4>
      </vt:variant>
      <vt:variant>
        <vt:i4>5</vt:i4>
      </vt:variant>
      <vt:variant>
        <vt:lpwstr/>
      </vt:variant>
      <vt:variant>
        <vt:lpwstr>_Štátne_dlhopisy_a</vt:lpwstr>
      </vt:variant>
      <vt:variant>
        <vt:i4>10813571</vt:i4>
      </vt:variant>
      <vt:variant>
        <vt:i4>243</vt:i4>
      </vt:variant>
      <vt:variant>
        <vt:i4>0</vt:i4>
      </vt:variant>
      <vt:variant>
        <vt:i4>5</vt:i4>
      </vt:variant>
      <vt:variant>
        <vt:lpwstr/>
      </vt:variant>
      <vt:variant>
        <vt:lpwstr>_Ostatné_dlhodobé_rezervy</vt:lpwstr>
      </vt:variant>
      <vt:variant>
        <vt:i4>6291540</vt:i4>
      </vt:variant>
      <vt:variant>
        <vt:i4>240</vt:i4>
      </vt:variant>
      <vt:variant>
        <vt:i4>0</vt:i4>
      </vt:variant>
      <vt:variant>
        <vt:i4>5</vt:i4>
      </vt:variant>
      <vt:variant>
        <vt:lpwstr/>
      </vt:variant>
      <vt:variant>
        <vt:lpwstr>_Zamestnanecké_požitky_štátnych</vt:lpwstr>
      </vt:variant>
      <vt:variant>
        <vt:i4>12386447</vt:i4>
      </vt:variant>
      <vt:variant>
        <vt:i4>237</vt:i4>
      </vt:variant>
      <vt:variant>
        <vt:i4>0</vt:i4>
      </vt:variant>
      <vt:variant>
        <vt:i4>5</vt:i4>
      </vt:variant>
      <vt:variant>
        <vt:lpwstr/>
      </vt:variant>
      <vt:variant>
        <vt:lpwstr>_Ostatné_dlhodobé_záväzky</vt:lpwstr>
      </vt:variant>
      <vt:variant>
        <vt:i4>7078008</vt:i4>
      </vt:variant>
      <vt:variant>
        <vt:i4>234</vt:i4>
      </vt:variant>
      <vt:variant>
        <vt:i4>0</vt:i4>
      </vt:variant>
      <vt:variant>
        <vt:i4>5</vt:i4>
      </vt:variant>
      <vt:variant>
        <vt:lpwstr/>
      </vt:variant>
      <vt:variant>
        <vt:lpwstr>_Bankové_úvery</vt:lpwstr>
      </vt:variant>
      <vt:variant>
        <vt:i4>27394101</vt:i4>
      </vt:variant>
      <vt:variant>
        <vt:i4>231</vt:i4>
      </vt:variant>
      <vt:variant>
        <vt:i4>0</vt:i4>
      </vt:variant>
      <vt:variant>
        <vt:i4>5</vt:i4>
      </vt:variant>
      <vt:variant>
        <vt:lpwstr/>
      </vt:variant>
      <vt:variant>
        <vt:lpwstr>_Štátne_dlhopisy</vt:lpwstr>
      </vt:variant>
      <vt:variant>
        <vt:i4>2883591</vt:i4>
      </vt:variant>
      <vt:variant>
        <vt:i4>228</vt:i4>
      </vt:variant>
      <vt:variant>
        <vt:i4>0</vt:i4>
      </vt:variant>
      <vt:variant>
        <vt:i4>5</vt:i4>
      </vt:variant>
      <vt:variant>
        <vt:lpwstr/>
      </vt:variant>
      <vt:variant>
        <vt:lpwstr>_Výsledok_hospodárenia_za</vt:lpwstr>
      </vt:variant>
      <vt:variant>
        <vt:i4>4128907</vt:i4>
      </vt:variant>
      <vt:variant>
        <vt:i4>225</vt:i4>
      </vt:variant>
      <vt:variant>
        <vt:i4>0</vt:i4>
      </vt:variant>
      <vt:variant>
        <vt:i4>5</vt:i4>
      </vt:variant>
      <vt:variant>
        <vt:lpwstr/>
      </vt:variant>
      <vt:variant>
        <vt:lpwstr>_Nevysporiadaný_výsledok_hospodáreni</vt:lpwstr>
      </vt:variant>
      <vt:variant>
        <vt:i4>30539919</vt:i4>
      </vt:variant>
      <vt:variant>
        <vt:i4>222</vt:i4>
      </vt:variant>
      <vt:variant>
        <vt:i4>0</vt:i4>
      </vt:variant>
      <vt:variant>
        <vt:i4>5</vt:i4>
      </vt:variant>
      <vt:variant>
        <vt:lpwstr/>
      </vt:variant>
      <vt:variant>
        <vt:lpwstr>_Ostatný_krátkodobý_finančný</vt:lpwstr>
      </vt:variant>
      <vt:variant>
        <vt:i4>8388824</vt:i4>
      </vt:variant>
      <vt:variant>
        <vt:i4>219</vt:i4>
      </vt:variant>
      <vt:variant>
        <vt:i4>0</vt:i4>
      </vt:variant>
      <vt:variant>
        <vt:i4>5</vt:i4>
      </vt:variant>
      <vt:variant>
        <vt:lpwstr/>
      </vt:variant>
      <vt:variant>
        <vt:lpwstr>_Účty_Štátnej_pokladnice</vt:lpwstr>
      </vt:variant>
      <vt:variant>
        <vt:i4>31261020</vt:i4>
      </vt:variant>
      <vt:variant>
        <vt:i4>216</vt:i4>
      </vt:variant>
      <vt:variant>
        <vt:i4>0</vt:i4>
      </vt:variant>
      <vt:variant>
        <vt:i4>5</vt:i4>
      </vt:variant>
      <vt:variant>
        <vt:lpwstr/>
      </vt:variant>
      <vt:variant>
        <vt:lpwstr>_Bežné_bankové_účty,</vt:lpwstr>
      </vt:variant>
      <vt:variant>
        <vt:i4>17039456</vt:i4>
      </vt:variant>
      <vt:variant>
        <vt:i4>213</vt:i4>
      </vt:variant>
      <vt:variant>
        <vt:i4>0</vt:i4>
      </vt:variant>
      <vt:variant>
        <vt:i4>5</vt:i4>
      </vt:variant>
      <vt:variant>
        <vt:lpwstr/>
      </vt:variant>
      <vt:variant>
        <vt:lpwstr>_Ostatné_krátkodobé_pohľadávky</vt:lpwstr>
      </vt:variant>
      <vt:variant>
        <vt:i4>24314017</vt:i4>
      </vt:variant>
      <vt:variant>
        <vt:i4>210</vt:i4>
      </vt:variant>
      <vt:variant>
        <vt:i4>0</vt:i4>
      </vt:variant>
      <vt:variant>
        <vt:i4>5</vt:i4>
      </vt:variant>
      <vt:variant>
        <vt:lpwstr/>
      </vt:variant>
      <vt:variant>
        <vt:lpwstr>_Zúčtovanie_medzi_subjektami</vt:lpwstr>
      </vt:variant>
      <vt:variant>
        <vt:i4>30605782</vt:i4>
      </vt:variant>
      <vt:variant>
        <vt:i4>207</vt:i4>
      </vt:variant>
      <vt:variant>
        <vt:i4>0</vt:i4>
      </vt:variant>
      <vt:variant>
        <vt:i4>5</vt:i4>
      </vt:variant>
      <vt:variant>
        <vt:lpwstr/>
      </vt:variant>
      <vt:variant>
        <vt:lpwstr>_Pohľadávky_zo_zúčtovania</vt:lpwstr>
      </vt:variant>
      <vt:variant>
        <vt:i4>8126669</vt:i4>
      </vt:variant>
      <vt:variant>
        <vt:i4>204</vt:i4>
      </vt:variant>
      <vt:variant>
        <vt:i4>0</vt:i4>
      </vt:variant>
      <vt:variant>
        <vt:i4>5</vt:i4>
      </vt:variant>
      <vt:variant>
        <vt:lpwstr/>
      </vt:variant>
      <vt:variant>
        <vt:lpwstr>_Poskytnuté_preddavky_1</vt:lpwstr>
      </vt:variant>
      <vt:variant>
        <vt:i4>393267</vt:i4>
      </vt:variant>
      <vt:variant>
        <vt:i4>201</vt:i4>
      </vt:variant>
      <vt:variant>
        <vt:i4>0</vt:i4>
      </vt:variant>
      <vt:variant>
        <vt:i4>5</vt:i4>
      </vt:variant>
      <vt:variant>
        <vt:lpwstr/>
      </vt:variant>
      <vt:variant>
        <vt:lpwstr>_Odberatelia</vt:lpwstr>
      </vt:variant>
      <vt:variant>
        <vt:i4>27525233</vt:i4>
      </vt:variant>
      <vt:variant>
        <vt:i4>198</vt:i4>
      </vt:variant>
      <vt:variant>
        <vt:i4>0</vt:i4>
      </vt:variant>
      <vt:variant>
        <vt:i4>5</vt:i4>
      </vt:variant>
      <vt:variant>
        <vt:lpwstr/>
      </vt:variant>
      <vt:variant>
        <vt:lpwstr>_Nedaňové_pohľadávky_štátu</vt:lpwstr>
      </vt:variant>
      <vt:variant>
        <vt:i4>10748006</vt:i4>
      </vt:variant>
      <vt:variant>
        <vt:i4>195</vt:i4>
      </vt:variant>
      <vt:variant>
        <vt:i4>0</vt:i4>
      </vt:variant>
      <vt:variant>
        <vt:i4>5</vt:i4>
      </vt:variant>
      <vt:variant>
        <vt:lpwstr/>
      </vt:variant>
      <vt:variant>
        <vt:lpwstr>_Daňové_pohľadávky_územnej</vt:lpwstr>
      </vt:variant>
      <vt:variant>
        <vt:i4>22741206</vt:i4>
      </vt:variant>
      <vt:variant>
        <vt:i4>192</vt:i4>
      </vt:variant>
      <vt:variant>
        <vt:i4>0</vt:i4>
      </vt:variant>
      <vt:variant>
        <vt:i4>5</vt:i4>
      </vt:variant>
      <vt:variant>
        <vt:lpwstr/>
      </vt:variant>
      <vt:variant>
        <vt:lpwstr>_Daňové_a_colné</vt:lpwstr>
      </vt:variant>
      <vt:variant>
        <vt:i4>15532274</vt:i4>
      </vt:variant>
      <vt:variant>
        <vt:i4>189</vt:i4>
      </vt:variant>
      <vt:variant>
        <vt:i4>0</vt:i4>
      </vt:variant>
      <vt:variant>
        <vt:i4>5</vt:i4>
      </vt:variant>
      <vt:variant>
        <vt:lpwstr/>
      </vt:variant>
      <vt:variant>
        <vt:lpwstr>_Ostatné_zásoby</vt:lpwstr>
      </vt:variant>
      <vt:variant>
        <vt:i4>2031782</vt:i4>
      </vt:variant>
      <vt:variant>
        <vt:i4>186</vt:i4>
      </vt:variant>
      <vt:variant>
        <vt:i4>0</vt:i4>
      </vt:variant>
      <vt:variant>
        <vt:i4>5</vt:i4>
      </vt:variant>
      <vt:variant>
        <vt:lpwstr/>
      </vt:variant>
      <vt:variant>
        <vt:lpwstr>_Výrobky</vt:lpwstr>
      </vt:variant>
      <vt:variant>
        <vt:i4>7340113</vt:i4>
      </vt:variant>
      <vt:variant>
        <vt:i4>183</vt:i4>
      </vt:variant>
      <vt:variant>
        <vt:i4>0</vt:i4>
      </vt:variant>
      <vt:variant>
        <vt:i4>5</vt:i4>
      </vt:variant>
      <vt:variant>
        <vt:lpwstr/>
      </vt:variant>
      <vt:variant>
        <vt:lpwstr>_Tovar</vt:lpwstr>
      </vt:variant>
      <vt:variant>
        <vt:i4>9044018</vt:i4>
      </vt:variant>
      <vt:variant>
        <vt:i4>180</vt:i4>
      </vt:variant>
      <vt:variant>
        <vt:i4>0</vt:i4>
      </vt:variant>
      <vt:variant>
        <vt:i4>5</vt:i4>
      </vt:variant>
      <vt:variant>
        <vt:lpwstr/>
      </vt:variant>
      <vt:variant>
        <vt:lpwstr>_Materiál</vt:lpwstr>
      </vt:variant>
      <vt:variant>
        <vt:i4>20906213</vt:i4>
      </vt:variant>
      <vt:variant>
        <vt:i4>177</vt:i4>
      </vt:variant>
      <vt:variant>
        <vt:i4>0</vt:i4>
      </vt:variant>
      <vt:variant>
        <vt:i4>5</vt:i4>
      </vt:variant>
      <vt:variant>
        <vt:lpwstr/>
      </vt:variant>
      <vt:variant>
        <vt:lpwstr>_Ostatný_dlhodobý_finančný</vt:lpwstr>
      </vt:variant>
      <vt:variant>
        <vt:i4>14483722</vt:i4>
      </vt:variant>
      <vt:variant>
        <vt:i4>174</vt:i4>
      </vt:variant>
      <vt:variant>
        <vt:i4>0</vt:i4>
      </vt:variant>
      <vt:variant>
        <vt:i4>5</vt:i4>
      </vt:variant>
      <vt:variant>
        <vt:lpwstr/>
      </vt:variant>
      <vt:variant>
        <vt:lpwstr>_Termínované_účty_v</vt:lpwstr>
      </vt:variant>
      <vt:variant>
        <vt:i4>10682585</vt:i4>
      </vt:variant>
      <vt:variant>
        <vt:i4>171</vt:i4>
      </vt:variant>
      <vt:variant>
        <vt:i4>0</vt:i4>
      </vt:variant>
      <vt:variant>
        <vt:i4>5</vt:i4>
      </vt:variant>
      <vt:variant>
        <vt:lpwstr/>
      </vt:variant>
      <vt:variant>
        <vt:lpwstr>_Dlhodobé_pôžičky</vt:lpwstr>
      </vt:variant>
      <vt:variant>
        <vt:i4>8716334</vt:i4>
      </vt:variant>
      <vt:variant>
        <vt:i4>168</vt:i4>
      </vt:variant>
      <vt:variant>
        <vt:i4>0</vt:i4>
      </vt:variant>
      <vt:variant>
        <vt:i4>5</vt:i4>
      </vt:variant>
      <vt:variant>
        <vt:lpwstr/>
      </vt:variant>
      <vt:variant>
        <vt:lpwstr>_Cenné_papiere_a</vt:lpwstr>
      </vt:variant>
      <vt:variant>
        <vt:i4>13566187</vt:i4>
      </vt:variant>
      <vt:variant>
        <vt:i4>165</vt:i4>
      </vt:variant>
      <vt:variant>
        <vt:i4>0</vt:i4>
      </vt:variant>
      <vt:variant>
        <vt:i4>5</vt:i4>
      </vt:variant>
      <vt:variant>
        <vt:lpwstr/>
      </vt:variant>
      <vt:variant>
        <vt:lpwstr>_Ostatný_hmotný_majetok</vt:lpwstr>
      </vt:variant>
      <vt:variant>
        <vt:i4>11730945</vt:i4>
      </vt:variant>
      <vt:variant>
        <vt:i4>162</vt:i4>
      </vt:variant>
      <vt:variant>
        <vt:i4>0</vt:i4>
      </vt:variant>
      <vt:variant>
        <vt:i4>5</vt:i4>
      </vt:variant>
      <vt:variant>
        <vt:lpwstr/>
      </vt:variant>
      <vt:variant>
        <vt:lpwstr>_Obstaranie_hmotného_majetku</vt:lpwstr>
      </vt:variant>
      <vt:variant>
        <vt:i4>2293940</vt:i4>
      </vt:variant>
      <vt:variant>
        <vt:i4>159</vt:i4>
      </vt:variant>
      <vt:variant>
        <vt:i4>0</vt:i4>
      </vt:variant>
      <vt:variant>
        <vt:i4>5</vt:i4>
      </vt:variant>
      <vt:variant>
        <vt:lpwstr/>
      </vt:variant>
      <vt:variant>
        <vt:lpwstr>_Poskytnuté_preddavky</vt:lpwstr>
      </vt:variant>
      <vt:variant>
        <vt:i4>3735739</vt:i4>
      </vt:variant>
      <vt:variant>
        <vt:i4>156</vt:i4>
      </vt:variant>
      <vt:variant>
        <vt:i4>0</vt:i4>
      </vt:variant>
      <vt:variant>
        <vt:i4>5</vt:i4>
      </vt:variant>
      <vt:variant>
        <vt:lpwstr/>
      </vt:variant>
      <vt:variant>
        <vt:lpwstr>_Dopravné_prostriedky</vt:lpwstr>
      </vt:variant>
      <vt:variant>
        <vt:i4>31785108</vt:i4>
      </vt:variant>
      <vt:variant>
        <vt:i4>153</vt:i4>
      </vt:variant>
      <vt:variant>
        <vt:i4>0</vt:i4>
      </vt:variant>
      <vt:variant>
        <vt:i4>5</vt:i4>
      </vt:variant>
      <vt:variant>
        <vt:lpwstr/>
      </vt:variant>
      <vt:variant>
        <vt:lpwstr>_Samostatné_hnuteľné_veci</vt:lpwstr>
      </vt:variant>
      <vt:variant>
        <vt:i4>1966142</vt:i4>
      </vt:variant>
      <vt:variant>
        <vt:i4>150</vt:i4>
      </vt:variant>
      <vt:variant>
        <vt:i4>0</vt:i4>
      </vt:variant>
      <vt:variant>
        <vt:i4>5</vt:i4>
      </vt:variant>
      <vt:variant>
        <vt:lpwstr/>
      </vt:variant>
      <vt:variant>
        <vt:lpwstr>_Pozemky</vt:lpwstr>
      </vt:variant>
      <vt:variant>
        <vt:i4>7340125</vt:i4>
      </vt:variant>
      <vt:variant>
        <vt:i4>147</vt:i4>
      </vt:variant>
      <vt:variant>
        <vt:i4>0</vt:i4>
      </vt:variant>
      <vt:variant>
        <vt:i4>5</vt:i4>
      </vt:variant>
      <vt:variant>
        <vt:lpwstr/>
      </vt:variant>
      <vt:variant>
        <vt:lpwstr>_Stavby</vt:lpwstr>
      </vt:variant>
      <vt:variant>
        <vt:i4>10551438</vt:i4>
      </vt:variant>
      <vt:variant>
        <vt:i4>144</vt:i4>
      </vt:variant>
      <vt:variant>
        <vt:i4>0</vt:i4>
      </vt:variant>
      <vt:variant>
        <vt:i4>5</vt:i4>
      </vt:variant>
      <vt:variant>
        <vt:lpwstr/>
      </vt:variant>
      <vt:variant>
        <vt:lpwstr>_Ostatný_nehmotný_majetok</vt:lpwstr>
      </vt:variant>
      <vt:variant>
        <vt:i4>13041790</vt:i4>
      </vt:variant>
      <vt:variant>
        <vt:i4>141</vt:i4>
      </vt:variant>
      <vt:variant>
        <vt:i4>0</vt:i4>
      </vt:variant>
      <vt:variant>
        <vt:i4>5</vt:i4>
      </vt:variant>
      <vt:variant>
        <vt:lpwstr/>
      </vt:variant>
      <vt:variant>
        <vt:lpwstr>_Obstaranie_nehmotného_majteku</vt:lpwstr>
      </vt:variant>
      <vt:variant>
        <vt:i4>3342688</vt:i4>
      </vt:variant>
      <vt:variant>
        <vt:i4>138</vt:i4>
      </vt:variant>
      <vt:variant>
        <vt:i4>0</vt:i4>
      </vt:variant>
      <vt:variant>
        <vt:i4>5</vt:i4>
      </vt:variant>
      <vt:variant>
        <vt:lpwstr/>
      </vt:variant>
      <vt:variant>
        <vt:lpwstr>_Oceniteľné_práva</vt:lpwstr>
      </vt:variant>
      <vt:variant>
        <vt:i4>1114285</vt:i4>
      </vt:variant>
      <vt:variant>
        <vt:i4>135</vt:i4>
      </vt:variant>
      <vt:variant>
        <vt:i4>0</vt:i4>
      </vt:variant>
      <vt:variant>
        <vt:i4>5</vt:i4>
      </vt:variant>
      <vt:variant>
        <vt:lpwstr/>
      </vt:variant>
      <vt:variant>
        <vt:lpwstr>_Softvér</vt:lpwstr>
      </vt:variant>
      <vt:variant>
        <vt:i4>5767248</vt:i4>
      </vt:variant>
      <vt:variant>
        <vt:i4>0</vt:i4>
      </vt:variant>
      <vt:variant>
        <vt:i4>0</vt:i4>
      </vt:variant>
      <vt:variant>
        <vt:i4>5</vt:i4>
      </vt:variant>
      <vt:variant>
        <vt:lpwstr>https://www.mfsr.sk/sk/financie/statne-vykaznictvo/klucove-dokumenty-uctovne-zavierky/suhrnna-vyrocna-sprava-sr/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Polak Ondrej</dc:creator>
  <cp:keywords/>
  <dc:description/>
  <cp:lastModifiedBy>Ivanek Peter</cp:lastModifiedBy>
  <cp:revision>27</cp:revision>
  <dcterms:created xsi:type="dcterms:W3CDTF">2025-10-27T07:38:00Z</dcterms:created>
  <dcterms:modified xsi:type="dcterms:W3CDTF">2025-10-28T08:11:00Z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b3072af,64bd50a7,55cda0c7,b16aa8a</vt:lpwstr>
  </property>
  <property fmtid="{D5CDD505-2E9C-101B-9397-08002B2CF9AE}" pid="3" name="ClassificationContentMarkingFooterFontProps">
    <vt:lpwstr>#000000,10,Calibri</vt:lpwstr>
  </property>
  <property fmtid="{D5CDD505-2E9C-101B-9397-08002B2CF9AE}" pid="4" name="ClassificationContentMarkingFooterText">
    <vt:lpwstr>Interné</vt:lpwstr>
  </property>
  <property fmtid="{D5CDD505-2E9C-101B-9397-08002B2CF9AE}" pid="5" name="MSIP_Label_4c805978-f532-4a1a-b9e1-4e19c2c6466f_Enabled">
    <vt:lpwstr>true</vt:lpwstr>
  </property>
  <property fmtid="{D5CDD505-2E9C-101B-9397-08002B2CF9AE}" pid="6" name="MSIP_Label_4c805978-f532-4a1a-b9e1-4e19c2c6466f_SetDate">
    <vt:lpwstr>2025-10-17T07:52:14Z</vt:lpwstr>
  </property>
  <property fmtid="{D5CDD505-2E9C-101B-9397-08002B2CF9AE}" pid="7" name="MSIP_Label_4c805978-f532-4a1a-b9e1-4e19c2c6466f_Method">
    <vt:lpwstr>Standard</vt:lpwstr>
  </property>
  <property fmtid="{D5CDD505-2E9C-101B-9397-08002B2CF9AE}" pid="8" name="MSIP_Label_4c805978-f532-4a1a-b9e1-4e19c2c6466f_Name">
    <vt:lpwstr>Internal</vt:lpwstr>
  </property>
  <property fmtid="{D5CDD505-2E9C-101B-9397-08002B2CF9AE}" pid="9" name="MSIP_Label_4c805978-f532-4a1a-b9e1-4e19c2c6466f_SiteId">
    <vt:lpwstr>579df390-dbff-49fd-8f10-624670566482</vt:lpwstr>
  </property>
  <property fmtid="{D5CDD505-2E9C-101B-9397-08002B2CF9AE}" pid="10" name="MSIP_Label_4c805978-f532-4a1a-b9e1-4e19c2c6466f_ActionId">
    <vt:lpwstr>84d13d1b-fae3-4858-8f46-e966b2c7582b</vt:lpwstr>
  </property>
  <property fmtid="{D5CDD505-2E9C-101B-9397-08002B2CF9AE}" pid="11" name="MSIP_Label_4c805978-f532-4a1a-b9e1-4e19c2c6466f_ContentBits">
    <vt:lpwstr>2</vt:lpwstr>
  </property>
  <property fmtid="{D5CDD505-2E9C-101B-9397-08002B2CF9AE}" pid="12" name="MSIP_Label_4c805978-f532-4a1a-b9e1-4e19c2c6466f_Tag">
    <vt:lpwstr>10, 3, 0, 1</vt:lpwstr>
  </property>
  <property fmtid="{D5CDD505-2E9C-101B-9397-08002B2CF9AE}" pid="13" name="ContentTypeId">
    <vt:lpwstr>0x010100015D7B2187195D4EA32149478ACC03A0</vt:lpwstr>
  </property>
</Properties>
</file>